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438"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First Advantage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4660" w:type="dxa"/>
            <w:vAlign w:val="bottom"/>
          </w:tcPr>
          <w:p>
            <w:pPr>
              <w:jc w:val="center"/>
              <w:ind w:right="1784"/>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84-3884690</w:t>
            </w:r>
          </w:p>
        </w:tc>
      </w:tr>
      <w:tr>
        <w:trPr>
          <w:trHeight w:val="184"/>
        </w:trPr>
        <w:tc>
          <w:tcPr>
            <w:tcW w:w="4660" w:type="dxa"/>
            <w:vAlign w:val="bottom"/>
          </w:tcPr>
          <w:p>
            <w:pPr>
              <w:jc w:val="center"/>
              <w:ind w:right="1784"/>
              <w:spacing w:after="0"/>
              <w:rPr>
                <w:sz w:val="20"/>
                <w:szCs w:val="20"/>
                <w:color w:val="auto"/>
              </w:rPr>
            </w:pPr>
            <w:r>
              <w:rPr>
                <w:rFonts w:ascii="Arial" w:cs="Arial" w:eastAsia="Arial" w:hAnsi="Arial"/>
                <w:sz w:val="13"/>
                <w:szCs w:val="13"/>
                <w:b w:val="1"/>
                <w:bCs w:val="1"/>
                <w:color w:val="auto"/>
                <w:w w:val="87"/>
              </w:rPr>
              <w:t>( State or other jurisdiction of</w:t>
            </w:r>
          </w:p>
        </w:tc>
        <w:tc>
          <w:tcPr>
            <w:tcW w:w="2840" w:type="dxa"/>
            <w:vAlign w:val="bottom"/>
          </w:tcPr>
          <w:p>
            <w:pPr>
              <w:jc w:val="center"/>
              <w:ind w:left="1786"/>
              <w:spacing w:after="0"/>
              <w:rPr>
                <w:sz w:val="20"/>
                <w:szCs w:val="20"/>
                <w:color w:val="auto"/>
              </w:rPr>
            </w:pPr>
            <w:r>
              <w:rPr>
                <w:rFonts w:ascii="Arial" w:cs="Arial" w:eastAsia="Arial" w:hAnsi="Arial"/>
                <w:sz w:val="13"/>
                <w:szCs w:val="13"/>
                <w:b w:val="1"/>
                <w:bCs w:val="1"/>
                <w:color w:val="auto"/>
                <w:w w:val="90"/>
              </w:rPr>
              <w:t>(I.R.S. Employer</w:t>
            </w:r>
          </w:p>
        </w:tc>
      </w:tr>
      <w:tr>
        <w:trPr>
          <w:trHeight w:val="178"/>
        </w:trPr>
        <w:tc>
          <w:tcPr>
            <w:tcW w:w="4660" w:type="dxa"/>
            <w:vAlign w:val="bottom"/>
          </w:tcPr>
          <w:p>
            <w:pPr>
              <w:jc w:val="center"/>
              <w:ind w:right="1784"/>
              <w:spacing w:after="0"/>
              <w:rPr>
                <w:sz w:val="20"/>
                <w:szCs w:val="20"/>
                <w:color w:val="auto"/>
              </w:rPr>
            </w:pPr>
            <w:r>
              <w:rPr>
                <w:rFonts w:ascii="Arial" w:cs="Arial" w:eastAsia="Arial" w:hAnsi="Arial"/>
                <w:sz w:val="13"/>
                <w:szCs w:val="13"/>
                <w:b w:val="1"/>
                <w:bCs w:val="1"/>
                <w:color w:val="auto"/>
                <w:w w:val="88"/>
              </w:rPr>
              <w:t>incorporation or organization)</w:t>
            </w:r>
          </w:p>
        </w:tc>
        <w:tc>
          <w:tcPr>
            <w:tcW w:w="2840" w:type="dxa"/>
            <w:vAlign w:val="bottom"/>
          </w:tcPr>
          <w:p>
            <w:pPr>
              <w:jc w:val="center"/>
              <w:ind w:left="1786"/>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4660" w:type="dxa"/>
            <w:vAlign w:val="bottom"/>
          </w:tcPr>
          <w:p>
            <w:pPr>
              <w:jc w:val="center"/>
              <w:ind w:right="1804"/>
              <w:spacing w:after="0"/>
              <w:rPr>
                <w:sz w:val="20"/>
                <w:szCs w:val="20"/>
                <w:color w:val="auto"/>
              </w:rPr>
            </w:pPr>
            <w:r>
              <w:rPr>
                <w:rFonts w:ascii="Arial" w:cs="Arial" w:eastAsia="Arial" w:hAnsi="Arial"/>
                <w:sz w:val="18"/>
                <w:szCs w:val="18"/>
                <w:b w:val="1"/>
                <w:bCs w:val="1"/>
                <w:color w:val="auto"/>
                <w:w w:val="90"/>
              </w:rPr>
              <w:t>1 Concourse Parkway NE, Suite 200</w:t>
            </w:r>
          </w:p>
        </w:tc>
        <w:tc>
          <w:tcPr>
            <w:tcW w:w="2840" w:type="dxa"/>
            <w:vAlign w:val="bottom"/>
          </w:tcPr>
          <w:p>
            <w:pPr>
              <w:spacing w:after="0"/>
              <w:rPr>
                <w:sz w:val="22"/>
                <w:szCs w:val="22"/>
                <w:color w:val="auto"/>
              </w:rPr>
            </w:pPr>
          </w:p>
        </w:tc>
      </w:tr>
      <w:tr>
        <w:trPr>
          <w:trHeight w:val="257"/>
        </w:trPr>
        <w:tc>
          <w:tcPr>
            <w:tcW w:w="4660" w:type="dxa"/>
            <w:vAlign w:val="bottom"/>
          </w:tcPr>
          <w:p>
            <w:pPr>
              <w:jc w:val="center"/>
              <w:ind w:right="1804"/>
              <w:spacing w:after="0"/>
              <w:rPr>
                <w:sz w:val="20"/>
                <w:szCs w:val="20"/>
                <w:color w:val="auto"/>
              </w:rPr>
            </w:pPr>
            <w:r>
              <w:rPr>
                <w:rFonts w:ascii="Arial" w:cs="Arial" w:eastAsia="Arial" w:hAnsi="Arial"/>
                <w:sz w:val="18"/>
                <w:szCs w:val="18"/>
                <w:b w:val="1"/>
                <w:bCs w:val="1"/>
                <w:color w:val="auto"/>
                <w:w w:val="95"/>
              </w:rPr>
              <w:t>Atlanta, GA</w:t>
            </w:r>
          </w:p>
        </w:tc>
        <w:tc>
          <w:tcPr>
            <w:tcW w:w="2840" w:type="dxa"/>
            <w:vAlign w:val="bottom"/>
          </w:tcPr>
          <w:p>
            <w:pPr>
              <w:jc w:val="right"/>
              <w:ind w:right="186"/>
              <w:spacing w:after="0"/>
              <w:rPr>
                <w:sz w:val="20"/>
                <w:szCs w:val="20"/>
                <w:color w:val="auto"/>
              </w:rPr>
            </w:pPr>
            <w:r>
              <w:rPr>
                <w:rFonts w:ascii="Arial" w:cs="Arial" w:eastAsia="Arial" w:hAnsi="Arial"/>
                <w:sz w:val="18"/>
                <w:szCs w:val="18"/>
                <w:b w:val="1"/>
                <w:bCs w:val="1"/>
                <w:color w:val="auto"/>
              </w:rPr>
              <w:t>30328</w:t>
            </w:r>
          </w:p>
        </w:tc>
      </w:tr>
      <w:tr>
        <w:trPr>
          <w:trHeight w:val="186"/>
        </w:trPr>
        <w:tc>
          <w:tcPr>
            <w:tcW w:w="4660" w:type="dxa"/>
            <w:vAlign w:val="bottom"/>
          </w:tcPr>
          <w:p>
            <w:pPr>
              <w:jc w:val="center"/>
              <w:ind w:right="178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40" w:type="dxa"/>
            <w:vAlign w:val="bottom"/>
          </w:tcPr>
          <w:p>
            <w:pPr>
              <w:jc w:val="center"/>
              <w:ind w:left="1786"/>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314-9761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FA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8, 2021, the registrant had 152,875,076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432"/>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40" w:type="dxa"/>
            <w:vAlign w:val="bottom"/>
            <w:tcBorders>
              <w:bottom w:val="single" w:sz="8" w:color="0563C1"/>
            </w:tcBorders>
            <w:gridSpan w:val="18"/>
          </w:tcPr>
          <w:p>
            <w:pPr>
              <w:spacing w:after="0"/>
              <w:rPr>
                <w:rFonts w:ascii="Arial" w:cs="Arial" w:eastAsia="Arial" w:hAnsi="Arial"/>
                <w:sz w:val="18"/>
                <w:szCs w:val="18"/>
                <w:color w:val="0563C1"/>
                <w:w w:val="89"/>
              </w:rPr>
            </w:pPr>
            <w:hyperlink w:anchor="page4">
              <w:r>
                <w:rPr>
                  <w:rFonts w:ascii="Arial" w:cs="Arial" w:eastAsia="Arial" w:hAnsi="Arial"/>
                  <w:sz w:val="18"/>
                  <w:szCs w:val="18"/>
                  <w:color w:val="0563C1"/>
                  <w:w w:val="89"/>
                </w:rPr>
                <w:t xml:space="preserve">Condensed Consolidated Statements of Operations </w:t>
              </w:r>
            </w:hyperlink>
            <w:r>
              <w:rPr>
                <w:rFonts w:ascii="Arial" w:cs="Arial" w:eastAsia="Arial" w:hAnsi="Arial"/>
                <w:sz w:val="18"/>
                <w:szCs w:val="18"/>
                <w:color w:val="0563C1"/>
                <w:w w:val="89"/>
              </w:rPr>
              <w:t>and Comprehensive Income (Loss)</w:t>
            </w:r>
          </w:p>
        </w:tc>
        <w:tc>
          <w:tcPr>
            <w:tcW w:w="306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60" w:type="dxa"/>
            <w:vAlign w:val="bottom"/>
            <w:tcBorders>
              <w:bottom w:val="single" w:sz="8" w:color="0563C1"/>
            </w:tcBorders>
            <w:gridSpan w:val="16"/>
          </w:tcPr>
          <w:p>
            <w:pPr>
              <w:spacing w:after="0"/>
              <w:rPr>
                <w:rFonts w:ascii="Arial" w:cs="Arial" w:eastAsia="Arial" w:hAnsi="Arial"/>
                <w:sz w:val="18"/>
                <w:szCs w:val="18"/>
                <w:color w:val="0563C1"/>
                <w:w w:val="89"/>
              </w:rPr>
            </w:pPr>
            <w:hyperlink w:anchor="page6">
              <w:r>
                <w:rPr>
                  <w:rFonts w:ascii="Arial" w:cs="Arial" w:eastAsia="Arial" w:hAnsi="Arial"/>
                  <w:sz w:val="18"/>
                  <w:szCs w:val="18"/>
                  <w:color w:val="0563C1"/>
                  <w:w w:val="89"/>
                </w:rPr>
                <w:t>Condensed Consolidated Statements of Changes in Stockholders’ Equity</w:t>
              </w:r>
            </w:hyperlink>
          </w:p>
        </w:tc>
        <w:tc>
          <w:tcPr>
            <w:tcW w:w="40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563C1"/>
              </w:rPr>
            </w:pPr>
            <w:hyperlink w:anchor="page7">
              <w:r>
                <w:rPr>
                  <w:rFonts w:ascii="Arial" w:cs="Arial" w:eastAsia="Arial" w:hAnsi="Arial"/>
                  <w:sz w:val="18"/>
                  <w:szCs w:val="18"/>
                  <w:color w:val="0563C1"/>
                </w:rPr>
                <w:t>Condensed Consolidated Statement of Changes in Members’ (Deficit) 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top w:val="single" w:sz="8" w:color="0563C1"/>
              <w:bottom w:val="single" w:sz="8" w:color="0563C1"/>
            </w:tcBorders>
            <w:gridSpan w:val="15"/>
          </w:tcPr>
          <w:p>
            <w:pPr>
              <w:spacing w:after="0"/>
              <w:rPr>
                <w:rFonts w:ascii="Arial" w:cs="Arial" w:eastAsia="Arial" w:hAnsi="Arial"/>
                <w:sz w:val="18"/>
                <w:szCs w:val="18"/>
                <w:color w:val="0563C1"/>
                <w:w w:val="89"/>
              </w:rPr>
            </w:pPr>
            <w:hyperlink w:anchor="page8">
              <w:r>
                <w:rPr>
                  <w:rFonts w:ascii="Arial" w:cs="Arial" w:eastAsia="Arial" w:hAnsi="Arial"/>
                  <w:sz w:val="18"/>
                  <w:szCs w:val="18"/>
                  <w:color w:val="0563C1"/>
                  <w:w w:val="89"/>
                </w:rPr>
                <w:t>Notes to Unaudited Condensed Consolidated Financial Statements</w:t>
              </w:r>
            </w:hyperlink>
          </w:p>
        </w:tc>
        <w:tc>
          <w:tcPr>
            <w:tcW w:w="780" w:type="dxa"/>
            <w:vAlign w:val="bottom"/>
            <w:tcBorders>
              <w:top w:val="single" w:sz="8" w:color="0563C1"/>
            </w:tcBorders>
            <w:gridSpan w:val="2"/>
          </w:tcPr>
          <w:p>
            <w:pPr>
              <w:spacing w:after="0"/>
              <w:rPr>
                <w:sz w:val="19"/>
                <w:szCs w:val="19"/>
                <w:color w:val="auto"/>
              </w:rPr>
            </w:pPr>
          </w:p>
        </w:tc>
        <w:tc>
          <w:tcPr>
            <w:tcW w:w="372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rFonts w:ascii="Arial" w:cs="Arial" w:eastAsia="Arial" w:hAnsi="Arial"/>
                <w:sz w:val="18"/>
                <w:szCs w:val="18"/>
                <w:color w:val="0563C1"/>
              </w:rPr>
            </w:pPr>
            <w:hyperlink w:anchor="page27">
              <w:r>
                <w:rPr>
                  <w:rFonts w:ascii="Arial" w:cs="Arial" w:eastAsia="Arial" w:hAnsi="Arial"/>
                  <w:sz w:val="18"/>
                  <w:szCs w:val="18"/>
                  <w:color w:val="0563C1"/>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563C1"/>
              <w:bottom w:val="single" w:sz="8" w:color="0563C1"/>
            </w:tcBorders>
            <w:gridSpan w:val="14"/>
          </w:tcPr>
          <w:p>
            <w:pPr>
              <w:spacing w:after="0"/>
              <w:rPr>
                <w:rFonts w:ascii="Arial" w:cs="Arial" w:eastAsia="Arial" w:hAnsi="Arial"/>
                <w:sz w:val="18"/>
                <w:szCs w:val="18"/>
                <w:color w:val="0563C1"/>
                <w:w w:val="92"/>
              </w:rPr>
            </w:pPr>
            <w:hyperlink w:anchor="page52">
              <w:r>
                <w:rPr>
                  <w:rFonts w:ascii="Arial" w:cs="Arial" w:eastAsia="Arial" w:hAnsi="Arial"/>
                  <w:sz w:val="18"/>
                  <w:szCs w:val="18"/>
                  <w:color w:val="0563C1"/>
                  <w:w w:val="92"/>
                </w:rPr>
                <w:t>Quantitative and Qualitative Disclosures About Market Risk</w:t>
              </w:r>
            </w:hyperlink>
          </w:p>
        </w:tc>
        <w:tc>
          <w:tcPr>
            <w:tcW w:w="2080" w:type="dxa"/>
            <w:vAlign w:val="bottom"/>
            <w:tcBorders>
              <w:top w:val="single" w:sz="8" w:color="0563C1"/>
            </w:tcBorders>
            <w:gridSpan w:val="5"/>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5"/>
          </w:tcPr>
          <w:p>
            <w:pPr>
              <w:spacing w:after="0"/>
              <w:rPr>
                <w:rFonts w:ascii="Arial" w:cs="Arial" w:eastAsia="Arial" w:hAnsi="Arial"/>
                <w:sz w:val="18"/>
                <w:szCs w:val="18"/>
                <w:color w:val="0563C1"/>
                <w:w w:val="88"/>
              </w:rPr>
            </w:pPr>
            <w:hyperlink w:anchor="page52">
              <w:r>
                <w:rPr>
                  <w:rFonts w:ascii="Arial" w:cs="Arial" w:eastAsia="Arial" w:hAnsi="Arial"/>
                  <w:sz w:val="18"/>
                  <w:szCs w:val="18"/>
                  <w:color w:val="0563C1"/>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7"/>
          </w:tcPr>
          <w:p>
            <w:pPr>
              <w:spacing w:after="0"/>
              <w:rPr>
                <w:rFonts w:ascii="Arial" w:cs="Arial" w:eastAsia="Arial" w:hAnsi="Arial"/>
                <w:sz w:val="18"/>
                <w:szCs w:val="18"/>
                <w:color w:val="0563C1"/>
                <w:w w:val="96"/>
              </w:rPr>
            </w:pPr>
            <w:hyperlink w:anchor="page53">
              <w:r>
                <w:rPr>
                  <w:rFonts w:ascii="Arial" w:cs="Arial" w:eastAsia="Arial" w:hAnsi="Arial"/>
                  <w:sz w:val="18"/>
                  <w:szCs w:val="18"/>
                  <w:color w:val="0563C1"/>
                  <w:w w:val="96"/>
                </w:rPr>
                <w:t>OTHER INFORMATION</w:t>
              </w:r>
            </w:hyperlink>
          </w:p>
        </w:tc>
        <w:tc>
          <w:tcPr>
            <w:tcW w:w="74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563C1"/>
              </w:rPr>
            </w:pPr>
            <w:hyperlink w:anchor="page53">
              <w:r>
                <w:rPr>
                  <w:rFonts w:ascii="Arial" w:cs="Arial" w:eastAsia="Arial" w:hAnsi="Arial"/>
                  <w:sz w:val="18"/>
                  <w:szCs w:val="18"/>
                  <w:color w:val="0563C1"/>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563C1"/>
              <w:bottom w:val="single" w:sz="8" w:color="0563C1"/>
            </w:tcBorders>
            <w:gridSpan w:val="2"/>
          </w:tcPr>
          <w:p>
            <w:pPr>
              <w:spacing w:after="0"/>
              <w:rPr>
                <w:rFonts w:ascii="Arial" w:cs="Arial" w:eastAsia="Arial" w:hAnsi="Arial"/>
                <w:sz w:val="18"/>
                <w:szCs w:val="18"/>
                <w:color w:val="0563C1"/>
                <w:w w:val="89"/>
              </w:rPr>
            </w:pPr>
            <w:hyperlink w:anchor="page53">
              <w:r>
                <w:rPr>
                  <w:rFonts w:ascii="Arial" w:cs="Arial" w:eastAsia="Arial" w:hAnsi="Arial"/>
                  <w:sz w:val="18"/>
                  <w:szCs w:val="18"/>
                  <w:color w:val="0563C1"/>
                  <w:w w:val="89"/>
                </w:rPr>
                <w:t>Risk Factors</w:t>
              </w:r>
            </w:hyperlink>
          </w:p>
        </w:tc>
        <w:tc>
          <w:tcPr>
            <w:tcW w:w="420" w:type="dxa"/>
            <w:vAlign w:val="bottom"/>
            <w:tcBorders>
              <w:top w:val="single" w:sz="8" w:color="0563C1"/>
            </w:tcBorders>
            <w:gridSpan w:val="2"/>
          </w:tcPr>
          <w:p>
            <w:pPr>
              <w:spacing w:after="0"/>
              <w:rPr>
                <w:sz w:val="19"/>
                <w:szCs w:val="19"/>
                <w:color w:val="auto"/>
              </w:rPr>
            </w:pPr>
          </w:p>
        </w:tc>
        <w:tc>
          <w:tcPr>
            <w:tcW w:w="796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563C1"/>
            </w:tcBorders>
            <w:gridSpan w:val="13"/>
          </w:tcPr>
          <w:p>
            <w:pPr>
              <w:spacing w:after="0"/>
              <w:rPr>
                <w:rFonts w:ascii="Arial" w:cs="Arial" w:eastAsia="Arial" w:hAnsi="Arial"/>
                <w:sz w:val="18"/>
                <w:szCs w:val="18"/>
                <w:color w:val="0563C1"/>
                <w:w w:val="89"/>
              </w:rPr>
            </w:pPr>
            <w:hyperlink w:anchor="page53">
              <w:r>
                <w:rPr>
                  <w:rFonts w:ascii="Arial" w:cs="Arial" w:eastAsia="Arial" w:hAnsi="Arial"/>
                  <w:sz w:val="18"/>
                  <w:szCs w:val="18"/>
                  <w:color w:val="0563C1"/>
                  <w:w w:val="89"/>
                </w:rPr>
                <w:t>Unregistered Sales of Equity Securities and Use of Proceeds</w:t>
              </w:r>
            </w:hyperlink>
          </w:p>
        </w:tc>
        <w:tc>
          <w:tcPr>
            <w:tcW w:w="494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563C1"/>
            </w:tcBorders>
            <w:gridSpan w:val="9"/>
          </w:tcPr>
          <w:p>
            <w:pPr>
              <w:spacing w:after="0"/>
              <w:rPr>
                <w:rFonts w:ascii="Arial" w:cs="Arial" w:eastAsia="Arial" w:hAnsi="Arial"/>
                <w:sz w:val="18"/>
                <w:szCs w:val="18"/>
                <w:color w:val="0563C1"/>
                <w:w w:val="90"/>
              </w:rPr>
            </w:pPr>
            <w:hyperlink w:anchor="page53">
              <w:r>
                <w:rPr>
                  <w:rFonts w:ascii="Arial" w:cs="Arial" w:eastAsia="Arial" w:hAnsi="Arial"/>
                  <w:sz w:val="18"/>
                  <w:szCs w:val="18"/>
                  <w:color w:val="0563C1"/>
                  <w:w w:val="90"/>
                </w:rPr>
                <w:t>Defaults Upon Senior Securities</w:t>
              </w:r>
            </w:hyperlink>
          </w:p>
        </w:tc>
        <w:tc>
          <w:tcPr>
            <w:tcW w:w="696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5"/>
          </w:tcPr>
          <w:p>
            <w:pPr>
              <w:spacing w:after="0"/>
              <w:rPr>
                <w:rFonts w:ascii="Arial" w:cs="Arial" w:eastAsia="Arial" w:hAnsi="Arial"/>
                <w:sz w:val="18"/>
                <w:szCs w:val="18"/>
                <w:color w:val="0563C1"/>
                <w:w w:val="91"/>
              </w:rPr>
            </w:pPr>
            <w:hyperlink w:anchor="page53">
              <w:r>
                <w:rPr>
                  <w:rFonts w:ascii="Arial" w:cs="Arial" w:eastAsia="Arial" w:hAnsi="Arial"/>
                  <w:sz w:val="18"/>
                  <w:szCs w:val="18"/>
                  <w:color w:val="0563C1"/>
                  <w:w w:val="91"/>
                </w:rPr>
                <w:t>Mine Safety Disclosures</w:t>
              </w:r>
            </w:hyperlink>
          </w:p>
        </w:tc>
        <w:tc>
          <w:tcPr>
            <w:tcW w:w="752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rPr>
                <w:rFonts w:ascii="Arial" w:cs="Arial" w:eastAsia="Arial" w:hAnsi="Arial"/>
                <w:sz w:val="18"/>
                <w:szCs w:val="18"/>
                <w:color w:val="0563C1"/>
              </w:rPr>
            </w:pPr>
            <w:hyperlink w:anchor="page53">
              <w:r>
                <w:rPr>
                  <w:rFonts w:ascii="Arial" w:cs="Arial" w:eastAsia="Arial" w:hAnsi="Arial"/>
                  <w:sz w:val="18"/>
                  <w:szCs w:val="18"/>
                  <w:color w:val="0563C1"/>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rPr>
                <w:rFonts w:ascii="Arial" w:cs="Arial" w:eastAsia="Arial" w:hAnsi="Arial"/>
                <w:sz w:val="18"/>
                <w:szCs w:val="18"/>
                <w:color w:val="0563C1"/>
              </w:rPr>
            </w:pPr>
            <w:hyperlink w:anchor="page54">
              <w:r>
                <w:rPr>
                  <w:rFonts w:ascii="Arial" w:cs="Arial" w:eastAsia="Arial" w:hAnsi="Arial"/>
                  <w:sz w:val="18"/>
                  <w:szCs w:val="18"/>
                  <w:color w:val="0563C1"/>
                </w:rPr>
                <w:t>Exhibits</w:t>
              </w:r>
            </w:hyperlink>
          </w:p>
        </w:tc>
        <w:tc>
          <w:tcPr>
            <w:tcW w:w="798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1160" w:type="dxa"/>
            <w:vAlign w:val="bottom"/>
            <w:gridSpan w:val="3"/>
          </w:tcPr>
          <w:p>
            <w:pPr>
              <w:ind w:left="20"/>
              <w:spacing w:after="0"/>
              <w:rPr>
                <w:rFonts w:ascii="Arial" w:cs="Arial" w:eastAsia="Arial" w:hAnsi="Arial"/>
                <w:sz w:val="18"/>
                <w:szCs w:val="18"/>
                <w:color w:val="0563C1"/>
              </w:rPr>
            </w:pPr>
            <w:hyperlink w:anchor="page55">
              <w:r>
                <w:rPr>
                  <w:rFonts w:ascii="Arial" w:cs="Arial" w:eastAsia="Arial" w:hAnsi="Arial"/>
                  <w:sz w:val="18"/>
                  <w:szCs w:val="18"/>
                  <w:color w:val="0563C1"/>
                </w:rPr>
                <w:t>Signatures</w:t>
              </w:r>
            </w:hyperlink>
          </w:p>
        </w:tc>
        <w:tc>
          <w:tcPr>
            <w:tcW w:w="600" w:type="dxa"/>
            <w:vAlign w:val="bottom"/>
            <w:tcBorders>
              <w:top w:val="single" w:sz="8" w:color="0563C1"/>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952"/>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5"/>
          </w:tcPr>
          <w:p>
            <w:pPr>
              <w:ind w:left="44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4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4"/>
              </w:rPr>
              <w:t>Successor</w:t>
            </w:r>
          </w:p>
        </w:tc>
      </w:tr>
      <w:tr>
        <w:trPr>
          <w:trHeight w:val="190"/>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272"/>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252"/>
              <w:spacing w:after="0"/>
              <w:rPr>
                <w:sz w:val="20"/>
                <w:szCs w:val="20"/>
                <w:color w:val="auto"/>
              </w:rPr>
            </w:pPr>
            <w:r>
              <w:rPr>
                <w:rFonts w:ascii="Arial" w:cs="Arial" w:eastAsia="Arial" w:hAnsi="Arial"/>
                <w:sz w:val="14"/>
                <w:szCs w:val="14"/>
                <w:b w:val="1"/>
                <w:bCs w:val="1"/>
                <w:color w:val="auto"/>
                <w:w w:val="92"/>
              </w:rPr>
              <w:t>December 31,</w:t>
            </w:r>
          </w:p>
        </w:tc>
      </w:tr>
      <w:tr>
        <w:trPr>
          <w:trHeight w:val="215"/>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275,538</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152,818</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152</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1,267</w:t>
            </w:r>
          </w:p>
        </w:tc>
      </w:tr>
      <w:tr>
        <w:trPr>
          <w:trHeight w:val="242"/>
        </w:trPr>
        <w:tc>
          <w:tcPr>
            <w:tcW w:w="7640" w:type="dxa"/>
            <w:vAlign w:val="bottom"/>
          </w:tcPr>
          <w:p>
            <w:pPr>
              <w:ind w:left="200"/>
              <w:spacing w:after="0"/>
              <w:rPr>
                <w:sz w:val="20"/>
                <w:szCs w:val="20"/>
                <w:color w:val="auto"/>
              </w:rPr>
            </w:pPr>
            <w:r>
              <w:rPr>
                <w:rFonts w:ascii="Arial" w:cs="Arial" w:eastAsia="Arial" w:hAnsi="Arial"/>
                <w:sz w:val="18"/>
                <w:szCs w:val="18"/>
                <w:color w:val="auto"/>
                <w:w w:val="97"/>
              </w:rPr>
              <w:t>Accounts receivable (net of allowance for doubtful accounts of $712 and $967 at September 30,</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2021 and December 31, 2020, respectively)</w:t>
            </w: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147,138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111,363</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17,294</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8,699</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2,426</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3,479</w:t>
            </w:r>
          </w:p>
        </w:tc>
      </w:tr>
      <w:tr>
        <w:trPr>
          <w:trHeight w:val="257"/>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443,504</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277,778</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161,330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190,282</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772,669</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770,089</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Trade name, net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81,691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87,702</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lists, net</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389,216</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435,661</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Deferred tax asset, net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1,442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807</w:t>
            </w:r>
          </w:p>
        </w:tc>
      </w:tr>
      <w:tr>
        <w:trPr>
          <w:trHeight w:val="257"/>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6,841</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1,372</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1,856,693</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1,763,691</w:t>
            </w:r>
          </w:p>
        </w:tc>
      </w:tr>
      <w:tr>
        <w:trPr>
          <w:trHeight w:val="20"/>
        </w:trPr>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46,078</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44,117</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26,173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18,939</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23,966</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25,200</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6,700</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2,578</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2,451</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431</w:t>
            </w:r>
          </w:p>
        </w:tc>
      </w:tr>
      <w:tr>
        <w:trPr>
          <w:trHeight w:val="257"/>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99,299</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97,838</w:t>
            </w:r>
          </w:p>
        </w:tc>
      </w:tr>
      <w:tr>
        <w:trPr>
          <w:trHeight w:val="242"/>
        </w:trPr>
        <w:tc>
          <w:tcPr>
            <w:tcW w:w="7640" w:type="dxa"/>
            <w:vAlign w:val="bottom"/>
          </w:tcPr>
          <w:p>
            <w:pPr>
              <w:ind w:left="200"/>
              <w:spacing w:after="0"/>
              <w:rPr>
                <w:sz w:val="20"/>
                <w:szCs w:val="20"/>
                <w:color w:val="auto"/>
              </w:rPr>
            </w:pPr>
            <w:r>
              <w:rPr>
                <w:rFonts w:ascii="Arial" w:cs="Arial" w:eastAsia="Arial" w:hAnsi="Arial"/>
                <w:sz w:val="18"/>
                <w:szCs w:val="18"/>
                <w:color w:val="auto"/>
                <w:w w:val="93"/>
              </w:rPr>
              <w:t>Long-term debt (net of deferred financing costs of $10,319 and $26,345 at September 30, 2021 and</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554,405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778,605</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 liability, net</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82,163</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86,770</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6,607</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6,208</w:t>
            </w:r>
          </w:p>
        </w:tc>
      </w:tr>
      <w:tr>
        <w:trPr>
          <w:trHeight w:val="256"/>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742,474</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969,421</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r>
      <w:tr>
        <w:trPr>
          <w:trHeight w:val="242"/>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 - $0.001 par value; 1,000,000,000 shares authorized, 152,870,750 and</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7640" w:type="dxa"/>
            <w:vAlign w:val="bottom"/>
          </w:tcPr>
          <w:p>
            <w:pPr>
              <w:ind w:left="200"/>
              <w:spacing w:after="0"/>
              <w:rPr>
                <w:sz w:val="20"/>
                <w:szCs w:val="20"/>
                <w:color w:val="auto"/>
              </w:rPr>
            </w:pPr>
            <w:r>
              <w:rPr>
                <w:rFonts w:ascii="Arial" w:cs="Arial" w:eastAsia="Arial" w:hAnsi="Arial"/>
                <w:sz w:val="18"/>
                <w:szCs w:val="18"/>
                <w:color w:val="auto"/>
                <w:w w:val="97"/>
              </w:rPr>
              <w:t>130,000,000 shares issued and outstanding as of September 30, 2021 and December 31, 2020,</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130</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1,160,002</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839,148</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(46,826 )</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(47,492 )</w:t>
            </w:r>
          </w:p>
        </w:tc>
      </w:tr>
      <w:tr>
        <w:trPr>
          <w:trHeight w:val="257"/>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890</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2,484</w:t>
            </w: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1,114,219</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794,270</w:t>
            </w: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1,856,693</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1,763,691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-4110990</wp:posOffset>
            </wp:positionV>
            <wp:extent cx="11112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-365125</wp:posOffset>
            </wp:positionV>
            <wp:extent cx="11112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Three-Month Period (1)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Nine-Month Period (1)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399"/>
        </w:trPr>
        <w:tc>
          <w:tcPr>
            <w:tcW w:w="4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Successor</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r>
      <w:tr>
        <w:trPr>
          <w:trHeight w:val="179"/>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140" w:type="dxa"/>
            <w:vAlign w:val="bottom"/>
          </w:tcPr>
          <w:p>
            <w:pPr>
              <w:spacing w:after="0"/>
              <w:rPr>
                <w:sz w:val="15"/>
                <w:szCs w:val="15"/>
                <w:color w:val="auto"/>
              </w:rPr>
            </w:pPr>
          </w:p>
        </w:tc>
        <w:tc>
          <w:tcPr>
            <w:tcW w:w="1340" w:type="dxa"/>
            <w:vAlign w:val="bottom"/>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r>
      <w:tr>
        <w:trPr>
          <w:trHeight w:val="176"/>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February 1, 2020</w:t>
            </w:r>
          </w:p>
        </w:tc>
        <w:tc>
          <w:tcPr>
            <w:tcW w:w="140" w:type="dxa"/>
            <w:vAlign w:val="bottom"/>
          </w:tcPr>
          <w:p>
            <w:pPr>
              <w:spacing w:after="0"/>
              <w:rPr>
                <w:sz w:val="15"/>
                <w:szCs w:val="15"/>
                <w:color w:val="auto"/>
              </w:rPr>
            </w:pPr>
          </w:p>
        </w:tc>
        <w:tc>
          <w:tcPr>
            <w:tcW w:w="1340" w:type="dxa"/>
            <w:vAlign w:val="bottom"/>
          </w:tcPr>
          <w:p>
            <w:pPr>
              <w:jc w:val="center"/>
              <w:ind w:right="160"/>
              <w:spacing w:after="0"/>
              <w:rPr>
                <w:sz w:val="20"/>
                <w:szCs w:val="20"/>
                <w:color w:val="auto"/>
              </w:rPr>
            </w:pPr>
            <w:r>
              <w:rPr>
                <w:rFonts w:ascii="Arial" w:cs="Arial" w:eastAsia="Arial" w:hAnsi="Arial"/>
                <w:sz w:val="14"/>
                <w:szCs w:val="14"/>
                <w:b w:val="1"/>
                <w:bCs w:val="1"/>
                <w:color w:val="auto"/>
                <w:w w:val="93"/>
              </w:rPr>
              <w:t>January 1, 2020</w:t>
            </w:r>
          </w:p>
        </w:tc>
      </w:tr>
      <w:tr>
        <w:trPr>
          <w:trHeight w:val="175"/>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through</w:t>
            </w:r>
          </w:p>
        </w:tc>
        <w:tc>
          <w:tcPr>
            <w:tcW w:w="140" w:type="dxa"/>
            <w:vAlign w:val="bottom"/>
          </w:tcPr>
          <w:p>
            <w:pPr>
              <w:spacing w:after="0"/>
              <w:rPr>
                <w:sz w:val="15"/>
                <w:szCs w:val="15"/>
                <w:color w:val="auto"/>
              </w:rPr>
            </w:pPr>
          </w:p>
        </w:tc>
        <w:tc>
          <w:tcPr>
            <w:tcW w:w="134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through</w:t>
            </w:r>
          </w:p>
        </w:tc>
      </w:tr>
      <w:tr>
        <w:trPr>
          <w:trHeight w:val="198"/>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January 31, 2020</w:t>
            </w:r>
          </w:p>
        </w:tc>
      </w:tr>
      <w:tr>
        <w:trPr>
          <w:trHeight w:val="223"/>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192,867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136,778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499,763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315,825</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36,785</w:t>
            </w:r>
          </w:p>
        </w:tc>
      </w:tr>
      <w:tr>
        <w:trPr>
          <w:trHeight w:val="229"/>
        </w:trPr>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06"/>
        </w:trPr>
        <w:tc>
          <w:tcPr>
            <w:tcW w:w="4020" w:type="dxa"/>
            <w:vAlign w:val="bottom"/>
          </w:tcPr>
          <w:p>
            <w:pPr>
              <w:ind w:left="200"/>
              <w:spacing w:after="0"/>
              <w:rPr>
                <w:sz w:val="20"/>
                <w:szCs w:val="20"/>
                <w:color w:val="auto"/>
              </w:rPr>
            </w:pPr>
            <w:r>
              <w:rPr>
                <w:rFonts w:ascii="Arial" w:cs="Arial" w:eastAsia="Arial" w:hAnsi="Arial"/>
                <w:sz w:val="16"/>
                <w:szCs w:val="16"/>
                <w:color w:val="auto"/>
              </w:rPr>
              <w:t>Cost of services (exclusive of depreciation and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6"/>
                <w:szCs w:val="16"/>
                <w:color w:val="auto"/>
              </w:rPr>
              <w:t>amortization below)</w:t>
            </w:r>
          </w:p>
        </w:tc>
        <w:tc>
          <w:tcPr>
            <w:tcW w:w="1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94,151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67,483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244,964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156,703</w:t>
            </w:r>
          </w:p>
        </w:tc>
        <w:tc>
          <w:tcPr>
            <w:tcW w:w="14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20,265</w:t>
            </w:r>
          </w:p>
        </w:tc>
      </w:tr>
      <w:tr>
        <w:trPr>
          <w:trHeight w:val="239"/>
        </w:trPr>
        <w:tc>
          <w:tcPr>
            <w:tcW w:w="4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Product and technology expense</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11,313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8,343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33,546</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20,495</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3,189</w:t>
            </w:r>
          </w:p>
        </w:tc>
      </w:tr>
      <w:tr>
        <w:trPr>
          <w:trHeight w:val="230"/>
        </w:trPr>
        <w:tc>
          <w:tcPr>
            <w:tcW w:w="402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27,203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18,907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76,256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46,206</w:t>
            </w:r>
          </w:p>
        </w:tc>
        <w:tc>
          <w:tcPr>
            <w:tcW w:w="14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11,235</w:t>
            </w:r>
          </w:p>
        </w:tc>
      </w:tr>
      <w:tr>
        <w:trPr>
          <w:trHeight w:val="223"/>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35,812</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36,756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106,493</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right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97,815</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2,105</w:t>
            </w:r>
          </w:p>
        </w:tc>
      </w:tr>
      <w:tr>
        <w:trPr>
          <w:trHeight w:val="223"/>
        </w:trPr>
        <w:tc>
          <w:tcPr>
            <w:tcW w:w="402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168,479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131,489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461,259</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321,219</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36,794</w:t>
            </w:r>
          </w:p>
        </w:tc>
      </w:tr>
      <w:tr>
        <w:trPr>
          <w:trHeight w:val="223"/>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24,388</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5,289</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38,504</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(5,394 )</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(9 )</w:t>
            </w:r>
          </w:p>
        </w:tc>
      </w:tr>
      <w:tr>
        <w:trPr>
          <w:trHeight w:val="230"/>
        </w:trPr>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 (INCOME):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0"/>
        </w:trPr>
        <w:tc>
          <w:tcPr>
            <w:tcW w:w="402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4,734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11,706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22,015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38,405</w:t>
            </w:r>
          </w:p>
        </w:tc>
        <w:tc>
          <w:tcPr>
            <w:tcW w:w="14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4,514</w:t>
            </w:r>
          </w:p>
        </w:tc>
      </w:tr>
      <w:tr>
        <w:trPr>
          <w:trHeight w:val="239"/>
        </w:trPr>
        <w:tc>
          <w:tcPr>
            <w:tcW w:w="4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(28 )</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(76 )</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(140 )</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(282 )</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(25 )</w:t>
            </w:r>
          </w:p>
        </w:tc>
      </w:tr>
      <w:tr>
        <w:trPr>
          <w:trHeight w:val="229"/>
        </w:trPr>
        <w:tc>
          <w:tcPr>
            <w:tcW w:w="402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13,938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10,533</w:t>
            </w:r>
          </w:p>
        </w:tc>
      </w:tr>
      <w:tr>
        <w:trPr>
          <w:trHeight w:val="223"/>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Transaction expenses, change in control</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right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9,423</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22,370</w:t>
            </w:r>
          </w:p>
        </w:tc>
      </w:tr>
      <w:tr>
        <w:trPr>
          <w:trHeight w:val="223"/>
        </w:trPr>
        <w:tc>
          <w:tcPr>
            <w:tcW w:w="4020" w:type="dxa"/>
            <w:vAlign w:val="bottom"/>
          </w:tcPr>
          <w:p>
            <w:pPr>
              <w:ind w:left="380"/>
              <w:spacing w:after="0"/>
              <w:rPr>
                <w:sz w:val="20"/>
                <w:szCs w:val="20"/>
                <w:color w:val="auto"/>
              </w:rPr>
            </w:pPr>
            <w:r>
              <w:rPr>
                <w:rFonts w:ascii="Arial" w:cs="Arial" w:eastAsia="Arial" w:hAnsi="Arial"/>
                <w:sz w:val="16"/>
                <w:szCs w:val="16"/>
                <w:color w:val="auto"/>
              </w:rPr>
              <w:t>Total other expense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4,706</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11,630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35,813</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47,546</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37,392</w:t>
            </w:r>
          </w:p>
        </w:tc>
      </w:tr>
      <w:tr>
        <w:trPr>
          <w:trHeight w:val="206"/>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(LOSS) BEFORE PROVISION FOR INCOME</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26"/>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19,682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(6,341 )</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2,691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(52,940 )</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(37,401 )</w:t>
            </w:r>
          </w:p>
        </w:tc>
      </w:tr>
      <w:tr>
        <w:trPr>
          <w:trHeight w:val="223"/>
        </w:trPr>
        <w:tc>
          <w:tcPr>
            <w:tcW w:w="4020" w:type="dxa"/>
            <w:vAlign w:val="bottom"/>
          </w:tcPr>
          <w:p>
            <w:pPr>
              <w:ind w:left="200"/>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3,397</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(2,889 )</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2,025</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(11,308 )</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(871 )</w:t>
            </w:r>
          </w:p>
        </w:tc>
      </w:tr>
      <w:tr>
        <w:trPr>
          <w:trHeight w:val="263"/>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16,285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(3,452 )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666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(41,632 )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(36,530 )</w:t>
            </w:r>
          </w:p>
        </w:tc>
      </w:tr>
      <w:tr>
        <w:trPr>
          <w:trHeight w:val="216"/>
        </w:trPr>
        <w:tc>
          <w:tcPr>
            <w:tcW w:w="40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23"/>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Foreign currency translation (loss) income</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(3,059 )</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7,009</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(1,594 )</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(1,164 )</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(31 )</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13,226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3,557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(928 )</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(42,796 )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(36,561 )</w:t>
            </w: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4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18"/>
                <w:szCs w:val="18"/>
                <w:color w:val="auto"/>
              </w:rPr>
            </w:pPr>
          </w:p>
        </w:tc>
        <w:tc>
          <w:tcPr>
            <w:tcW w:w="146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16,285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(3,452 )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666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(41,632 )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(36,530 )</w:t>
            </w:r>
          </w:p>
        </w:tc>
      </w:tr>
      <w:tr>
        <w:trPr>
          <w:trHeight w:val="23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net income (loss)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0.11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(0.32 )</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n/a</w:t>
            </w: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0.11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(0.03 )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(0.32 )</w:t>
            </w:r>
          </w:p>
        </w:tc>
        <w:tc>
          <w:tcPr>
            <w:tcW w:w="14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n/a</w:t>
            </w:r>
          </w:p>
        </w:tc>
      </w:tr>
      <w:tr>
        <w:trPr>
          <w:trHeight w:val="23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number of shares outstanding - basic</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149,943,998</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130,000,000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137,232,289</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130,000,000</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n/a</w:t>
            </w: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auto"/>
                <w:w w:val="97"/>
              </w:rPr>
              <w:t>Weighted average number of shares outstanding - diluted</w:t>
            </w:r>
          </w:p>
        </w:tc>
        <w:tc>
          <w:tcPr>
            <w:tcW w:w="1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152,400,419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130,000,000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138,170,488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130,000,000</w:t>
            </w:r>
          </w:p>
        </w:tc>
        <w:tc>
          <w:tcPr>
            <w:tcW w:w="14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n/a</w:t>
            </w:r>
          </w:p>
        </w:tc>
      </w:tr>
      <w:tr>
        <w:trPr>
          <w:trHeight w:val="23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net (loss) per unit</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(0.24 )</w:t>
            </w: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auto"/>
              </w:rPr>
              <w:t>Diluted net (loss) per unit</w:t>
            </w:r>
          </w:p>
        </w:tc>
        <w:tc>
          <w:tcPr>
            <w:tcW w:w="1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n/a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(0.24 )</w:t>
            </w:r>
          </w:p>
        </w:tc>
      </w:tr>
      <w:tr>
        <w:trPr>
          <w:trHeight w:val="23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units outstanding - basic</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tcBorders>
              <w:right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149,686,460</w:t>
            </w:r>
          </w:p>
        </w:tc>
      </w:tr>
      <w:tr>
        <w:trPr>
          <w:trHeight w:val="230"/>
        </w:trPr>
        <w:tc>
          <w:tcPr>
            <w:tcW w:w="4020" w:type="dxa"/>
            <w:vAlign w:val="bottom"/>
          </w:tcPr>
          <w:p>
            <w:pPr>
              <w:ind w:left="20"/>
              <w:spacing w:after="0"/>
              <w:rPr>
                <w:sz w:val="20"/>
                <w:szCs w:val="20"/>
                <w:color w:val="auto"/>
              </w:rPr>
            </w:pPr>
            <w:r>
              <w:rPr>
                <w:rFonts w:ascii="Arial" w:cs="Arial" w:eastAsia="Arial" w:hAnsi="Arial"/>
                <w:sz w:val="16"/>
                <w:szCs w:val="16"/>
                <w:color w:val="auto"/>
              </w:rPr>
              <w:t>Weighted average units outstanding - diluted</w:t>
            </w:r>
          </w:p>
        </w:tc>
        <w:tc>
          <w:tcPr>
            <w:tcW w:w="1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149,686,460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-5652770</wp:posOffset>
            </wp:positionV>
            <wp:extent cx="33655" cy="633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63373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-3879850</wp:posOffset>
            </wp:positionV>
            <wp:extent cx="431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-3879850</wp:posOffset>
            </wp:positionV>
            <wp:extent cx="4254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-3879850</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-3571240</wp:posOffset>
            </wp:positionV>
            <wp:extent cx="431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-3571240</wp:posOffset>
            </wp:positionV>
            <wp:extent cx="4254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-3571240</wp:posOffset>
            </wp:positionV>
            <wp:extent cx="431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-4041140</wp:posOffset>
            </wp:positionV>
            <wp:extent cx="33655"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883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-2687955</wp:posOffset>
            </wp:positionV>
            <wp:extent cx="431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-2687955</wp:posOffset>
            </wp:positionV>
            <wp:extent cx="4254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-2687955</wp:posOffset>
            </wp:positionV>
            <wp:extent cx="431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-2849245</wp:posOffset>
            </wp:positionV>
            <wp:extent cx="33655" cy="334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-1953895</wp:posOffset>
            </wp:positionV>
            <wp:extent cx="43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-1936750</wp:posOffset>
            </wp:positionV>
            <wp:extent cx="4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-1953895</wp:posOffset>
            </wp:positionV>
            <wp:extent cx="425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-1936750</wp:posOffset>
            </wp:positionV>
            <wp:extent cx="425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-1953895</wp:posOffset>
            </wp:positionV>
            <wp:extent cx="43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-1936750</wp:posOffset>
            </wp:positionV>
            <wp:extent cx="43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-2266315</wp:posOffset>
            </wp:positionV>
            <wp:extent cx="33655" cy="351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-1633855</wp:posOffset>
            </wp:positionV>
            <wp:extent cx="431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-1633855</wp:posOffset>
            </wp:positionV>
            <wp:extent cx="4254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-1633855</wp:posOffset>
            </wp:positionV>
            <wp:extent cx="431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-1795145</wp:posOffset>
            </wp:positionV>
            <wp:extent cx="33655" cy="351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3511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 See Note 1 “Organization, Nature of Business, and Basis of Presentation” for further discussion.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147320</wp:posOffset>
            </wp:positionV>
            <wp:extent cx="34290" cy="659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65976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488"/>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7"/>
              </w:rPr>
              <w:t>Predecessor</w:t>
            </w:r>
          </w:p>
        </w:tc>
      </w:tr>
      <w:tr>
        <w:trPr>
          <w:trHeight w:val="179"/>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Period from</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228"/>
              <w:spacing w:after="0"/>
              <w:rPr>
                <w:sz w:val="20"/>
                <w:szCs w:val="20"/>
                <w:color w:val="auto"/>
              </w:rPr>
            </w:pPr>
            <w:r>
              <w:rPr>
                <w:rFonts w:ascii="Arial" w:cs="Arial" w:eastAsia="Arial" w:hAnsi="Arial"/>
                <w:sz w:val="14"/>
                <w:szCs w:val="14"/>
                <w:b w:val="1"/>
                <w:bCs w:val="1"/>
                <w:color w:val="auto"/>
                <w:w w:val="94"/>
              </w:rPr>
              <w:t>Period from</w:t>
            </w:r>
          </w:p>
        </w:tc>
      </w:tr>
      <w:tr>
        <w:trPr>
          <w:trHeight w:val="176"/>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Nine Months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February 1, 2020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228"/>
              <w:spacing w:after="0"/>
              <w:rPr>
                <w:sz w:val="20"/>
                <w:szCs w:val="20"/>
                <w:color w:val="auto"/>
              </w:rPr>
            </w:pPr>
            <w:r>
              <w:rPr>
                <w:rFonts w:ascii="Arial" w:cs="Arial" w:eastAsia="Arial" w:hAnsi="Arial"/>
                <w:sz w:val="14"/>
                <w:szCs w:val="14"/>
                <w:b w:val="1"/>
                <w:bCs w:val="1"/>
                <w:color w:val="auto"/>
                <w:w w:val="93"/>
              </w:rPr>
              <w:t>January 1, 2020</w:t>
            </w: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308"/>
              <w:spacing w:after="0"/>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248"/>
              <w:spacing w:after="0"/>
              <w:rPr>
                <w:sz w:val="20"/>
                <w:szCs w:val="20"/>
                <w:color w:val="auto"/>
              </w:rPr>
            </w:pPr>
            <w:r>
              <w:rPr>
                <w:rFonts w:ascii="Arial" w:cs="Arial" w:eastAsia="Arial" w:hAnsi="Arial"/>
                <w:sz w:val="14"/>
                <w:szCs w:val="14"/>
                <w:b w:val="1"/>
                <w:bCs w:val="1"/>
                <w:color w:val="auto"/>
                <w:w w:val="90"/>
              </w:rPr>
              <w:t>through</w:t>
            </w:r>
          </w:p>
        </w:tc>
      </w:tr>
      <w:tr>
        <w:trPr>
          <w:trHeight w:val="198"/>
        </w:trPr>
        <w:tc>
          <w:tcPr>
            <w:tcW w:w="58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September 30, 2021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1"/>
              </w:rPr>
              <w:t>September 30, 2020</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4"/>
              </w:rPr>
              <w:t>January 31, 2020</w:t>
            </w:r>
          </w:p>
        </w:tc>
      </w:tr>
      <w:tr>
        <w:trPr>
          <w:trHeight w:val="196"/>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197"/>
        </w:trPr>
        <w:tc>
          <w:tcPr>
            <w:tcW w:w="58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(41,632 )</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(36,530 )</w:t>
            </w:r>
          </w:p>
        </w:tc>
      </w:tr>
      <w:tr>
        <w:trPr>
          <w:trHeight w:val="208"/>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Adjustments to reconcile net income (loss) to net cash provided by (used in) operating activities: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106,493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97,815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2,105</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13,938</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10,533</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5,496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2,344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569</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Bad debt (recovery) expense</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166</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102</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Deferred taxes</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(4,465 )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(12,382 )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(997 )</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4,569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1,331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3,976</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(Gain) on foreign currency exchange rates</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(281 )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(38 )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(82 )</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on disposal of fixed assets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41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Change in fair value of interest rate swaps</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(845 )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4,412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(35,815 )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(20,663 )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9,384</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(8,619 )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143</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(4,604 )</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(5,477 )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(325 )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(62 )</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1,547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11,676</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(8,871 )</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Accrued compensation and accrued liabilities</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5,898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(5,856 )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4,102</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(80 )</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w:t>
            </w:r>
          </w:p>
        </w:tc>
      </w:tr>
      <w:tr>
        <w:trPr>
          <w:trHeight w:val="203"/>
        </w:trPr>
        <w:tc>
          <w:tcPr>
            <w:tcW w:w="5860" w:type="dxa"/>
            <w:vAlign w:val="bottom"/>
          </w:tcPr>
          <w:p>
            <w:pPr>
              <w:ind w:left="20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1,157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767</w:t>
            </w:r>
          </w:p>
        </w:tc>
      </w:tr>
      <w:tr>
        <w:trPr>
          <w:trHeight w:val="197"/>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Income taxes receivable and payable, net</w:t>
            </w:r>
          </w:p>
        </w:tc>
        <w:tc>
          <w:tcPr>
            <w:tcW w:w="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256</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righ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(483 )</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373</w:t>
            </w:r>
          </w:p>
        </w:tc>
      </w:tr>
      <w:tr>
        <w:trPr>
          <w:trHeight w:val="196"/>
        </w:trPr>
        <w:tc>
          <w:tcPr>
            <w:tcW w:w="5860" w:type="dxa"/>
            <w:vAlign w:val="bottom"/>
          </w:tcPr>
          <w:p>
            <w:pPr>
              <w:ind w:left="38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83,860</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37,626</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(19,216 )</w:t>
            </w:r>
          </w:p>
        </w:tc>
      </w:tr>
      <w:tr>
        <w:trPr>
          <w:trHeight w:val="202"/>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Changes in short-term investments</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708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(163 )</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of business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(7,588 )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5860" w:type="dxa"/>
            <w:vAlign w:val="bottom"/>
          </w:tcPr>
          <w:p>
            <w:pPr>
              <w:ind w:left="200"/>
              <w:spacing w:after="0"/>
              <w:rPr>
                <w:sz w:val="20"/>
                <w:szCs w:val="20"/>
                <w:color w:val="auto"/>
              </w:rPr>
            </w:pPr>
            <w:r>
              <w:rPr>
                <w:rFonts w:ascii="Arial" w:cs="Arial" w:eastAsia="Arial" w:hAnsi="Arial"/>
                <w:sz w:val="14"/>
                <w:szCs w:val="14"/>
                <w:color w:val="auto"/>
              </w:rPr>
              <w:t>Purchase of property and equipment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(5,743 )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(4,083 )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(951 )</w:t>
            </w:r>
          </w:p>
        </w:tc>
      </w:tr>
      <w:tr>
        <w:trPr>
          <w:trHeight w:val="197"/>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Capitalized software development costs</w:t>
            </w:r>
          </w:p>
        </w:tc>
        <w:tc>
          <w:tcPr>
            <w:tcW w:w="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(11,966 )</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righ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(7,423 )</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(929 )</w:t>
            </w:r>
          </w:p>
        </w:tc>
      </w:tr>
      <w:tr>
        <w:trPr>
          <w:trHeight w:val="196"/>
        </w:trPr>
        <w:tc>
          <w:tcPr>
            <w:tcW w:w="5860" w:type="dxa"/>
            <w:vAlign w:val="bottom"/>
          </w:tcPr>
          <w:p>
            <w:pPr>
              <w:ind w:left="38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(24,992 )</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(10,798 )</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(2,043 )</w:t>
            </w:r>
          </w:p>
        </w:tc>
      </w:tr>
      <w:tr>
        <w:trPr>
          <w:trHeight w:val="202"/>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184"/>
        </w:trPr>
        <w:tc>
          <w:tcPr>
            <w:tcW w:w="5860" w:type="dxa"/>
            <w:vAlign w:val="bottom"/>
          </w:tcPr>
          <w:p>
            <w:pPr>
              <w:ind w:left="200"/>
              <w:spacing w:after="0"/>
              <w:rPr>
                <w:sz w:val="20"/>
                <w:szCs w:val="20"/>
                <w:color w:val="auto"/>
              </w:rPr>
            </w:pPr>
            <w:r>
              <w:rPr>
                <w:rFonts w:ascii="Arial" w:cs="Arial" w:eastAsia="Arial" w:hAnsi="Arial"/>
                <w:sz w:val="14"/>
                <w:szCs w:val="14"/>
                <w:color w:val="auto"/>
              </w:rPr>
              <w:t>Proceeds from issuance of common stock in initial public offering, net of underwriting</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5860" w:type="dxa"/>
            <w:vAlign w:val="bottom"/>
          </w:tcPr>
          <w:p>
            <w:pPr>
              <w:ind w:left="200"/>
              <w:spacing w:after="0"/>
              <w:rPr>
                <w:sz w:val="20"/>
                <w:szCs w:val="20"/>
                <w:color w:val="auto"/>
              </w:rPr>
            </w:pPr>
            <w:r>
              <w:rPr>
                <w:rFonts w:ascii="Arial" w:cs="Arial" w:eastAsia="Arial" w:hAnsi="Arial"/>
                <w:sz w:val="14"/>
                <w:szCs w:val="14"/>
                <w:color w:val="auto"/>
              </w:rPr>
              <w:t>discounts and commissions</w:t>
            </w:r>
          </w:p>
        </w:tc>
        <w:tc>
          <w:tcPr>
            <w:tcW w:w="100" w:type="dxa"/>
            <w:vAlign w:val="bottom"/>
          </w:tcPr>
          <w:p>
            <w:pPr>
              <w:spacing w:after="0"/>
              <w:rPr>
                <w:sz w:val="16"/>
                <w:szCs w:val="16"/>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320,559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of initial public offering issuance costs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(3,848 )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Shareholder distribution</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(313 )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Capital contributions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59,423</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41,143</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Distributions to Predecessor Members and Optionholders</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(4,087 )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(17,991 )</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Borrowings from Successor First Lien Credit Facility</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261,413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Repayments of Successor First Lien Credit Facility</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(363,875 )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(1,675 )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Successor Second Lien Credit Facility</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(146,584 )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Borrowings on Successor Revolver</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25,000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Repayments on Successor Revolver</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(25,000 )</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Repayment of Predecessor First Lien Credit Facility</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(34,000 )</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of debt issuance costs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(1,257 )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(1,397 )</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Payments on capital lease obligations</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(1,286 )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(1,908 )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(274 )</w:t>
            </w: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deferred purchase agreements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5860" w:type="dxa"/>
            <w:vAlign w:val="bottom"/>
          </w:tcPr>
          <w:p>
            <w:pPr>
              <w:ind w:left="20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settlement of stock option exercises</w:t>
            </w:r>
          </w:p>
        </w:tc>
        <w:tc>
          <w:tcPr>
            <w:tcW w:w="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(332 )</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right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5860" w:type="dxa"/>
            <w:vAlign w:val="bottom"/>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64,372</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50,356</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(11,122 )</w:t>
            </w:r>
          </w:p>
        </w:tc>
      </w:tr>
      <w:tr>
        <w:trPr>
          <w:trHeight w:val="202"/>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Effect of exchange rate on cash. cash equivalents, and restricted cash</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(522 )</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tcBorders>
              <w:right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(1,665 )</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(102 )</w:t>
            </w:r>
          </w:p>
        </w:tc>
      </w:tr>
      <w:tr>
        <w:trPr>
          <w:trHeight w:val="203"/>
        </w:trPr>
        <w:tc>
          <w:tcPr>
            <w:tcW w:w="5860" w:type="dxa"/>
            <w:vAlign w:val="bottom"/>
          </w:tcPr>
          <w:p>
            <w:pPr>
              <w:ind w:left="20"/>
              <w:spacing w:after="0"/>
              <w:rPr>
                <w:sz w:val="20"/>
                <w:szCs w:val="20"/>
                <w:color w:val="auto"/>
              </w:rPr>
            </w:pPr>
            <w:r>
              <w:rPr>
                <w:rFonts w:ascii="Arial" w:cs="Arial" w:eastAsia="Arial" w:hAnsi="Arial"/>
                <w:sz w:val="14"/>
                <w:szCs w:val="14"/>
                <w:color w:val="auto"/>
              </w:rPr>
              <w:t>Increase (decrease) in cash, cash equivalents, and restricted cash</w:t>
            </w:r>
          </w:p>
        </w:tc>
        <w:tc>
          <w:tcPr>
            <w:tcW w:w="10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122,718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75,519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(32,483 )</w:t>
            </w:r>
          </w:p>
        </w:tc>
      </w:tr>
      <w:tr>
        <w:trPr>
          <w:trHeight w:val="196"/>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152,970</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right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rPr>
              <w:t>48,263</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80,746</w:t>
            </w:r>
          </w:p>
        </w:tc>
      </w:tr>
      <w:tr>
        <w:trPr>
          <w:trHeight w:val="196"/>
        </w:trPr>
        <w:tc>
          <w:tcPr>
            <w:tcW w:w="58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275,688</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123,782</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48,263</w:t>
            </w: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2"/>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197"/>
        </w:trPr>
        <w:tc>
          <w:tcPr>
            <w:tcW w:w="5860" w:type="dxa"/>
            <w:vAlign w:val="bottom"/>
          </w:tcPr>
          <w:p>
            <w:pPr>
              <w:ind w:left="20"/>
              <w:spacing w:after="0"/>
              <w:rPr>
                <w:sz w:val="20"/>
                <w:szCs w:val="20"/>
                <w:color w:val="auto"/>
              </w:rPr>
            </w:pPr>
            <w:r>
              <w:rPr>
                <w:rFonts w:ascii="Arial" w:cs="Arial" w:eastAsia="Arial" w:hAnsi="Arial"/>
                <w:sz w:val="14"/>
                <w:szCs w:val="14"/>
                <w:color w:val="auto"/>
              </w:rPr>
              <w:t>Cash paid for income taxes, net of refunds received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6,069</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2,994</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208"/>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18,362</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31,658</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224</w:t>
            </w:r>
          </w:p>
        </w:tc>
      </w:tr>
      <w:tr>
        <w:trPr>
          <w:trHeight w:val="197"/>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8"/>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costs included in accounts payable and accrued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187</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5860" w:type="dxa"/>
            <w:vAlign w:val="bottom"/>
          </w:tcPr>
          <w:p>
            <w:pPr>
              <w:ind w:left="20"/>
              <w:spacing w:after="0"/>
              <w:rPr>
                <w:sz w:val="20"/>
                <w:szCs w:val="20"/>
                <w:color w:val="auto"/>
              </w:rPr>
            </w:pPr>
            <w:r>
              <w:rPr>
                <w:rFonts w:ascii="Arial" w:cs="Arial" w:eastAsia="Arial" w:hAnsi="Arial"/>
                <w:sz w:val="14"/>
                <w:szCs w:val="14"/>
                <w:color w:val="auto"/>
              </w:rPr>
              <w:t>Non-cash property and equipment additions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2,796</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289</w:t>
            </w:r>
          </w:p>
        </w:tc>
      </w:tr>
      <w:tr>
        <w:trPr>
          <w:trHeight w:val="208"/>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 declared to Optionholders but not paid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-4951095</wp:posOffset>
            </wp:positionV>
            <wp:extent cx="1028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-5095240</wp:posOffset>
            </wp:positionV>
            <wp:extent cx="55880" cy="299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80" cy="29972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-4162425</wp:posOffset>
            </wp:positionV>
            <wp:extent cx="10287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-4306570</wp:posOffset>
            </wp:positionV>
            <wp:extent cx="55880" cy="299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80" cy="29972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-1719580</wp:posOffset>
            </wp:positionV>
            <wp:extent cx="10287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-1863725</wp:posOffset>
            </wp:positionV>
            <wp:extent cx="55880" cy="299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80" cy="29972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-1188085</wp:posOffset>
            </wp:positionV>
            <wp:extent cx="10287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-1332230</wp:posOffset>
            </wp:positionV>
            <wp:extent cx="55880" cy="316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80" cy="31686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Stockholders’</w:t>
            </w:r>
          </w:p>
        </w:tc>
      </w:tr>
      <w:tr>
        <w:trPr>
          <w:trHeight w:val="198"/>
        </w:trPr>
        <w:tc>
          <w:tcPr>
            <w:tcW w:w="4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7"/>
              </w:rPr>
              <w:t>Paid-In-Capital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8"/>
              </w:rPr>
              <w:t>Equity</w:t>
            </w:r>
          </w:p>
        </w:tc>
      </w:tr>
      <w:tr>
        <w:trPr>
          <w:trHeight w:val="250"/>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Successor:</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8"/>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w w:val="95"/>
              </w:rPr>
              <w:t>For the period from January 1, 2021 to September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1"/>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December 31, 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FF0FC"/>
          </w:tcPr>
          <w:p>
            <w:pPr>
              <w:spacing w:after="0"/>
              <w:rPr>
                <w:sz w:val="22"/>
                <w:szCs w:val="22"/>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839,148</w:t>
            </w:r>
          </w:p>
        </w:tc>
        <w:tc>
          <w:tcPr>
            <w:tcW w:w="80" w:type="dxa"/>
            <w:vAlign w:val="bottom"/>
            <w:shd w:val="clear" w:color="auto" w:fill="CFF0FC"/>
          </w:tcPr>
          <w:p>
            <w:pPr>
              <w:spacing w:after="0"/>
              <w:rPr>
                <w:sz w:val="22"/>
                <w:szCs w:val="22"/>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(47,492 )</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20" w:type="dxa"/>
            <w:vAlign w:val="bottom"/>
            <w:shd w:val="clear" w:color="auto" w:fill="CFF0FC"/>
          </w:tcPr>
          <w:p>
            <w:pPr>
              <w:spacing w:after="0"/>
              <w:rPr>
                <w:sz w:val="22"/>
                <w:szCs w:val="22"/>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794,270</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562</w:t>
            </w: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2,760</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(19,389 )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(19,389 )</w:t>
            </w:r>
          </w:p>
        </w:tc>
      </w:tr>
      <w:tr>
        <w:trPr>
          <w:trHeight w:val="257"/>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March 31, 2021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FF0FC"/>
          </w:tcPr>
          <w:p>
            <w:pPr>
              <w:spacing w:after="0"/>
              <w:rPr>
                <w:sz w:val="22"/>
                <w:szCs w:val="22"/>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839,710</w:t>
            </w:r>
          </w:p>
        </w:tc>
        <w:tc>
          <w:tcPr>
            <w:tcW w:w="80" w:type="dxa"/>
            <w:vAlign w:val="bottom"/>
            <w:shd w:val="clear" w:color="auto" w:fill="CFF0FC"/>
          </w:tcPr>
          <w:p>
            <w:pPr>
              <w:spacing w:after="0"/>
              <w:rPr>
                <w:sz w:val="22"/>
                <w:szCs w:val="22"/>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(66,881 )</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w:t>
            </w:r>
          </w:p>
        </w:tc>
        <w:tc>
          <w:tcPr>
            <w:tcW w:w="20" w:type="dxa"/>
            <w:vAlign w:val="bottom"/>
            <w:shd w:val="clear" w:color="auto" w:fill="CFF0FC"/>
          </w:tcPr>
          <w:p>
            <w:pPr>
              <w:spacing w:after="0"/>
              <w:rPr>
                <w:sz w:val="22"/>
                <w:szCs w:val="22"/>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778,203</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2,664</w:t>
            </w: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contributions</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241</w:t>
            </w:r>
          </w:p>
        </w:tc>
      </w:tr>
      <w:tr>
        <w:trPr>
          <w:trHeight w:val="242"/>
        </w:trPr>
        <w:tc>
          <w:tcPr>
            <w:tcW w:w="412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initial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public offering, net of offering costs, underwriting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discounts and commissions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316,502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316,525</w:t>
            </w: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 distribution</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(313 )</w:t>
            </w: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(313 )</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(1,295 )</w:t>
            </w:r>
          </w:p>
        </w:tc>
      </w:tr>
      <w:tr>
        <w:trPr>
          <w:trHeight w:val="257"/>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3,770</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BALANCE – June 30, 2021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1,158,804</w:t>
            </w:r>
          </w:p>
        </w:tc>
        <w:tc>
          <w:tcPr>
            <w:tcW w:w="8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(63,111 )</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3,949</w:t>
            </w:r>
          </w:p>
        </w:tc>
        <w:tc>
          <w:tcPr>
            <w:tcW w:w="2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1,099,795</w:t>
            </w: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1,343</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187</w:t>
            </w:r>
          </w:p>
        </w:tc>
      </w:tr>
      <w:tr>
        <w:trPr>
          <w:trHeight w:val="24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withheld for tax obligations and net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44"/>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of stock option exercise</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(332 )</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(332 )</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(3,059 )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(3,059 )</w:t>
            </w:r>
          </w:p>
        </w:tc>
      </w:tr>
      <w:tr>
        <w:trPr>
          <w:trHeight w:val="257"/>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16,285</w:t>
            </w:r>
          </w:p>
        </w:tc>
        <w:tc>
          <w:tcPr>
            <w:tcW w:w="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16,285</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BALANCE – September 30, 2021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1,160,002</w:t>
            </w:r>
          </w:p>
        </w:tc>
        <w:tc>
          <w:tcPr>
            <w:tcW w:w="8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(46,826 )</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1,114,219</w:t>
            </w: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96"/>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5"/>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93"/>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Stockholders’</w:t>
            </w:r>
          </w:p>
        </w:tc>
      </w:tr>
      <w:tr>
        <w:trPr>
          <w:trHeight w:val="198"/>
        </w:trPr>
        <w:tc>
          <w:tcPr>
            <w:tcW w:w="4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Paid-In-Capital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8"/>
              </w:rPr>
              <w:t>Equity</w:t>
            </w:r>
          </w:p>
        </w:tc>
      </w:tr>
      <w:tr>
        <w:trPr>
          <w:trHeight w:val="250"/>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Successor:</w:t>
            </w:r>
          </w:p>
        </w:tc>
        <w:tc>
          <w:tcPr>
            <w:tcW w:w="8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r>
      <w:tr>
        <w:trPr>
          <w:trHeight w:val="238"/>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For the period from February 1, 2020 to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1"/>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September 30, 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February 1, 2020</w:t>
            </w: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FF0FC"/>
          </w:tcPr>
          <w:p>
            <w:pPr>
              <w:spacing w:after="0"/>
              <w:rPr>
                <w:sz w:val="22"/>
                <w:szCs w:val="22"/>
                <w:color w:val="auto"/>
              </w:rPr>
            </w:pPr>
          </w:p>
        </w:tc>
        <w:tc>
          <w:tcPr>
            <w:tcW w:w="26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779,596</w:t>
            </w:r>
          </w:p>
        </w:tc>
        <w:tc>
          <w:tcPr>
            <w:tcW w:w="80" w:type="dxa"/>
            <w:vAlign w:val="bottom"/>
            <w:shd w:val="clear" w:color="auto" w:fill="CFF0FC"/>
          </w:tcPr>
          <w:p>
            <w:pPr>
              <w:spacing w:after="0"/>
              <w:rPr>
                <w:sz w:val="22"/>
                <w:szCs w:val="22"/>
                <w:color w:val="auto"/>
              </w:rPr>
            </w:pPr>
          </w:p>
        </w:tc>
        <w:tc>
          <w:tcPr>
            <w:tcW w:w="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779,726</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281</w:t>
            </w: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contributions</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59,423</w:t>
            </w: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59,423</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(8,659 )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(8,659 )</w:t>
            </w:r>
          </w:p>
        </w:tc>
      </w:tr>
      <w:tr>
        <w:trPr>
          <w:trHeight w:val="257"/>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(21,814 )</w:t>
            </w: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(21,814 )</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BALANCE – March 31, 2020</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2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839,300</w:t>
            </w:r>
          </w:p>
        </w:tc>
        <w:tc>
          <w:tcPr>
            <w:tcW w:w="80" w:type="dxa"/>
            <w:vAlign w:val="bottom"/>
          </w:tcPr>
          <w:p>
            <w:pPr>
              <w:spacing w:after="0"/>
              <w:rPr>
                <w:sz w:val="21"/>
                <w:szCs w:val="21"/>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(21,814 )</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(8,659 )</w:t>
            </w:r>
          </w:p>
        </w:tc>
        <w:tc>
          <w:tcPr>
            <w:tcW w:w="20" w:type="dxa"/>
            <w:vAlign w:val="bottom"/>
          </w:tcPr>
          <w:p>
            <w:pPr>
              <w:spacing w:after="0"/>
              <w:rPr>
                <w:sz w:val="21"/>
                <w:szCs w:val="21"/>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808,957</w:t>
            </w: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520</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486</w:t>
            </w:r>
          </w:p>
        </w:tc>
      </w:tr>
      <w:tr>
        <w:trPr>
          <w:trHeight w:val="257"/>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(16,366 )</w:t>
            </w: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(16,366 )</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BALANCE – June 30, 2020</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2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839,820</w:t>
            </w:r>
          </w:p>
        </w:tc>
        <w:tc>
          <w:tcPr>
            <w:tcW w:w="80" w:type="dxa"/>
            <w:vAlign w:val="bottom"/>
          </w:tcPr>
          <w:p>
            <w:pPr>
              <w:spacing w:after="0"/>
              <w:rPr>
                <w:sz w:val="21"/>
                <w:szCs w:val="21"/>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(38,180 )</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(8,173 )</w:t>
            </w:r>
          </w:p>
        </w:tc>
        <w:tc>
          <w:tcPr>
            <w:tcW w:w="20" w:type="dxa"/>
            <w:vAlign w:val="bottom"/>
          </w:tcPr>
          <w:p>
            <w:pPr>
              <w:spacing w:after="0"/>
              <w:rPr>
                <w:sz w:val="21"/>
                <w:szCs w:val="21"/>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793,597</w:t>
            </w: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530</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7,009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7,009</w:t>
            </w:r>
          </w:p>
        </w:tc>
      </w:tr>
      <w:tr>
        <w:trPr>
          <w:trHeight w:val="257"/>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(3,452 )</w:t>
            </w: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(3,452 )</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BALANCE – September 30, 2020</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2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840,350</w:t>
            </w:r>
          </w:p>
        </w:tc>
        <w:tc>
          <w:tcPr>
            <w:tcW w:w="80" w:type="dxa"/>
            <w:vAlign w:val="bottom"/>
          </w:tcPr>
          <w:p>
            <w:pPr>
              <w:spacing w:after="0"/>
              <w:rPr>
                <w:sz w:val="21"/>
                <w:szCs w:val="21"/>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(41,632 )</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(1,164 )</w:t>
            </w:r>
          </w:p>
        </w:tc>
        <w:tc>
          <w:tcPr>
            <w:tcW w:w="20" w:type="dxa"/>
            <w:vAlign w:val="bottom"/>
          </w:tcPr>
          <w:p>
            <w:pPr>
              <w:spacing w:after="0"/>
              <w:rPr>
                <w:sz w:val="21"/>
                <w:szCs w:val="21"/>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797,684</w:t>
            </w:r>
          </w:p>
        </w:tc>
      </w:tr>
      <w:tr>
        <w:trPr>
          <w:trHeight w:val="20"/>
        </w:trPr>
        <w:tc>
          <w:tcPr>
            <w:tcW w:w="4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-4745355</wp:posOffset>
            </wp:positionV>
            <wp:extent cx="939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-4745355</wp:posOffset>
            </wp:positionV>
            <wp:extent cx="9461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-4745355</wp:posOffset>
            </wp:positionV>
            <wp:extent cx="8572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-4745355</wp:posOffset>
            </wp:positionV>
            <wp:extent cx="857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-3613785</wp:posOffset>
            </wp:positionV>
            <wp:extent cx="939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-3613785</wp:posOffset>
            </wp:positionV>
            <wp:extent cx="946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-3613785</wp:posOffset>
            </wp:positionV>
            <wp:extent cx="857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-3613785</wp:posOffset>
            </wp:positionV>
            <wp:extent cx="857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-1513840</wp:posOffset>
            </wp:positionV>
            <wp:extent cx="857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-1513840</wp:posOffset>
            </wp:positionV>
            <wp:extent cx="857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-1513840</wp:posOffset>
            </wp:positionV>
            <wp:extent cx="768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-1513840</wp:posOffset>
            </wp:positionV>
            <wp:extent cx="774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-853440</wp:posOffset>
            </wp:positionV>
            <wp:extent cx="857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-853440</wp:posOffset>
            </wp:positionV>
            <wp:extent cx="857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-853440</wp:posOffset>
            </wp:positionV>
            <wp:extent cx="768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-853440</wp:posOffset>
            </wp:positionV>
            <wp:extent cx="7747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-193675</wp:posOffset>
            </wp:positionV>
            <wp:extent cx="8572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-193675</wp:posOffset>
            </wp:positionV>
            <wp:extent cx="8572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768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-193675</wp:posOffset>
            </wp:positionV>
            <wp:extent cx="7747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(Deficit)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Class A 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Class B 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Class C Units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5"/>
                <w:szCs w:val="15"/>
                <w:color w:val="auto"/>
              </w:rPr>
            </w:pPr>
          </w:p>
        </w:tc>
        <w:tc>
          <w:tcPr>
            <w:tcW w:w="118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5"/>
              </w:rPr>
              <w:t>Total Members’</w:t>
            </w:r>
          </w:p>
        </w:tc>
      </w:tr>
      <w:tr>
        <w:trPr>
          <w:trHeight w:val="175"/>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9"/>
              </w:rPr>
              <w:t>(Deficit)</w:t>
            </w:r>
          </w:p>
        </w:tc>
      </w:tr>
      <w:tr>
        <w:trPr>
          <w:trHeight w:val="198"/>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3"/>
              </w:rPr>
              <w:t>Equity</w:t>
            </w:r>
          </w:p>
        </w:tc>
      </w:tr>
      <w:tr>
        <w:trPr>
          <w:trHeight w:val="250"/>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Predecessor:</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For the period January 1, 2020 to</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1"/>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January 31, 2020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December 31, 2019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106,090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2,254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11,524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(201,233 )</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(12,852 )</w:t>
            </w: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(94,217 )</w:t>
            </w: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3,976</w:t>
            </w: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contributions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34,186</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41,143</w:t>
            </w: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Distribution to Optionholders</w:t>
            </w:r>
          </w:p>
        </w:tc>
        <w:tc>
          <w:tcPr>
            <w:tcW w:w="12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(1,469 )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(17,303 )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(18,772 )</w:t>
            </w: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(36,530 )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(36,530 )</w:t>
            </w:r>
          </w:p>
        </w:tc>
      </w:tr>
      <w:tr>
        <w:trPr>
          <w:trHeight w:val="290"/>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 January 31, 2020</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140,276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4,561</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(237,763 )</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(12,883 )</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-24765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Nature of Business, and Basis of Presentation</w:t>
      </w:r>
    </w:p>
    <w:p>
      <w:pPr>
        <w:spacing w:after="0" w:line="189"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Fastball Intermediate, Inc., a Delaware corporation, was formed on November 15, 2019 and subsequently changed its name to First Advantage Corporation in March 2021. Hereafter, First Advantage Corporation and its subsidiaries will collectively be referred to as the “Company”. On January 31, 2020, a fund managed by Silver Lake acquired substantially all of the Company’s equity interests from the Predecessor equity owners, primarily funds managed by Symphony Technology Group (“STG”) (the “Silver Lake Transaction”). For the purposes of the condensed consolidated financial statements, periods on or before January 31, 2020 reflect the financial position, results of operations and cash flows of the Company and its consolidated subsidiaries prior to the Silver Lake Transaction, referred to herein as the Predecessor, and periods beginning after January 31, 2020 reflect the financial position, results of operations and cash flows of the Company and its consolidated subsidiaries as a result of the Silver Lake Transaction, referred to herein as the Successor. As a result of the Silver Lake Transaction, the results of operations and financial position of the Predecessor and Successor are not directly comparable.</w:t>
      </w:r>
    </w:p>
    <w:p>
      <w:pPr>
        <w:spacing w:after="0" w:line="109"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The Company derives its revenues from a variety of background check services across the hiring/onboarding and employment/worker lifecycle including pre-onboarding checks and post-onboarding monitoring of employees, contractors, contingent workers, tenants, and drivers, and classifies these service offerings into three categories: pre-onboarding, post-onboarding and adjacent products.</w:t>
      </w:r>
    </w:p>
    <w:p>
      <w:pPr>
        <w:spacing w:after="0" w:line="125"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color w:val="auto"/>
        </w:rPr>
        <w:t xml:space="preserve">Initial Public Offering </w:t>
      </w:r>
      <w:r>
        <w:rPr>
          <w:rFonts w:ascii="Arial" w:cs="Arial" w:eastAsia="Arial" w:hAnsi="Arial"/>
          <w:sz w:val="17"/>
          <w:szCs w:val="17"/>
          <w:color w:val="auto"/>
        </w:rPr>
        <w:t>— The Company’s registration statement on Form S-1 (“IPO Registration Statement”) related to its initial public offering (“IPO”)</w:t>
      </w:r>
      <w:r>
        <w:rPr>
          <w:rFonts w:ascii="Arial" w:cs="Arial" w:eastAsia="Arial" w:hAnsi="Arial"/>
          <w:sz w:val="17"/>
          <w:szCs w:val="17"/>
          <w:b w:val="1"/>
          <w:bCs w:val="1"/>
          <w:color w:val="auto"/>
        </w:rPr>
        <w:t xml:space="preserve"> </w:t>
      </w:r>
      <w:r>
        <w:rPr>
          <w:rFonts w:ascii="Arial" w:cs="Arial" w:eastAsia="Arial" w:hAnsi="Arial"/>
          <w:sz w:val="17"/>
          <w:szCs w:val="17"/>
          <w:color w:val="auto"/>
        </w:rPr>
        <w:t>was declared effective on June 22, 2021, and the Company’s common stock began trading on the Nasdaq Global Select Market on June 23, 2021. On June 25, 2021, the Company completed its IPO of 29,325,000 shares of the Company common stock, $0.001 par value per share (the “Common Stock”) at an offering price of $15.00 per share, pursuant to the Company’s IPO Registration Statement. The Company sold 22,856,250 shares, including 2,981,250 shares that were sold pursuant to the full exercise of the underwriters’ option to purchase additional shares. Certain existing stockholders sold an aggregate of 6,468,750 shares, including 843,750 shares that were sold pursuant to the full exercise of the underwriters' option to purchase additional shares. The Company received aggregate net proceeds of $316.5 million after deducting underwriting discounts and commissions of $22.3 million and other offering expenses of $4.0 million, $0.2 million of which was unpaid at September 30, 2021.</w:t>
      </w:r>
    </w:p>
    <w:p>
      <w:pPr>
        <w:spacing w:after="0" w:line="12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Immediately prior to the completion of the IPO, the Company filed an Amended and Restated Certificate of Incorporation, which authorized a total of 1,000,000,000 shares of Common Stock, $0.001 par value per share and 250,000,000 shares of Preferred Stock, par value $0.001 per share (the “Preferred Stock”). After filing the Amended and Restated Certificate of Incorporation, certain redemptions, exchanges, and conversions (collectively, the “Equity Conversion”) were made in connection with the dissolution of Fastball Holdco, L.P., the Company’s parent, which occurred prior to the completion of the IPO. All outstanding Class A LP Units, Class B LP Units, and Class C LP Units of Fastball Holdco, L.P were exchanged for 130,000,000 shares of the Company’s common stock. Outstanding stock options previously issued by Fastball Holdco, L.P. were converted into 3,865,509 stock options issued by the Company.</w:t>
      </w:r>
    </w:p>
    <w:p>
      <w:pPr>
        <w:spacing w:after="0" w:line="134" w:lineRule="exact"/>
        <w:rPr>
          <w:sz w:val="20"/>
          <w:szCs w:val="20"/>
          <w:color w:val="auto"/>
        </w:rPr>
      </w:pPr>
    </w:p>
    <w:p>
      <w:pPr>
        <w:ind w:right="180"/>
        <w:spacing w:after="0" w:line="297"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—The accompanying unaudited condensed consolidated financial statements have been prepared in accordance with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 The Company considers itself to be a single operating and reporting entity structure.</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audited financial statements for the year ended December 31, 2020 included in its IPO Registration Statement.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experiences seasonality with respect to certain customer industries as a result of fluctuations in hiring volumes and other economic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Generally, the Company’s highest revenues have occurred in the second half of each 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right="20"/>
        <w:spacing w:after="0" w:line="297"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the condensed consolidated financial statements in accordance with GAAP requires management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financial statements and the reported amounts of revenue and expenses during the reported period. Changes in these estimates and assumptions may have a material impact on the condensed consolidated financial statements and accompanying notes.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Significant estimates, judgments, and assumptions, include, but are not limited to, the determination of the fair value and useful lives of assets acquired and liabilities assumed through business combinations, the impairment of long-lived assets, and goodwill impairment, collectability of receivables,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Certain financial assets and liabilities are reported at fair value in the accompanying condensed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balance sheets in accordance with Financial Accounting Standards Board (“FASB”) Accounting Standards Codification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ASC 820 establishes a framework for measuring fair value and expands disclosures about fair value measurements. ASC 820 defines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85" w:lineRule="exact"/>
        <w:rPr>
          <w:sz w:val="20"/>
          <w:szCs w:val="20"/>
          <w:color w:val="auto"/>
        </w:rPr>
      </w:pPr>
    </w:p>
    <w:p>
      <w:pPr>
        <w:ind w:left="520" w:right="160"/>
        <w:spacing w:after="0" w:line="29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model-derived valuations whose inputs are observable or whose significant value drivers are observable.</w:t>
      </w:r>
    </w:p>
    <w:p>
      <w:pPr>
        <w:spacing w:after="0" w:line="116" w:lineRule="exact"/>
        <w:rPr>
          <w:sz w:val="20"/>
          <w:szCs w:val="20"/>
          <w:color w:val="auto"/>
        </w:rPr>
      </w:pPr>
    </w:p>
    <w:p>
      <w:pPr>
        <w:ind w:left="520" w:right="240"/>
        <w:spacing w:after="0" w:line="29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inputs to the valuation model are unobservable (supported by little or no market activities). These inputs may be used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internally developed methodologies that reflect the Company’s best estimate of fair value from a market participant.</w:t>
      </w:r>
    </w:p>
    <w:p>
      <w:pPr>
        <w:spacing w:after="0" w:line="11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spacing w:after="0" w:line="131"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color w:val="auto"/>
        </w:rPr>
        <w:t>The carrying amounts of cash and cash equivalents, short-term investments, receivables, short-term debt, and accounts payable approximate fair value due to the short-term maturities of these financial instruments (Level 1). The fair values and carrying values of the Company’s long-term debt are disclosed in Note 6.</w:t>
      </w:r>
    </w:p>
    <w:p>
      <w:pPr>
        <w:spacing w:after="0" w:line="129"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September 30, 2021 (Successor) (in thousands):</w:t>
      </w:r>
    </w:p>
    <w:p>
      <w:pPr>
        <w:spacing w:after="0" w:line="121" w:lineRule="exact"/>
        <w:rPr>
          <w:sz w:val="20"/>
          <w:szCs w:val="20"/>
          <w:color w:val="auto"/>
        </w:rPr>
      </w:pPr>
    </w:p>
    <w:p>
      <w:pPr>
        <w:ind w:left="6280"/>
        <w:spacing w:after="0"/>
        <w:tabs>
          <w:tab w:leader="none" w:pos="7520" w:val="left"/>
          <w:tab w:leader="none" w:pos="874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498919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Liabilities</w:t>
      </w:r>
    </w:p>
    <w:p>
      <w:pPr>
        <w:spacing w:after="0" w:line="50" w:lineRule="exact"/>
        <w:rPr>
          <w:sz w:val="20"/>
          <w:szCs w:val="20"/>
          <w:color w:val="auto"/>
        </w:rPr>
      </w:pPr>
    </w:p>
    <w:p>
      <w:pPr>
        <w:ind w:left="1880"/>
        <w:spacing w:after="0"/>
        <w:tabs>
          <w:tab w:leader="none" w:pos="5980" w:val="left"/>
          <w:tab w:leader="none" w:pos="6800" w:val="left"/>
          <w:tab w:leader="none" w:pos="7200" w:val="left"/>
          <w:tab w:leader="none" w:pos="7880" w:val="left"/>
          <w:tab w:leader="none" w:pos="8480" w:val="left"/>
          <w:tab w:leader="none" w:pos="928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1,646</w:t>
        <w:tab/>
        <w:t>$</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85" w:lineRule="exact"/>
        <w:rPr>
          <w:sz w:val="20"/>
          <w:szCs w:val="20"/>
          <w:color w:val="auto"/>
        </w:rPr>
      </w:pPr>
    </w:p>
    <w:p>
      <w:pPr>
        <w:ind w:right="460"/>
        <w:spacing w:after="0" w:line="279" w:lineRule="auto"/>
        <w:rPr>
          <w:sz w:val="20"/>
          <w:szCs w:val="20"/>
          <w:color w:val="auto"/>
        </w:rPr>
      </w:pPr>
      <w:r>
        <w:rPr>
          <w:rFonts w:ascii="Arial" w:cs="Arial" w:eastAsia="Arial" w:hAnsi="Arial"/>
          <w:sz w:val="18"/>
          <w:szCs w:val="18"/>
          <w:color w:val="auto"/>
        </w:rPr>
        <w:t>Long-lived assets and other intangible assets are subject to nonrecurring fair value measurement for the assessment of impairment or as the result of business acquisitions. The fair value of these assets were estimated using the present value of expected future cash flows through unobservable inputs (Level 3).</w:t>
      </w:r>
    </w:p>
    <w:p>
      <w:pPr>
        <w:spacing w:after="0" w:line="129" w:lineRule="exact"/>
        <w:rPr>
          <w:sz w:val="20"/>
          <w:szCs w:val="20"/>
          <w:color w:val="auto"/>
        </w:rPr>
      </w:pPr>
    </w:p>
    <w:p>
      <w:pPr>
        <w:ind w:right="380"/>
        <w:spacing w:after="0" w:line="359" w:lineRule="auto"/>
        <w:rPr>
          <w:sz w:val="20"/>
          <w:szCs w:val="20"/>
          <w:color w:val="auto"/>
        </w:rPr>
      </w:pPr>
      <w:r>
        <w:rPr>
          <w:rFonts w:ascii="Arial" w:cs="Arial" w:eastAsia="Arial" w:hAnsi="Arial"/>
          <w:sz w:val="16"/>
          <w:szCs w:val="16"/>
          <w:color w:val="auto"/>
        </w:rPr>
        <w:t>As of December 31, 2020 (Successor), the Company completed its annual assessment of the recoverability of goodwill for our reporting units. The fair values of these reporting units were estimated using the present value of expected future cash flows through unobservable inputs (Level 3).</w:t>
      </w:r>
    </w:p>
    <w:p>
      <w:pPr>
        <w:spacing w:after="0" w:line="67"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records business combinations using the acquisition method of accounting in accordance with ASC 805,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06"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02"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 xml:space="preserve">Goodwill, Trade Name, and Customer Lists </w:t>
      </w:r>
      <w:r>
        <w:rPr>
          <w:rFonts w:ascii="Arial" w:cs="Arial" w:eastAsia="Arial" w:hAnsi="Arial"/>
          <w:sz w:val="17"/>
          <w:szCs w:val="17"/>
          <w:color w:val="auto"/>
        </w:rPr>
        <w:t>— The Company tests goodwill for impairment annually as of December 31 or more frequently if an event</w:t>
      </w:r>
      <w:r>
        <w:rPr>
          <w:rFonts w:ascii="Arial" w:cs="Arial" w:eastAsia="Arial" w:hAnsi="Arial"/>
          <w:sz w:val="17"/>
          <w:szCs w:val="17"/>
          <w:b w:val="1"/>
          <w:bCs w:val="1"/>
          <w:color w:val="auto"/>
        </w:rPr>
        <w:t xml:space="preserve"> </w:t>
      </w:r>
      <w:r>
        <w:rPr>
          <w:rFonts w:ascii="Arial" w:cs="Arial" w:eastAsia="Arial" w:hAnsi="Arial"/>
          <w:sz w:val="17"/>
          <w:szCs w:val="17"/>
          <w:color w:val="auto"/>
        </w:rPr>
        <w:t>occurs or circumstances change that would more likely than not reduce the fair value of a reporting unit or indefinite-lived intangible asset below its carrying value. Goodwill is tested for impairment at the reporting unit level using a fair value approach. The Company first assesses qualitative factors to determine whether it is more likely than not that the fair value of a reporting unit is less than its carrying value, a “Step 0” analysis. If, based on a review of qualitative factors, it is more likely than not that the fair value of a reporting unit is less than its carrying value the Company performs “Step 1” of the goodwill impairment test by comparing the fair value of a reporting unit with its carrying amount. The Company determines the fair value of a reporting unit by estimating the present value of expected future cash flows, discounted by the applicable discount rate. If the carrying value exceeds the fair value, the Company measures the amount of impairment loss, if any, by comparing the implied fair value of the reporting unit goodwill with its carrying amount, the “Step 2” analysis. No impairment charges have been required.</w:t>
      </w:r>
    </w:p>
    <w:p>
      <w:pPr>
        <w:spacing w:after="0" w:line="128"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color w:val="auto"/>
        </w:rPr>
        <w:t>During the Predecessor period, the Company’s trade name had an indefinite life and was not amortized. The Company evaluates indefinite-lived intangible assets for impairment annually as of December 31 or more frequently if an event occurred or circumstances changed that would more likely than not reduce the fair value of a reporting unit or indefinite-lived intangible asset below its carrying value. No impairments were required.</w:t>
      </w:r>
    </w:p>
    <w:p>
      <w:pPr>
        <w:spacing w:after="0" w:line="110"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Subsequent to the Silver Lake Transaction, the Company’s trade name is amortized on an accelerated basis over its expected useful life of twenty years. The Company recorded $2.0 million and $2.0 million of amortization expense related to the trade name for the three months ended September 30, 2021 and 2020 (Successor), respectively. The Company recorded $6.0 million for the nine months ended September 30, 2021 (Successor) and $5.4 million of amortization expense related to the trade name for the period from February 1, 2020 through September 30, 2020 (Successor). No amortization expense was recorded for the period from January 1, 2020 through January 31, 2020 (Predecessor).</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Customer lists are amortized on an accelerated basis based upon their estimated useful lives, ranging from seven to fourteen years during the Predecessor period and fourteen years in the Successor period. In the Predecessor period, the weighted-average amortization period of customer lists was 13.3 years. The Company recorded $16.4 million and $17.8 million of amortization expense related to customer lists for the three months ended September 30, 2021 and 2020 (Successor), respectively. The Company recorded $49.1 million, $47.4 million, and $0.8 million of amortization expense related to customer lists for the nine months ended September 30, 2021 (Successor), the period from February 1, 2020 through September 30, 2020 (Successor), and the period from January 1, 2020 through January 31, 2020 (Predecessor), respectively.</w:t>
      </w:r>
    </w:p>
    <w:p>
      <w:pPr>
        <w:spacing w:after="0" w:line="122" w:lineRule="exact"/>
        <w:rPr>
          <w:sz w:val="20"/>
          <w:szCs w:val="20"/>
          <w:color w:val="auto"/>
        </w:rPr>
      </w:pPr>
    </w:p>
    <w:p>
      <w:pPr>
        <w:ind w:right="460"/>
        <w:spacing w:after="0" w:line="279" w:lineRule="auto"/>
        <w:rPr>
          <w:sz w:val="20"/>
          <w:szCs w:val="20"/>
          <w:color w:val="auto"/>
        </w:rPr>
      </w:pPr>
      <w:r>
        <w:rPr>
          <w:rFonts w:ascii="Arial" w:cs="Arial" w:eastAsia="Arial" w:hAnsi="Arial"/>
          <w:sz w:val="18"/>
          <w:szCs w:val="18"/>
          <w:color w:val="auto"/>
        </w:rPr>
        <w:t>The Company regularly evaluates the amortization period assigned to each intangible asset to determine whether there have been any events or circumstances that warrant revised estimates of useful lives. In December 2020, and since that time, the Company determined that there have been no triggering events that would require impairment of trade names or customer lists.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 w:name="page11"/>
    <w:bookmarkEnd w:id="10"/>
    <w:p>
      <w:pPr>
        <w:ind w:right="80"/>
        <w:spacing w:after="0" w:line="332"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Revenues are recognized when control of the Company’s services is transferred to customers, in an amount that reflects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consideration the Company expects to be entitled to in exchange for those services.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was adopted as of January 1, 2019 using the modified retrospective method, revenues are recognized based on the following steps:</w:t>
      </w:r>
    </w:p>
    <w:p>
      <w:pPr>
        <w:spacing w:after="0" w:line="91" w:lineRule="exact"/>
        <w:rPr>
          <w:sz w:val="20"/>
          <w:szCs w:val="20"/>
          <w:color w:val="auto"/>
        </w:rPr>
      </w:pPr>
    </w:p>
    <w:p>
      <w:pPr>
        <w:ind w:left="1180" w:hanging="33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84" w:lineRule="exact"/>
        <w:rPr>
          <w:rFonts w:ascii="Arial" w:cs="Arial" w:eastAsia="Arial" w:hAnsi="Arial"/>
          <w:sz w:val="18"/>
          <w:szCs w:val="18"/>
          <w:color w:val="auto"/>
        </w:rPr>
      </w:pPr>
    </w:p>
    <w:p>
      <w:pPr>
        <w:ind w:left="1180" w:hanging="33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84" w:lineRule="exact"/>
        <w:rPr>
          <w:rFonts w:ascii="Arial" w:cs="Arial" w:eastAsia="Arial" w:hAnsi="Arial"/>
          <w:sz w:val="18"/>
          <w:szCs w:val="18"/>
          <w:color w:val="auto"/>
        </w:rPr>
      </w:pPr>
    </w:p>
    <w:p>
      <w:pPr>
        <w:ind w:left="1180" w:hanging="33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84" w:lineRule="exact"/>
        <w:rPr>
          <w:rFonts w:ascii="Arial" w:cs="Arial" w:eastAsia="Arial" w:hAnsi="Arial"/>
          <w:sz w:val="18"/>
          <w:szCs w:val="18"/>
          <w:color w:val="auto"/>
        </w:rPr>
      </w:pPr>
    </w:p>
    <w:p>
      <w:pPr>
        <w:ind w:left="1180" w:hanging="33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84" w:lineRule="exact"/>
        <w:rPr>
          <w:rFonts w:ascii="Arial" w:cs="Arial" w:eastAsia="Arial" w:hAnsi="Arial"/>
          <w:sz w:val="18"/>
          <w:szCs w:val="18"/>
          <w:color w:val="auto"/>
        </w:rPr>
      </w:pPr>
    </w:p>
    <w:p>
      <w:pPr>
        <w:ind w:left="1180" w:hanging="33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or related businesses.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 being recognized when the service is provided and becomes billable. Additionally, under this practical expedient, the Company is not required to estimate the transaction price.</w:t>
      </w:r>
    </w:p>
    <w:p>
      <w:pPr>
        <w:spacing w:after="0" w:line="128"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The Company considers negotiated and anticipated incentives and estimated adjustments, including historical collections experience, when recording revenues.</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less than one year. As a result, the Company uses the practical expedient which allows it to expense incremental costs of obtaining a contract, primarily consisting of sales commissions, as incurred.</w:t>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Company records third-party pass-through fees incurred as part of screening related services on a gross revenue basis, with the related expense recorded as a third-party records expense, as the Company has control over the transaction and is therefore considered to be acting as a principal. The Company records motor vehicle registration and other tax payments paid on behalf of the Company’s fleet management clients on a net revenue basis as the Company does not have control over the transaction and therefore is considered to be acting as an agent of the customer.</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Contract balances are generated when the revenue recognized in a given period varies from billing. A contract asset is created when the Company performs a service for a customer and recognizes more revenue than what has been billed. Contract assets are included in accounts receivable in the accompanying condensed consolidated balance sheets. A contract liability is created when the Company transfers a good or service to a customer and recognizes less than what has been billed. The Company recognizes these contract liabilities as deferred revenue when the Company has an obligation to perform services for a customer in the future and has already received consideration from the customer. Contract liabilities are included in deferred revenue in the accompanying condensed consolidated balance sheets.</w:t>
      </w:r>
    </w:p>
    <w:p>
      <w:pPr>
        <w:spacing w:after="0" w:line="118"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 The functional currency of all of the Company’s foreign subsidiaries is the applicable local currency. The translation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foreign currencies into U.S. dollars is performed for balance sheet accounts using current exchange rates in effect at the balance sheet date and for revenue and expense accounts using average exchange rates prevailing during the fiscal year. Adjustments resulting from the translation of foreign currency financial statements are accumulated net of tax in a separate component of equity. Gains or losses resulting from foreign currency transactions are included in the accompanying condensed consolidated statements of operations and comprehensive income (loss), except for those relating to intercompany transactions of a long-term investment nature, which are captured in a separate component of equity as accumulated other comprehensive income (loss).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ind w:right="60"/>
        <w:spacing w:after="0" w:line="314" w:lineRule="auto"/>
        <w:rPr>
          <w:sz w:val="20"/>
          <w:szCs w:val="20"/>
          <w:color w:val="auto"/>
        </w:rPr>
      </w:pPr>
      <w:r>
        <w:rPr>
          <w:rFonts w:ascii="Arial" w:cs="Arial" w:eastAsia="Arial" w:hAnsi="Arial"/>
          <w:sz w:val="16"/>
          <w:szCs w:val="16"/>
          <w:color w:val="auto"/>
        </w:rPr>
        <w:t>Currency transaction (loss) income included in the accompanying condensed consolidated statements of operations and comprehensive income (loss) were approximately $0.2 million and $0.5 million for the three months ended September 30, 2021 and 2020 (Successor), respectively. Currency transaction (loss) income included in the accompanying condensed consolidated statements of operations and comprehensive income (loss) were approximately $(0.1) million, $(0.4) million, and $0.1 million for the nine months ended September 30, 2021 (Successor), for the period from February 1, 2020 through September 30, 2020 (Successor), and for the period from January 1, 2020 through January 31, 2020 (Predecessor), respectively.</w:t>
      </w:r>
    </w:p>
    <w:p>
      <w:pPr>
        <w:spacing w:after="0" w:line="10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Currency translation (loss) income included in accumulated other comprehensive income (loss) were approximately $(3.1) million and $7.0 million for the three months ended September 30, 2021 and 2020 (Successor), respectively. Currency translation (loss) income included in accumulated other comprehensive income (loss) were approximately $(1.6) million, $(1.2) million, and $0.0 million for the nine months ended September 30, 2021 (Successor), for the period from February 1, 2020 through September 30, 2020 (Successor), and for the period from January 1, 2020 through January 31, 2020 (Predecessor), respectively.</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 The Company qualifies as an emerging growth company under the Jumpstart Our Business Startups (“JOBS”)</w:t>
      </w:r>
      <w:r>
        <w:rPr>
          <w:rFonts w:ascii="Arial" w:cs="Arial" w:eastAsia="Arial" w:hAnsi="Arial"/>
          <w:sz w:val="17"/>
          <w:szCs w:val="17"/>
          <w:b w:val="1"/>
          <w:bCs w:val="1"/>
          <w:color w:val="auto"/>
        </w:rPr>
        <w:t xml:space="preserve"> </w:t>
      </w:r>
      <w:r>
        <w:rPr>
          <w:rFonts w:ascii="Arial" w:cs="Arial" w:eastAsia="Arial" w:hAnsi="Arial"/>
          <w:sz w:val="17"/>
          <w:szCs w:val="17"/>
          <w:color w:val="auto"/>
        </w:rPr>
        <w:t>Act. The JOBS Act permits the Company an extended transition period for complying with new or revised accounting standards affecting public companies. The Company has elected to use this extended transition period and adopt certain new accounting standards on the private company timeline, which means that the Company’s financial statements may not be comparable to the financial statements of public companies that comply with such new or revised accounting standards on a non-delayed basis. There were no accounting pronouncements issued during the nine months ended September 30, 2021 which are expected to have a material impact on the condensed consolidated financial statements.</w:t>
      </w:r>
    </w:p>
    <w:p>
      <w:pPr>
        <w:spacing w:after="0" w:line="117" w:lineRule="exact"/>
        <w:rPr>
          <w:sz w:val="20"/>
          <w:szCs w:val="20"/>
          <w:color w:val="auto"/>
        </w:rPr>
      </w:pPr>
    </w:p>
    <w:p>
      <w:pPr>
        <w:spacing w:after="0" w:line="315"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2021, the Company adopted ASU 2018-15, Intangibles-Goodwill and Other-Internal-Use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(Subtopic 350-40): Customer's Accounting for Implementation Costs Incurred in a Cloud Computing Arrangement That is a Service Contract, which requires that issuers follow the internal-use software guidance in ASC 350-40 to determine which costs to capitalize as assets or expense as incurred. Adoption of this standard did not have a material impact on the consolidated financial statements. However, if the Company enters into material new cloud computing arrangements in the future, this standard will impact the accounting for those arrangements which may have a material effect on future results.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 Transaction</w:t>
      </w:r>
    </w:p>
    <w:p>
      <w:pPr>
        <w:spacing w:after="0" w:line="189"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color w:val="auto"/>
        </w:rPr>
        <w:t>On January 31, 2020, a fund managed by Silver Lake acquired substantially all of the Company’s equity interests for approximately $1,576.0 million. A portion of the consideration was derived from members of the management team contributing an allocation of their Silver Lake Transaction proceeds. As part of the Silver Lake Transaction, the Predecessor credit facilities were all repaid in full at closing and a new financing structure was executed (see Note 6).</w:t>
      </w:r>
    </w:p>
    <w:p>
      <w:pPr>
        <w:spacing w:after="0" w:line="131"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color w:val="auto"/>
        </w:rPr>
        <w:t>Silver Lake accounted for the Silver Lake Transaction as a business combination under ASC 805 and elected to apply pushdown accounting to the Company.</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allocation of the purchase price is based on the fair value of assets acquired and liabilities assumed as of the acquisition date, less transaction expenses funded by transaction proceeds. The following table summarizes the consideration paid and the amounts recognized for the assets acquired and liabilities assumed (in thousands):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56"/>
        </w:trPr>
        <w:tc>
          <w:tcPr>
            <w:tcW w:w="8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6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Cash, net of cash acquired</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1,556,810</w:t>
            </w:r>
          </w:p>
        </w:tc>
      </w:tr>
      <w:tr>
        <w:trPr>
          <w:trHeight w:val="257"/>
        </w:trPr>
        <w:tc>
          <w:tcPr>
            <w:tcW w:w="8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Rollover management equity interests</w:t>
            </w:r>
          </w:p>
        </w:tc>
        <w:tc>
          <w:tcPr>
            <w:tcW w:w="6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19,148</w:t>
            </w:r>
          </w:p>
        </w:tc>
      </w:tr>
      <w:tr>
        <w:trPr>
          <w:trHeight w:val="25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fair value of consideration transferred</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1,575,958</w:t>
            </w:r>
          </w:p>
        </w:tc>
      </w:tr>
      <w:tr>
        <w:trPr>
          <w:trHeight w:val="257"/>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145,277</w:t>
            </w: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Property and equipment, including software developed for internal use</w:t>
            </w:r>
          </w:p>
        </w:tc>
        <w:tc>
          <w:tcPr>
            <w:tcW w:w="6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236,775</w:t>
            </w:r>
          </w:p>
        </w:tc>
      </w:tr>
      <w:tr>
        <w:trPr>
          <w:trHeight w:val="263"/>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60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95,000</w:t>
            </w: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Customer lists</w:t>
            </w:r>
          </w:p>
        </w:tc>
        <w:tc>
          <w:tcPr>
            <w:tcW w:w="6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500,000</w:t>
            </w:r>
          </w:p>
        </w:tc>
      </w:tr>
      <w:tr>
        <w:trPr>
          <w:trHeight w:val="263"/>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w:t>
            </w:r>
          </w:p>
        </w:tc>
        <w:tc>
          <w:tcPr>
            <w:tcW w:w="60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106,327</w:t>
            </w: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1,429</w:t>
            </w:r>
          </w:p>
        </w:tc>
      </w:tr>
      <w:tr>
        <w:trPr>
          <w:trHeight w:val="263"/>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(71,496 )</w:t>
            </w: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6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(198,535 )</w:t>
            </w:r>
          </w:p>
        </w:tc>
      </w:tr>
      <w:tr>
        <w:trPr>
          <w:trHeight w:val="257"/>
        </w:trPr>
        <w:tc>
          <w:tcPr>
            <w:tcW w:w="8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(6,616 )</w:t>
            </w:r>
          </w:p>
        </w:tc>
      </w:tr>
      <w:tr>
        <w:trPr>
          <w:trHeight w:val="25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identifiable net assets</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808,161</w:t>
            </w:r>
          </w:p>
        </w:tc>
      </w:tr>
      <w:tr>
        <w:trPr>
          <w:trHeight w:val="290"/>
        </w:trPr>
        <w:tc>
          <w:tcPr>
            <w:tcW w:w="8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767,797</w:t>
            </w:r>
          </w:p>
        </w:tc>
      </w:tr>
    </w:tbl>
    <w:p>
      <w:pPr>
        <w:spacing w:after="0" w:line="161"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color w:val="auto"/>
        </w:rPr>
        <w:t>Goodwill recognized in the Silver Lake Transaction is primarily attributable to assembled workforce and the expected growth of the Company, and a significant portion of goodwill is not deductible for tax purposes.</w:t>
      </w:r>
    </w:p>
    <w:p>
      <w:pPr>
        <w:spacing w:after="0" w:line="116" w:lineRule="exact"/>
        <w:rPr>
          <w:sz w:val="20"/>
          <w:szCs w:val="20"/>
          <w:color w:val="auto"/>
        </w:rPr>
      </w:pPr>
    </w:p>
    <w:p>
      <w:pPr>
        <w:ind w:right="480"/>
        <w:spacing w:after="0" w:line="292" w:lineRule="auto"/>
        <w:rPr>
          <w:sz w:val="20"/>
          <w:szCs w:val="20"/>
          <w:color w:val="auto"/>
        </w:rPr>
      </w:pPr>
      <w:r>
        <w:rPr>
          <w:rFonts w:ascii="Arial" w:cs="Arial" w:eastAsia="Arial" w:hAnsi="Arial"/>
          <w:sz w:val="17"/>
          <w:szCs w:val="17"/>
          <w:color w:val="auto"/>
        </w:rPr>
        <w:t>Costs incurred by the Company related to the Silver Lake Transaction were primarily composed of deferred financing costs associated with the new financing structure which have been capitalized within long-term debt in the accompanying condensed consolidated balance sheets (see Note 6) and approximately $31.8 million of closing costs which have been recorded in transaction expenses, change in control in the accompanying condensed consolidated statements of operations and comprehensive income (loss). Seller related costs were recorded as transaction expenses in the Predecessor period, Silver Lake related costs were pushed down to the Company in the Successor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18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following summary, prepared on a pro forma basis pursuant to ASC 805, presents the Company’s condensed consolidated results of operations for the three and nine months ended September 30, 2020 as if the Silver Lake Transaction had been completed on January 1, 2020. The pro forma results below include the impact of certain adjustments related to the amortization of intangible assets, transaction-related costs incurred as of the acquisition date, and interest expense on related borrowings, and in each case, the related income tax effects, as well as certain other post-acquisition adjustments attributable to the Silver Lake Transaction. This pro forma presentation does not include any impact of transaction synergies. The pro forma results are not necessarily indicative of the results of operations that actually would have been achieved had the Silver Lake Transaction been consummated as of January 1,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center"/>
              <w:ind w:right="301"/>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ind w:right="301"/>
              <w:spacing w:after="0"/>
              <w:rPr>
                <w:sz w:val="20"/>
                <w:szCs w:val="20"/>
                <w:color w:val="auto"/>
              </w:rPr>
            </w:pPr>
            <w:r>
              <w:rPr>
                <w:rFonts w:ascii="Arial" w:cs="Arial" w:eastAsia="Arial" w:hAnsi="Arial"/>
                <w:sz w:val="14"/>
                <w:szCs w:val="14"/>
                <w:b w:val="1"/>
                <w:bCs w:val="1"/>
                <w:color w:val="auto"/>
                <w:w w:val="92"/>
              </w:rPr>
              <w:t>Nine Months</w:t>
            </w:r>
          </w:p>
        </w:tc>
        <w:tc>
          <w:tcPr>
            <w:tcW w:w="56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center"/>
              <w:ind w:right="321"/>
              <w:spacing w:after="0"/>
              <w:rPr>
                <w:sz w:val="20"/>
                <w:szCs w:val="20"/>
                <w:color w:val="auto"/>
              </w:rPr>
            </w:pPr>
            <w:r>
              <w:rPr>
                <w:rFonts w:ascii="Arial" w:cs="Arial" w:eastAsia="Arial" w:hAnsi="Arial"/>
                <w:sz w:val="14"/>
                <w:szCs w:val="14"/>
                <w:b w:val="1"/>
                <w:bCs w:val="1"/>
                <w:color w:val="auto"/>
                <w:w w:val="92"/>
              </w:rPr>
              <w:t>Ended September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ind w:right="301"/>
              <w:spacing w:after="0"/>
              <w:rPr>
                <w:sz w:val="20"/>
                <w:szCs w:val="20"/>
                <w:color w:val="auto"/>
              </w:rPr>
            </w:pPr>
            <w:r>
              <w:rPr>
                <w:rFonts w:ascii="Arial" w:cs="Arial" w:eastAsia="Arial" w:hAnsi="Arial"/>
                <w:sz w:val="14"/>
                <w:szCs w:val="14"/>
                <w:b w:val="1"/>
                <w:bCs w:val="1"/>
                <w:color w:val="auto"/>
                <w:w w:val="91"/>
              </w:rPr>
              <w:t>Ended September 30,</w:t>
            </w:r>
          </w:p>
        </w:tc>
        <w:tc>
          <w:tcPr>
            <w:tcW w:w="560" w:type="dxa"/>
            <w:vAlign w:val="bottom"/>
          </w:tcPr>
          <w:p>
            <w:pPr>
              <w:spacing w:after="0"/>
              <w:rPr>
                <w:sz w:val="15"/>
                <w:szCs w:val="15"/>
                <w:color w:val="auto"/>
              </w:rPr>
            </w:pPr>
          </w:p>
        </w:tc>
      </w:tr>
      <w:tr>
        <w:trPr>
          <w:trHeight w:val="198"/>
        </w:trPr>
        <w:tc>
          <w:tcPr>
            <w:tcW w:w="58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136,778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352,610</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Net income (loss)</w:t>
            </w:r>
          </w:p>
        </w:tc>
        <w:tc>
          <w:tcPr>
            <w:tcW w:w="2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61"/>
              <w:spacing w:after="0"/>
              <w:rPr>
                <w:sz w:val="20"/>
                <w:szCs w:val="20"/>
                <w:color w:val="auto"/>
              </w:rPr>
            </w:pPr>
            <w:r>
              <w:rPr>
                <w:rFonts w:ascii="Arial" w:cs="Arial" w:eastAsia="Arial" w:hAnsi="Arial"/>
                <w:sz w:val="18"/>
                <w:szCs w:val="18"/>
                <w:color w:val="auto"/>
              </w:rPr>
              <w:t>535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(41,409 )</w:t>
            </w:r>
          </w:p>
        </w:tc>
        <w:tc>
          <w:tcPr>
            <w:tcW w:w="560" w:type="dxa"/>
            <w:vAlign w:val="bottom"/>
          </w:tcPr>
          <w:p>
            <w:pPr>
              <w:spacing w:after="0"/>
              <w:rPr>
                <w:sz w:val="21"/>
                <w:szCs w:val="21"/>
                <w:color w:val="auto"/>
              </w:rPr>
            </w:pPr>
          </w:p>
        </w:tc>
      </w:tr>
      <w:tr>
        <w:trPr>
          <w:trHeight w:val="473"/>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4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March 2021 UK Acquisition</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In March 2021, the Company, through its wholly-owned subsidiary in the United Kingdom, entered into an agreement to acquire certain assets comprising the United Kingdom background screening business unit from GB Group plc for £5.4 million, or approximately $7.6 million. The transfer of ownership became effective on March 31, 2021 and established the Company as one of the largest background screening providers in the region. The acquired assets were determined to constitute a business and the Company was deemed to be the acquirer under ASC 805. The Company recorded a preliminary allocation of the purchase price to assets acquired and liabilities assumed based on their estimated fair values as of March 31, 2021. The allocation was finalized as of June 30, 2021 and no adjustments were recorded to the Company’s previously recognized fair values.</w:t>
      </w:r>
    </w:p>
    <w:p>
      <w:pPr>
        <w:spacing w:after="0" w:line="122" w:lineRule="exact"/>
        <w:rPr>
          <w:sz w:val="20"/>
          <w:szCs w:val="20"/>
          <w:color w:val="auto"/>
        </w:rPr>
      </w:pPr>
    </w:p>
    <w:p>
      <w:pPr>
        <w:ind w:right="520"/>
        <w:spacing w:after="0" w:line="324" w:lineRule="auto"/>
        <w:rPr>
          <w:sz w:val="20"/>
          <w:szCs w:val="20"/>
          <w:color w:val="auto"/>
        </w:rPr>
      </w:pPr>
      <w:r>
        <w:rPr>
          <w:rFonts w:ascii="Arial" w:cs="Arial" w:eastAsia="Arial" w:hAnsi="Arial"/>
          <w:sz w:val="17"/>
          <w:szCs w:val="17"/>
          <w:color w:val="auto"/>
        </w:rPr>
        <w:t>The allocation of the purchase price is based on the fair value of assets acquired and liability assumed as of the acquisition date. The following table summarizes the consideration paid and the amounts recognized for the assets acquired and liability assumed (in thousands):</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8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7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Cash</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7,588</w:t>
            </w:r>
          </w:p>
        </w:tc>
      </w:tr>
      <w:tr>
        <w:trPr>
          <w:trHeight w:val="256"/>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including software developed for internal use</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1,543</w:t>
            </w: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Customer lists</w:t>
            </w:r>
          </w:p>
        </w:tc>
        <w:tc>
          <w:tcPr>
            <w:tcW w:w="7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2,951</w:t>
            </w:r>
          </w:p>
        </w:tc>
      </w:tr>
      <w:tr>
        <w:trPr>
          <w:trHeight w:val="257"/>
        </w:trPr>
        <w:tc>
          <w:tcPr>
            <w:tcW w:w="8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7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(26 )</w:t>
            </w:r>
          </w:p>
        </w:tc>
      </w:tr>
      <w:tr>
        <w:trPr>
          <w:trHeight w:val="25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identifiable net assets</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4,468</w:t>
            </w:r>
          </w:p>
        </w:tc>
      </w:tr>
      <w:tr>
        <w:trPr>
          <w:trHeight w:val="290"/>
        </w:trPr>
        <w:tc>
          <w:tcPr>
            <w:tcW w:w="8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3,120</w:t>
            </w:r>
          </w:p>
        </w:tc>
      </w:tr>
    </w:tbl>
    <w:p>
      <w:pPr>
        <w:spacing w:after="0" w:line="161"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Goodwill recognized in the March 2021 UK Acquisition is primarily attributable to assembled workforce and the expected growth of the Company and is not deductible for tax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as of September 30, 2021 (Successor) and December 31, 2020 (Successor) consisted of the following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84"/>
              </w:rPr>
              <w:t>Successor</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4"/>
              </w:rPr>
              <w:t>Successor</w:t>
            </w:r>
          </w:p>
        </w:tc>
      </w:tr>
      <w:tr>
        <w:trPr>
          <w:trHeight w:val="179"/>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center"/>
              <w:ind w:right="355"/>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ind w:right="29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2020</w:t>
            </w:r>
          </w:p>
        </w:tc>
      </w:tr>
      <w:tr>
        <w:trPr>
          <w:trHeight w:val="25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18,687</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15,214</w:t>
            </w:r>
          </w:p>
        </w:tc>
      </w:tr>
      <w:tr>
        <w:trPr>
          <w:trHeight w:val="250"/>
        </w:trPr>
        <w:tc>
          <w:tcPr>
            <w:tcW w:w="6020" w:type="dxa"/>
            <w:vAlign w:val="bottom"/>
          </w:tcPr>
          <w:p>
            <w:pPr>
              <w:spacing w:after="0"/>
              <w:rPr>
                <w:sz w:val="20"/>
                <w:szCs w:val="20"/>
                <w:color w:val="auto"/>
              </w:rPr>
            </w:pPr>
            <w:r>
              <w:rPr>
                <w:rFonts w:ascii="Arial" w:cs="Arial" w:eastAsia="Arial" w:hAnsi="Arial"/>
                <w:sz w:val="18"/>
                <w:szCs w:val="18"/>
                <w:color w:val="auto"/>
              </w:rPr>
              <w:t>Capitalized software for internal use, acquired by business combination</w:t>
            </w:r>
          </w:p>
        </w:tc>
        <w:tc>
          <w:tcPr>
            <w:tcW w:w="320" w:type="dxa"/>
            <w:vAlign w:val="bottom"/>
          </w:tcPr>
          <w:p>
            <w:pPr>
              <w:spacing w:after="0"/>
              <w:rPr>
                <w:sz w:val="21"/>
                <w:szCs w:val="21"/>
                <w:color w:val="auto"/>
              </w:rPr>
            </w:pP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221,405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220,000</w:t>
            </w:r>
          </w:p>
        </w:tc>
      </w:tr>
      <w:tr>
        <w:trPr>
          <w:trHeight w:val="24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for internal use, developed internally or otherwise</w:t>
            </w: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r>
      <w:tr>
        <w:trPr>
          <w:trHeight w:val="244"/>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purchased</w:t>
            </w: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31,824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14,438</w:t>
            </w:r>
          </w:p>
        </w:tc>
      </w:tr>
      <w:tr>
        <w:trPr>
          <w:trHeight w:val="250"/>
        </w:trPr>
        <w:tc>
          <w:tcPr>
            <w:tcW w:w="6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2,402</w:t>
            </w:r>
          </w:p>
        </w:tc>
      </w:tr>
      <w:tr>
        <w:trPr>
          <w:trHeight w:val="257"/>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32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274,916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252,054</w:t>
            </w:r>
          </w:p>
        </w:tc>
      </w:tr>
      <w:tr>
        <w:trPr>
          <w:trHeight w:val="250"/>
        </w:trPr>
        <w:tc>
          <w:tcPr>
            <w:tcW w:w="6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(113,586 )</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(61,772 )</w:t>
            </w:r>
          </w:p>
        </w:tc>
      </w:tr>
      <w:tr>
        <w:trPr>
          <w:trHeight w:val="290"/>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161,330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190,282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154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54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1"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Depreciation and amortization expense of property and equipment was approximately $17.4 million and $16.9 million for the three months ended September 30, 2021 and 2020 (Successor), respectively. Depreciation and amortization expense of property and equipment was approximately $51.4 million, $45.0 million, and $1.3 million for the nine months ended September 30, 2021 (Successor), the period from February 1, 2020 through September 30, 2020 (Successor), and the period from January 1, 2020 through January 31, 2020 (Predecessor), respectively.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Goodwill, Trade Name, and Customer Lists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nine months ended September 30, 2021 (Successor) were as follows (in thousands):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8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82"/>
              </w:rPr>
              <w:t>Successor:</w:t>
            </w:r>
          </w:p>
        </w:tc>
        <w:tc>
          <w:tcPr>
            <w:tcW w:w="73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r>
      <w:tr>
        <w:trPr>
          <w:trHeight w:val="250"/>
        </w:trPr>
        <w:tc>
          <w:tcPr>
            <w:tcW w:w="8200" w:type="dxa"/>
            <w:vAlign w:val="bottom"/>
            <w:gridSpan w:val="2"/>
          </w:tcPr>
          <w:p>
            <w:pPr>
              <w:spacing w:after="0"/>
              <w:rPr>
                <w:sz w:val="20"/>
                <w:szCs w:val="20"/>
                <w:color w:val="auto"/>
              </w:rPr>
            </w:pPr>
            <w:r>
              <w:rPr>
                <w:rFonts w:ascii="Arial" w:cs="Arial" w:eastAsia="Arial" w:hAnsi="Arial"/>
                <w:sz w:val="18"/>
                <w:szCs w:val="18"/>
                <w:color w:val="auto"/>
              </w:rPr>
              <w:t>Balance – December 31, 2020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770,089</w:t>
            </w:r>
          </w:p>
        </w:tc>
      </w:tr>
      <w:tr>
        <w:trPr>
          <w:trHeight w:val="263"/>
        </w:trPr>
        <w:tc>
          <w:tcPr>
            <w:tcW w:w="8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Acquisitions</w:t>
            </w:r>
          </w:p>
        </w:tc>
        <w:tc>
          <w:tcPr>
            <w:tcW w:w="64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3,120</w:t>
            </w:r>
          </w:p>
        </w:tc>
      </w:tr>
      <w:tr>
        <w:trPr>
          <w:trHeight w:val="250"/>
        </w:trPr>
        <w:tc>
          <w:tcPr>
            <w:tcW w:w="820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6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(540 )</w:t>
            </w:r>
          </w:p>
        </w:tc>
      </w:tr>
      <w:tr>
        <w:trPr>
          <w:trHeight w:val="290"/>
        </w:trPr>
        <w:tc>
          <w:tcPr>
            <w:tcW w:w="8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September 30, 2021</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772,669</w:t>
            </w:r>
          </w:p>
        </w:tc>
      </w:tr>
    </w:tbl>
    <w:p>
      <w:pPr>
        <w:spacing w:after="0" w:line="161"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following summarizes the gross carrying value and accumulated amortization for the Company’s trade name and customer lists as of September 30, 2021 (Successor) and December 31, 2020 (Successor) (in thousands):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w w:val="95"/>
              </w:rPr>
              <w:t>September 30, 2021 (Successor)</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9"/>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192"/>
        </w:trPr>
        <w:tc>
          <w:tcPr>
            <w:tcW w:w="4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95,171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(13,480 )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81,691</w:t>
            </w:r>
          </w:p>
        </w:tc>
        <w:tc>
          <w:tcPr>
            <w:tcW w:w="100" w:type="dxa"/>
            <w:vAlign w:val="bottom"/>
            <w:shd w:val="clear" w:color="auto" w:fill="CFF0FC"/>
          </w:tcPr>
          <w:p>
            <w:pPr>
              <w:spacing w:after="0"/>
              <w:rPr>
                <w:sz w:val="22"/>
                <w:szCs w:val="22"/>
                <w:color w:val="auto"/>
              </w:rPr>
            </w:pPr>
          </w:p>
        </w:tc>
        <w:tc>
          <w:tcPr>
            <w:tcW w:w="11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6"/>
              </w:rPr>
              <w:t>20 years</w:t>
            </w: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Customer lists</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503,788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(114,572 )</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389,216</w:t>
            </w:r>
          </w:p>
        </w:tc>
        <w:tc>
          <w:tcPr>
            <w:tcW w:w="100" w:type="dxa"/>
            <w:vAlign w:val="bottom"/>
          </w:tcPr>
          <w:p>
            <w:pPr>
              <w:spacing w:after="0"/>
              <w:rPr>
                <w:sz w:val="22"/>
                <w:szCs w:val="22"/>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w w:val="86"/>
              </w:rPr>
              <w:t>14 years</w:t>
            </w:r>
          </w:p>
        </w:tc>
      </w:tr>
      <w:tr>
        <w:trPr>
          <w:trHeight w:val="290"/>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598,959</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(128,052 )</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470,907</w:t>
            </w: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r>
        <w:trPr>
          <w:trHeight w:val="569"/>
        </w:trPr>
        <w:tc>
          <w:tcPr>
            <w:tcW w:w="4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w w:val="97"/>
              </w:rPr>
              <w:t>December 31, 2020 (Successor)</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9"/>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192"/>
        </w:trPr>
        <w:tc>
          <w:tcPr>
            <w:tcW w:w="4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95,230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(7,528 )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87,702</w:t>
            </w:r>
          </w:p>
        </w:tc>
        <w:tc>
          <w:tcPr>
            <w:tcW w:w="100" w:type="dxa"/>
            <w:vAlign w:val="bottom"/>
            <w:shd w:val="clear" w:color="auto" w:fill="CFF0FC"/>
          </w:tcPr>
          <w:p>
            <w:pPr>
              <w:spacing w:after="0"/>
              <w:rPr>
                <w:sz w:val="22"/>
                <w:szCs w:val="22"/>
                <w:color w:val="auto"/>
              </w:rPr>
            </w:pPr>
          </w:p>
        </w:tc>
        <w:tc>
          <w:tcPr>
            <w:tcW w:w="11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6"/>
              </w:rPr>
              <w:t>20 years</w:t>
            </w: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Customer lists</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501,210</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(65,549 )</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435,661</w:t>
            </w:r>
          </w:p>
        </w:tc>
        <w:tc>
          <w:tcPr>
            <w:tcW w:w="100" w:type="dxa"/>
            <w:vAlign w:val="bottom"/>
          </w:tcPr>
          <w:p>
            <w:pPr>
              <w:spacing w:after="0"/>
              <w:rPr>
                <w:sz w:val="22"/>
                <w:szCs w:val="22"/>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w w:val="86"/>
              </w:rPr>
              <w:t>14 years</w:t>
            </w:r>
          </w:p>
        </w:tc>
      </w:tr>
      <w:tr>
        <w:trPr>
          <w:trHeight w:val="290"/>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596,440</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(73,077 )</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523,363</w:t>
            </w: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-1182370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-1165225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-1182370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-1165225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-1182370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-1165225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Amortization expense of trade name and customer lists was approximately $18.4 million and $19.9 million for the three months ended September 30, 2021 and 2020 (Successor), respectively. Amortization expense of trade name and customer lists was approximately $55.1 million, $52.8 million, and $0.8 million for the nine months ended September 30, 2021 (Successor), the period from February 1, 2020 through September 30, 2020 (Successor), and the period from January 1, 2020 through January 31, 2020 (Predecessor), respectively.</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Long-term Debt</w:t>
      </w:r>
    </w:p>
    <w:p>
      <w:pPr>
        <w:spacing w:after="0" w:line="189"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The fair value of the Company’s long-term debt obligations approximated their book value as of September 30, 2021 (Successor) and December 31, 2020 (Successor) and consisted of the following (in thousands):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4"/>
              </w:rPr>
              <w:t>Successor</w:t>
            </w:r>
          </w:p>
        </w:tc>
      </w:tr>
      <w:tr>
        <w:trPr>
          <w:trHeight w:val="179"/>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25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6"/>
              </w:rPr>
              <w:t>2020</w:t>
            </w:r>
          </w:p>
        </w:tc>
      </w:tr>
      <w:tr>
        <w:trPr>
          <w:trHeight w:val="25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Successor First Lien Credit Facility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564,724</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666,650</w:t>
            </w: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Successor Second Lien Credit Facility</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145,000</w:t>
            </w:r>
          </w:p>
        </w:tc>
      </w:tr>
      <w:tr>
        <w:trPr>
          <w:trHeight w:val="257"/>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564,724</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811,650</w:t>
            </w: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(6,700 )</w:t>
            </w:r>
          </w:p>
        </w:tc>
      </w:tr>
      <w:tr>
        <w:trPr>
          <w:trHeight w:val="257"/>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564,724</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804,950</w:t>
            </w: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Less: Deferred financing costs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(10,319 )</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(26,345 )</w:t>
            </w:r>
          </w:p>
        </w:tc>
      </w:tr>
      <w:tr>
        <w:trPr>
          <w:trHeight w:val="290"/>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554,405</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778,605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color w:val="auto"/>
        </w:rPr>
        <w:t>On January 31, 2020, prior to the Silver Lake Transaction, the Company repaid $34.0 million of the Predecessor first lien facility. The remaining Predecessor first lien facility and Predecessor second lien facility were fully repaid at the time of the Silver Lake Transaction. As a result of this refinancing, a loss on extinguishment of debt of $10.5 million was recorded in the period from January 1, 2020 through January 31, 2020 (Predecessor).</w:t>
      </w:r>
    </w:p>
    <w:p>
      <w:pPr>
        <w:spacing w:after="0" w:line="9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As part of the Silver Lake Transaction,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carrying an interest rate of 3.25% to 3.50%, based on the first lien leverage ratio, plus LIBOR (“Successor First Lien Credit Facility”) and a new $75.0 million revolving credit facility due January 31, 2025 (“Successor Revolver”). The Successor First Lien Credit Facility requires mandatory quarterly repayments of 0.25% of the original loan balance commencing September 30, 2020. Beginning with the year ending December 31, 2021, the Successor First Lien Credit Facility requires mandatory payments based on calculated excess cash flow, as defined within the Successor First Lien Credit Agreement. The Successor Second Lien Agreement provided financing in the form of a $145.0 million term loan due January 31, 2028, carrying an interest rate of 8.50% plus LIBOR (“Successor Second Lien Credit Facility”). The Successor Credit Agreements are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Successor Revolver exceeds 35% of the aggregate principal amount of the revolving commitments then in effect, it is required to maintain a consolidated first lien leverage ratio no greater than 7.75 to 1:00.</w:t>
      </w:r>
    </w:p>
    <w:p>
      <w:pPr>
        <w:spacing w:after="0" w:line="119"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In February 2021, the Company refinanced its Successor First Lien Credit Facility at an increased principal amount of $766.6 million due January 31, 2027, carrying a reduced interest rate of 3.00% to 3.25%, based on the first lien leverage ratio, plus LIBOR. No changes were made to the associated revolving credit facility due January 31, 2025. In connection with the refinancing of the Successor First Lien Credit Facility, the Company fully repaid its Successor Second Lien Credit Facility. As a result of these transactions the Company recorded a total loss on extinguishment of debt of $13.9 million, composed of the write-off of unamortized deferred financing costs plus a prepayment premium, accrued interest, and other fees.</w:t>
      </w:r>
    </w:p>
    <w:p>
      <w:pPr>
        <w:spacing w:after="0" w:line="106"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auto"/>
        </w:rPr>
        <w:t>In connection with the closing of the IPO, on June 30, 2021 the Company repaid $200.0 million of its Successor First Lien Credit Facility outstanding, of which $44.3 million was applied to the remaining quarterly principal payments due under the Successor First Lien Agreement. As a result of the IPO, the Company's interest rate under the Successor First Lien Credit Facility was reduced by 0.25% to a range of 2.75% to 3.00%, based on the first lien ratio, plus LIBOR.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Additionally, in connection with the closing of the IPO, the Company entered into an amendment that increased the borrowing capacity under the Successor Revolver from $75.0 million to $100.0 million and extended the maturity date from January 31, 2025 to July 31, 2026. As of September 30, 2021, the Company had no outstanding amounts under the Successor Revolver, and therefore was not subject to the consolidated first lien leverage ratio covenant and was compliant with all other covenants under the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Derivatives</w:t>
      </w:r>
    </w:p>
    <w:p>
      <w:pPr>
        <w:spacing w:after="0" w:line="18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 February 2020, the Company entered into an interest rate collar agreement with a counterparty bank in order to reduce its exposure to interest rate volatility. In this agreement, the Company and the counterparty bank agreed to a one-month LIBOR floor of 0.48% and a cap of 1.50% on a portion of the Company’s Successor First Lien Credit Facility. The notional amount of this agreement is $405.0 million through February 2022 at which time the notional amount reduces to $300.0 million through February 2024.</w:t>
      </w:r>
    </w:p>
    <w:p>
      <w:pPr>
        <w:spacing w:after="0" w:line="131"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color w:val="auto"/>
        </w:rPr>
        <w:t>The following is a summary of location and fair value of the financial position and location and amount of gains and losses recorded related to the derivative agreement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Gain/(Loss)</w:t>
            </w: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71"/>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3"/>
                <w:szCs w:val="13"/>
                <w:b w:val="1"/>
                <w:bCs w:val="1"/>
                <w:color w:val="auto"/>
                <w:w w:val="87"/>
              </w:rPr>
              <w:t>Period from</w:t>
            </w:r>
          </w:p>
        </w:tc>
      </w:tr>
      <w:tr>
        <w:trPr>
          <w:trHeight w:val="162"/>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6"/>
              <w:spacing w:after="0"/>
              <w:rPr>
                <w:sz w:val="20"/>
                <w:szCs w:val="20"/>
                <w:color w:val="auto"/>
              </w:rPr>
            </w:pPr>
            <w:r>
              <w:rPr>
                <w:rFonts w:ascii="Arial" w:cs="Arial" w:eastAsia="Arial" w:hAnsi="Arial"/>
                <w:sz w:val="13"/>
                <w:szCs w:val="13"/>
                <w:b w:val="1"/>
                <w:bCs w:val="1"/>
                <w:color w:val="auto"/>
                <w:w w:val="91"/>
              </w:rPr>
              <w:t>February 1,</w:t>
            </w:r>
          </w:p>
        </w:tc>
      </w:tr>
      <w:tr>
        <w:trPr>
          <w:trHeight w:val="162"/>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95"/>
              <w:spacing w:after="0"/>
              <w:rPr>
                <w:sz w:val="20"/>
                <w:szCs w:val="20"/>
                <w:color w:val="auto"/>
              </w:rPr>
            </w:pPr>
            <w:r>
              <w:rPr>
                <w:rFonts w:ascii="Arial" w:cs="Arial" w:eastAsia="Arial" w:hAnsi="Arial"/>
                <w:sz w:val="13"/>
                <w:szCs w:val="13"/>
                <w:b w:val="1"/>
                <w:bCs w:val="1"/>
                <w:color w:val="auto"/>
                <w:w w:val="89"/>
              </w:rPr>
              <w:t>Three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96"/>
              <w:spacing w:after="0"/>
              <w:rPr>
                <w:sz w:val="20"/>
                <w:szCs w:val="20"/>
                <w:color w:val="auto"/>
              </w:rPr>
            </w:pPr>
            <w:r>
              <w:rPr>
                <w:rFonts w:ascii="Arial" w:cs="Arial" w:eastAsia="Arial" w:hAnsi="Arial"/>
                <w:sz w:val="13"/>
                <w:szCs w:val="13"/>
                <w:b w:val="1"/>
                <w:bCs w:val="1"/>
                <w:color w:val="auto"/>
                <w:w w:val="89"/>
              </w:rPr>
              <w:t>Three Months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55"/>
              <w:spacing w:after="0"/>
              <w:rPr>
                <w:sz w:val="20"/>
                <w:szCs w:val="20"/>
                <w:color w:val="auto"/>
              </w:rPr>
            </w:pPr>
            <w:r>
              <w:rPr>
                <w:rFonts w:ascii="Arial" w:cs="Arial" w:eastAsia="Arial" w:hAnsi="Arial"/>
                <w:sz w:val="13"/>
                <w:szCs w:val="13"/>
                <w:b w:val="1"/>
                <w:bCs w:val="1"/>
                <w:color w:val="auto"/>
                <w:w w:val="89"/>
              </w:rPr>
              <w:t>Nine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3"/>
                <w:szCs w:val="13"/>
                <w:b w:val="1"/>
                <w:bCs w:val="1"/>
                <w:color w:val="auto"/>
                <w:w w:val="82"/>
              </w:rPr>
              <w:t>2020</w:t>
            </w:r>
          </w:p>
        </w:tc>
      </w:tr>
      <w:tr>
        <w:trPr>
          <w:trHeight w:val="162"/>
        </w:trPr>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6"/>
              </w:rPr>
              <w:t>Derivatives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76"/>
              <w:spacing w:after="0"/>
              <w:rPr>
                <w:sz w:val="20"/>
                <w:szCs w:val="20"/>
                <w:color w:val="auto"/>
              </w:rPr>
            </w:pPr>
            <w:r>
              <w:rPr>
                <w:rFonts w:ascii="Arial" w:cs="Arial" w:eastAsia="Arial" w:hAnsi="Arial"/>
                <w:sz w:val="13"/>
                <w:szCs w:val="13"/>
                <w:b w:val="1"/>
                <w:bCs w:val="1"/>
                <w:color w:val="auto"/>
                <w:w w:val="86"/>
              </w:rPr>
              <w:t>As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5"/>
              <w:spacing w:after="0"/>
              <w:rPr>
                <w:sz w:val="20"/>
                <w:szCs w:val="20"/>
                <w:color w:val="auto"/>
              </w:rPr>
            </w:pPr>
            <w:r>
              <w:rPr>
                <w:rFonts w:ascii="Arial" w:cs="Arial" w:eastAsia="Arial" w:hAnsi="Arial"/>
                <w:sz w:val="13"/>
                <w:szCs w:val="13"/>
                <w:b w:val="1"/>
                <w:bCs w:val="1"/>
                <w:color w:val="auto"/>
                <w:w w:val="86"/>
              </w:rPr>
              <w:t>As of</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75"/>
              <w:spacing w:after="0"/>
              <w:rPr>
                <w:sz w:val="20"/>
                <w:szCs w:val="20"/>
                <w:color w:val="auto"/>
              </w:rPr>
            </w:pPr>
            <w:r>
              <w:rPr>
                <w:rFonts w:ascii="Arial" w:cs="Arial" w:eastAsia="Arial" w:hAnsi="Arial"/>
                <w:sz w:val="13"/>
                <w:szCs w:val="13"/>
                <w:b w:val="1"/>
                <w:bCs w:val="1"/>
                <w:color w:val="auto"/>
                <w:w w:val="86"/>
              </w:rPr>
              <w:t>Ended September</w:t>
            </w:r>
          </w:p>
        </w:tc>
        <w:tc>
          <w:tcPr>
            <w:tcW w:w="80" w:type="dxa"/>
            <w:vAlign w:val="bottom"/>
          </w:tcPr>
          <w:p>
            <w:pPr>
              <w:spacing w:after="0"/>
              <w:rPr>
                <w:sz w:val="14"/>
                <w:szCs w:val="14"/>
                <w:color w:val="auto"/>
              </w:rPr>
            </w:pPr>
          </w:p>
        </w:tc>
        <w:tc>
          <w:tcPr>
            <w:tcW w:w="1180" w:type="dxa"/>
            <w:vAlign w:val="bottom"/>
            <w:gridSpan w:val="2"/>
          </w:tcPr>
          <w:p>
            <w:pPr>
              <w:jc w:val="center"/>
              <w:ind w:right="76"/>
              <w:spacing w:after="0"/>
              <w:rPr>
                <w:sz w:val="20"/>
                <w:szCs w:val="20"/>
                <w:color w:val="auto"/>
              </w:rPr>
            </w:pPr>
            <w:r>
              <w:rPr>
                <w:rFonts w:ascii="Arial" w:cs="Arial" w:eastAsia="Arial" w:hAnsi="Arial"/>
                <w:sz w:val="13"/>
                <w:szCs w:val="13"/>
                <w:b w:val="1"/>
                <w:bCs w:val="1"/>
                <w:color w:val="auto"/>
                <w:w w:val="86"/>
              </w:rPr>
              <w:t>Ended September</w:t>
            </w:r>
          </w:p>
        </w:tc>
        <w:tc>
          <w:tcPr>
            <w:tcW w:w="100" w:type="dxa"/>
            <w:vAlign w:val="bottom"/>
          </w:tcPr>
          <w:p>
            <w:pPr>
              <w:spacing w:after="0"/>
              <w:rPr>
                <w:sz w:val="14"/>
                <w:szCs w:val="14"/>
                <w:color w:val="auto"/>
              </w:rPr>
            </w:pPr>
          </w:p>
        </w:tc>
        <w:tc>
          <w:tcPr>
            <w:tcW w:w="1180" w:type="dxa"/>
            <w:vAlign w:val="bottom"/>
            <w:gridSpan w:val="2"/>
          </w:tcPr>
          <w:p>
            <w:pPr>
              <w:jc w:val="center"/>
              <w:ind w:right="75"/>
              <w:spacing w:after="0"/>
              <w:rPr>
                <w:sz w:val="20"/>
                <w:szCs w:val="20"/>
                <w:color w:val="auto"/>
              </w:rPr>
            </w:pPr>
            <w:r>
              <w:rPr>
                <w:rFonts w:ascii="Arial" w:cs="Arial" w:eastAsia="Arial" w:hAnsi="Arial"/>
                <w:sz w:val="13"/>
                <w:szCs w:val="13"/>
                <w:b w:val="1"/>
                <w:bCs w:val="1"/>
                <w:color w:val="auto"/>
                <w:w w:val="86"/>
              </w:rPr>
              <w:t>Ended September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6"/>
              <w:spacing w:after="0"/>
              <w:rPr>
                <w:sz w:val="20"/>
                <w:szCs w:val="20"/>
                <w:color w:val="auto"/>
              </w:rPr>
            </w:pPr>
            <w:r>
              <w:rPr>
                <w:rFonts w:ascii="Arial" w:cs="Arial" w:eastAsia="Arial" w:hAnsi="Arial"/>
                <w:sz w:val="13"/>
                <w:szCs w:val="13"/>
                <w:b w:val="1"/>
                <w:bCs w:val="1"/>
                <w:color w:val="auto"/>
                <w:w w:val="89"/>
              </w:rPr>
              <w:t>through</w:t>
            </w:r>
          </w:p>
        </w:tc>
      </w:tr>
      <w:tr>
        <w:trPr>
          <w:trHeight w:val="162"/>
        </w:trPr>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4"/>
              </w:rPr>
              <w:t>not designated</w:t>
            </w: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Balance</w:t>
            </w:r>
          </w:p>
        </w:tc>
        <w:tc>
          <w:tcPr>
            <w:tcW w:w="80" w:type="dxa"/>
            <w:vAlign w:val="bottom"/>
          </w:tcPr>
          <w:p>
            <w:pPr>
              <w:spacing w:after="0"/>
              <w:rPr>
                <w:sz w:val="14"/>
                <w:szCs w:val="14"/>
                <w:color w:val="auto"/>
              </w:rPr>
            </w:pPr>
          </w:p>
        </w:tc>
        <w:tc>
          <w:tcPr>
            <w:tcW w:w="1000" w:type="dxa"/>
            <w:vAlign w:val="bottom"/>
          </w:tcPr>
          <w:p>
            <w:pPr>
              <w:jc w:val="center"/>
              <w:ind w:right="176"/>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5"/>
              <w:spacing w:after="0"/>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4"/>
                <w:szCs w:val="14"/>
                <w:color w:val="auto"/>
              </w:rPr>
            </w:pPr>
          </w:p>
        </w:tc>
        <w:tc>
          <w:tcPr>
            <w:tcW w:w="1060" w:type="dxa"/>
            <w:vAlign w:val="bottom"/>
          </w:tcPr>
          <w:p>
            <w:pPr>
              <w:jc w:val="center"/>
              <w:ind w:right="195"/>
              <w:spacing w:after="0"/>
              <w:rPr>
                <w:sz w:val="20"/>
                <w:szCs w:val="20"/>
                <w:color w:val="auto"/>
              </w:rPr>
            </w:pPr>
            <w:r>
              <w:rPr>
                <w:rFonts w:ascii="Arial" w:cs="Arial" w:eastAsia="Arial" w:hAnsi="Arial"/>
                <w:sz w:val="13"/>
                <w:szCs w:val="13"/>
                <w:b w:val="1"/>
                <w:bCs w:val="1"/>
                <w:color w:val="auto"/>
                <w:w w:val="88"/>
              </w:rPr>
              <w:t>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96"/>
              <w:spacing w:after="0"/>
              <w:rPr>
                <w:sz w:val="20"/>
                <w:szCs w:val="20"/>
                <w:color w:val="auto"/>
              </w:rPr>
            </w:pPr>
            <w:r>
              <w:rPr>
                <w:rFonts w:ascii="Arial" w:cs="Arial" w:eastAsia="Arial" w:hAnsi="Arial"/>
                <w:sz w:val="13"/>
                <w:szCs w:val="13"/>
                <w:b w:val="1"/>
                <w:bCs w:val="1"/>
                <w:color w:val="auto"/>
                <w:w w:val="88"/>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35"/>
              <w:spacing w:after="0"/>
              <w:rPr>
                <w:sz w:val="20"/>
                <w:szCs w:val="20"/>
                <w:color w:val="auto"/>
              </w:rPr>
            </w:pPr>
            <w:r>
              <w:rPr>
                <w:rFonts w:ascii="Arial" w:cs="Arial" w:eastAsia="Arial" w:hAnsi="Arial"/>
                <w:sz w:val="13"/>
                <w:szCs w:val="13"/>
                <w:b w:val="1"/>
                <w:bCs w:val="1"/>
                <w:color w:val="auto"/>
                <w:w w:val="88"/>
              </w:rPr>
              <w:t>30,</w:t>
            </w:r>
          </w:p>
        </w:tc>
        <w:tc>
          <w:tcPr>
            <w:tcW w:w="80" w:type="dxa"/>
            <w:vAlign w:val="bottom"/>
          </w:tcPr>
          <w:p>
            <w:pPr>
              <w:spacing w:after="0"/>
              <w:rPr>
                <w:sz w:val="14"/>
                <w:szCs w:val="14"/>
                <w:color w:val="auto"/>
              </w:rPr>
            </w:pPr>
          </w:p>
        </w:tc>
        <w:tc>
          <w:tcPr>
            <w:tcW w:w="1060" w:type="dxa"/>
            <w:vAlign w:val="bottom"/>
            <w:gridSpan w:val="2"/>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r>
      <w:tr>
        <w:trPr>
          <w:trHeight w:val="162"/>
        </w:trPr>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1"/>
              </w:rPr>
              <w:t>as hedging</w:t>
            </w: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8"/>
              </w:rPr>
              <w:t>Sheet</w:t>
            </w:r>
          </w:p>
        </w:tc>
        <w:tc>
          <w:tcPr>
            <w:tcW w:w="80" w:type="dxa"/>
            <w:vAlign w:val="bottom"/>
          </w:tcPr>
          <w:p>
            <w:pPr>
              <w:spacing w:after="0"/>
              <w:rPr>
                <w:sz w:val="14"/>
                <w:szCs w:val="14"/>
                <w:color w:val="auto"/>
              </w:rPr>
            </w:pPr>
          </w:p>
        </w:tc>
        <w:tc>
          <w:tcPr>
            <w:tcW w:w="1000" w:type="dxa"/>
            <w:vAlign w:val="bottom"/>
          </w:tcPr>
          <w:p>
            <w:pPr>
              <w:jc w:val="center"/>
              <w:ind w:right="136"/>
              <w:spacing w:after="0"/>
              <w:rPr>
                <w:sz w:val="20"/>
                <w:szCs w:val="20"/>
                <w:color w:val="auto"/>
              </w:rPr>
            </w:pPr>
            <w:r>
              <w:rPr>
                <w:rFonts w:ascii="Arial" w:cs="Arial" w:eastAsia="Arial" w:hAnsi="Arial"/>
                <w:sz w:val="13"/>
                <w:szCs w:val="13"/>
                <w:b w:val="1"/>
                <w:bCs w:val="1"/>
                <w:color w:val="auto"/>
                <w:w w:val="82"/>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5"/>
              <w:spacing w:after="0"/>
              <w:rPr>
                <w:sz w:val="20"/>
                <w:szCs w:val="20"/>
                <w:color w:val="auto"/>
              </w:rPr>
            </w:pPr>
            <w:r>
              <w:rPr>
                <w:rFonts w:ascii="Arial" w:cs="Arial" w:eastAsia="Arial" w:hAnsi="Arial"/>
                <w:sz w:val="13"/>
                <w:szCs w:val="13"/>
                <w:b w:val="1"/>
                <w:bCs w:val="1"/>
                <w:color w:val="auto"/>
                <w:w w:val="82"/>
              </w:rPr>
              <w:t>2020</w:t>
            </w:r>
          </w:p>
        </w:tc>
        <w:tc>
          <w:tcPr>
            <w:tcW w:w="1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Statement</w:t>
            </w:r>
          </w:p>
        </w:tc>
        <w:tc>
          <w:tcPr>
            <w:tcW w:w="120" w:type="dxa"/>
            <w:vAlign w:val="bottom"/>
          </w:tcPr>
          <w:p>
            <w:pPr>
              <w:spacing w:after="0"/>
              <w:rPr>
                <w:sz w:val="14"/>
                <w:szCs w:val="14"/>
                <w:color w:val="auto"/>
              </w:rPr>
            </w:pPr>
          </w:p>
        </w:tc>
        <w:tc>
          <w:tcPr>
            <w:tcW w:w="1060" w:type="dxa"/>
            <w:vAlign w:val="bottom"/>
          </w:tcPr>
          <w:p>
            <w:pPr>
              <w:jc w:val="center"/>
              <w:ind w:right="175"/>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15"/>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3"/>
                <w:szCs w:val="13"/>
                <w:b w:val="1"/>
                <w:bCs w:val="1"/>
                <w:color w:val="auto"/>
                <w:w w:val="82"/>
              </w:rPr>
              <w:t>2020</w:t>
            </w:r>
          </w:p>
        </w:tc>
      </w:tr>
      <w:tr>
        <w:trPr>
          <w:trHeight w:val="174"/>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instruments</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0"/>
              </w:rPr>
              <w:t>(Successor)</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3"/>
                <w:szCs w:val="13"/>
                <w:b w:val="1"/>
                <w:bCs w:val="1"/>
                <w:color w:val="auto"/>
                <w:w w:val="80"/>
              </w:rPr>
              <w:t>(Successor)</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83"/>
              </w:rPr>
              <w:t>(Successor)</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0"/>
              </w:rPr>
              <w:t>(Successor)</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83"/>
              </w:rPr>
              <w:t>(Successor)</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0"/>
              </w:rPr>
              <w:t>(Successor)</w:t>
            </w:r>
          </w:p>
        </w:tc>
      </w:tr>
      <w:tr>
        <w:trPr>
          <w:trHeight w:val="203"/>
        </w:trPr>
        <w:tc>
          <w:tcPr>
            <w:tcW w:w="13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Interest rate swaps</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97"/>
              </w:rPr>
              <w:t>Other liabilities</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56"/>
              <w:spacing w:after="0"/>
              <w:rPr>
                <w:sz w:val="20"/>
                <w:szCs w:val="20"/>
                <w:color w:val="auto"/>
              </w:rPr>
            </w:pPr>
            <w:r>
              <w:rPr>
                <w:rFonts w:ascii="Arial" w:cs="Arial" w:eastAsia="Arial" w:hAnsi="Arial"/>
                <w:sz w:val="14"/>
                <w:szCs w:val="14"/>
                <w:color w:val="auto"/>
              </w:rPr>
              <w:t>1,646</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4"/>
                <w:szCs w:val="14"/>
                <w:color w:val="auto"/>
              </w:rPr>
              <w:t>3,615</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4"/>
                <w:szCs w:val="14"/>
                <w:color w:val="auto"/>
                <w:w w:val="90"/>
              </w:rPr>
              <w:t>Interest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56"/>
              <w:spacing w:after="0"/>
              <w:rPr>
                <w:sz w:val="20"/>
                <w:szCs w:val="20"/>
                <w:color w:val="auto"/>
              </w:rPr>
            </w:pPr>
            <w:r>
              <w:rPr>
                <w:rFonts w:ascii="Arial" w:cs="Arial" w:eastAsia="Arial" w:hAnsi="Arial"/>
                <w:sz w:val="14"/>
                <w:szCs w:val="14"/>
                <w:color w:val="auto"/>
              </w:rPr>
              <w:t>744</w:t>
            </w:r>
          </w:p>
        </w:tc>
        <w:tc>
          <w:tcPr>
            <w:tcW w:w="260" w:type="dxa"/>
            <w:vAlign w:val="bottom"/>
            <w:gridSpan w:val="2"/>
            <w:shd w:val="clear" w:color="auto" w:fill="CFF0FC"/>
          </w:tcPr>
          <w:p>
            <w:pPr>
              <w:jc w:val="right"/>
              <w:ind w:right="17"/>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4"/>
                <w:szCs w:val="14"/>
                <w:color w:val="auto"/>
              </w:rPr>
              <w:t>845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(4,412 )</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89" w:lineRule="exact"/>
        <w:rPr>
          <w:sz w:val="20"/>
          <w:szCs w:val="20"/>
          <w:color w:val="auto"/>
        </w:rPr>
      </w:pPr>
    </w:p>
    <w:p>
      <w:pPr>
        <w:jc w:val="both"/>
        <w:ind w:right="460"/>
        <w:spacing w:after="0" w:line="303" w:lineRule="auto"/>
        <w:rPr>
          <w:sz w:val="20"/>
          <w:szCs w:val="20"/>
          <w:color w:val="auto"/>
        </w:rPr>
      </w:pPr>
      <w:r>
        <w:rPr>
          <w:rFonts w:ascii="Arial" w:cs="Arial" w:eastAsia="Arial" w:hAnsi="Arial"/>
          <w:sz w:val="17"/>
          <w:szCs w:val="17"/>
          <w:color w:val="auto"/>
        </w:rPr>
        <w:t>Prior to the Silver Lake Transaction, the Company was not a taxable entity. However, the Company’s wholly owned C-corporation subsidiaries were taxable entities. In connection with the Silver Lake Transaction, the Company became a U.S. domiciled corporation for tax purposes. The Company’s income tax expense and balance sheet accounts reflect the results of the Company and its subsidiaries.</w:t>
      </w:r>
    </w:p>
    <w:p>
      <w:pPr>
        <w:spacing w:after="0" w:line="110"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For the nine months ended September 30, 2021 (Successor), the Company estimated the annual effective tax rate based on projected income for the full year and recorded a quarterly tax provision in accordance with the annual effective tax rate. For the six months ended June 30, 2021 (Successor), the Company calculated the income taxes based on the actual year-to-date effective tax rate because the Company's projected pretax book income for the year was expected to be near breakeven and the annual effective tax rate became inherently volatile. Therefore, an adjustment was required in the third quarter to record the year-to-date income tax benefit consistent with the annual effective tax rate.</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effective income tax rate for the three and nine months ended September 30, 2021 (Successor) was 17.3% and 75.3%, respectively. The Company’s effective income tax rate for the three months ended September 30, 2021 (Successor) was lower than the U.S. federal statutory rate of 21%, primarily due to the impact of applying the annual effective tax rate in the third quarter which was reflected in the quarter to date amount, an increase of research and development tax credits, and a favorable discrete income tax adjustment from certain changes in estimate as a result of filing certain prior year tax returns. The Company’s effective income tax rate for the nine months ended September 30, 2021 (Successor) was higher than the U.S. federal statutory rate of 21%, primarily due to the increase of the foreign income tax as a result of increased foreign income in various foreign tax jurisdictions, the increase of the deferred income tax liability on intangibles as a result of the UK corporate income tax rate increase, foreign withholding tax, and increased U.S. state income tax expenses for the nine months ended September 30, 2021 (Successor). These items were partially offset by an increase of research and development tax credits and a favorable discrete adjustment from the finalization of the 2020 income tax returns.</w:t>
      </w:r>
    </w:p>
    <w:p>
      <w:pPr>
        <w:spacing w:after="0" w:line="116"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The Company’s effective income tax rate for the three months ended September 30, 2020 (Successor), the period February 1, 2020 through September 30, 2020 (Successor), and for the period January 1, 2020 through January 31, 2020 (Predecessor) was 45.6%, 21.4%, and 2.3%, respectively. The Company’s effective income tax rate for the three months ended September 30, 2020 (Successor) differs from the U.S. Federal statutory rate of 21% primarily due to tax benefits resulting from the Global Intangible Low-Taxed Income (“GILTI”) high-tax exclusion election and research and development tax credits, partially offset by the impact of state income taxes. The lower effective income tax rate for the period January 1, 2020 through January 31, 2020 (Predecessor) compared to the period February 1, 2020 through September 30, 2020 (Successor) and the three and nine months ended September 30, 2021 (Successor) was primarily due to the change of the Company’s valuation allowance on certain deferred tax assets, nondeductible transaction costs, and variations in jurisdictional earnings in the period from January 1, 2020 through January 31, 2020 (Predecessor).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85"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Accordingly, in any period, the Company does not recognize a significant amount of revenues from performance obligations satisfied or partially satisfied in prior periods and the amount of such revenues recognized during the three and nine months ended September 30, 2021 (Successor), the three months ended September 30, 2020 (Successor), the period from February 1, 2020 through September 30, 2020 (Successor), and the period from January 1, 2020 through January 31, 2020 (Predecessor) were immaterial.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Company bases revenues by geographic region in which the revenues and invoicing are recorded. The following summarizes revenues by geographical region (in thousands):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707"/>
              <w:spacing w:after="0"/>
              <w:rPr>
                <w:sz w:val="20"/>
                <w:szCs w:val="20"/>
                <w:color w:val="auto"/>
              </w:rPr>
            </w:pPr>
            <w:r>
              <w:rPr>
                <w:rFonts w:ascii="Arial" w:cs="Arial" w:eastAsia="Arial" w:hAnsi="Arial"/>
                <w:sz w:val="13"/>
                <w:szCs w:val="13"/>
                <w:b w:val="1"/>
                <w:bCs w:val="1"/>
                <w:color w:val="auto"/>
              </w:rPr>
              <w:t>Three-Month Period</w:t>
            </w: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6"/>
              </w:rPr>
              <w:t>Nine-Month Period</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372"/>
        </w:trPr>
        <w:tc>
          <w:tcPr>
            <w:tcW w:w="3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905"/>
              <w:spacing w:after="0"/>
              <w:rPr>
                <w:sz w:val="20"/>
                <w:szCs w:val="20"/>
                <w:color w:val="auto"/>
              </w:rPr>
            </w:pPr>
            <w:r>
              <w:rPr>
                <w:rFonts w:ascii="Arial" w:cs="Arial" w:eastAsia="Arial" w:hAnsi="Arial"/>
                <w:sz w:val="13"/>
                <w:szCs w:val="13"/>
                <w:b w:val="1"/>
                <w:bCs w:val="1"/>
                <w:color w:val="auto"/>
              </w:rPr>
              <w:t>Successor</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81"/>
              </w:rPr>
              <w:t>Predecessor</w:t>
            </w:r>
          </w:p>
        </w:tc>
      </w:tr>
      <w:tr>
        <w:trPr>
          <w:trHeight w:val="17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69"/>
              <w:spacing w:after="0"/>
              <w:rPr>
                <w:sz w:val="20"/>
                <w:szCs w:val="20"/>
                <w:color w:val="auto"/>
              </w:rPr>
            </w:pPr>
            <w:r>
              <w:rPr>
                <w:rFonts w:ascii="Arial" w:cs="Arial" w:eastAsia="Arial" w:hAnsi="Arial"/>
                <w:sz w:val="13"/>
                <w:szCs w:val="13"/>
                <w:b w:val="1"/>
                <w:bCs w:val="1"/>
                <w:color w:val="auto"/>
                <w:w w:val="90"/>
              </w:rPr>
              <w:t>Period from</w:t>
            </w:r>
          </w:p>
        </w:tc>
        <w:tc>
          <w:tcPr>
            <w:tcW w:w="140" w:type="dxa"/>
            <w:vAlign w:val="bottom"/>
          </w:tcPr>
          <w:p>
            <w:pPr>
              <w:spacing w:after="0"/>
              <w:rPr>
                <w:sz w:val="14"/>
                <w:szCs w:val="14"/>
                <w:color w:val="auto"/>
              </w:rPr>
            </w:pPr>
          </w:p>
        </w:tc>
        <w:tc>
          <w:tcPr>
            <w:tcW w:w="1260" w:type="dxa"/>
            <w:vAlign w:val="bottom"/>
          </w:tcPr>
          <w:p>
            <w:pPr>
              <w:jc w:val="center"/>
              <w:ind w:right="169"/>
              <w:spacing w:after="0"/>
              <w:rPr>
                <w:sz w:val="20"/>
                <w:szCs w:val="20"/>
                <w:color w:val="auto"/>
              </w:rPr>
            </w:pPr>
            <w:r>
              <w:rPr>
                <w:rFonts w:ascii="Arial" w:cs="Arial" w:eastAsia="Arial" w:hAnsi="Arial"/>
                <w:sz w:val="13"/>
                <w:szCs w:val="13"/>
                <w:b w:val="1"/>
                <w:bCs w:val="1"/>
                <w:color w:val="auto"/>
                <w:w w:val="90"/>
              </w:rPr>
              <w:t>Period from</w:t>
            </w:r>
          </w:p>
        </w:tc>
      </w:tr>
      <w:tr>
        <w:trPr>
          <w:trHeight w:val="162"/>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87"/>
              <w:spacing w:after="0"/>
              <w:rPr>
                <w:sz w:val="20"/>
                <w:szCs w:val="20"/>
                <w:color w:val="auto"/>
              </w:rPr>
            </w:pPr>
            <w:r>
              <w:rPr>
                <w:rFonts w:ascii="Arial" w:cs="Arial" w:eastAsia="Arial" w:hAnsi="Arial"/>
                <w:sz w:val="13"/>
                <w:szCs w:val="13"/>
                <w:b w:val="1"/>
                <w:bCs w:val="1"/>
                <w:color w:val="auto"/>
                <w:w w:val="89"/>
              </w:rPr>
              <w:t>Three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207"/>
              <w:spacing w:after="0"/>
              <w:rPr>
                <w:sz w:val="20"/>
                <w:szCs w:val="20"/>
                <w:color w:val="auto"/>
              </w:rPr>
            </w:pPr>
            <w:r>
              <w:rPr>
                <w:rFonts w:ascii="Arial" w:cs="Arial" w:eastAsia="Arial" w:hAnsi="Arial"/>
                <w:sz w:val="13"/>
                <w:szCs w:val="13"/>
                <w:b w:val="1"/>
                <w:bCs w:val="1"/>
                <w:color w:val="auto"/>
                <w:w w:val="89"/>
              </w:rPr>
              <w:t>Three Months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45"/>
              <w:spacing w:after="0"/>
              <w:rPr>
                <w:sz w:val="20"/>
                <w:szCs w:val="20"/>
                <w:color w:val="auto"/>
              </w:rPr>
            </w:pPr>
            <w:r>
              <w:rPr>
                <w:rFonts w:ascii="Arial" w:cs="Arial" w:eastAsia="Arial" w:hAnsi="Arial"/>
                <w:sz w:val="13"/>
                <w:szCs w:val="13"/>
                <w:b w:val="1"/>
                <w:bCs w:val="1"/>
                <w:color w:val="auto"/>
                <w:w w:val="92"/>
              </w:rPr>
              <w:t>Nine Months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49"/>
              <w:spacing w:after="0"/>
              <w:rPr>
                <w:sz w:val="20"/>
                <w:szCs w:val="20"/>
                <w:color w:val="auto"/>
              </w:rPr>
            </w:pPr>
            <w:r>
              <w:rPr>
                <w:rFonts w:ascii="Arial" w:cs="Arial" w:eastAsia="Arial" w:hAnsi="Arial"/>
                <w:sz w:val="13"/>
                <w:szCs w:val="13"/>
                <w:b w:val="1"/>
                <w:bCs w:val="1"/>
                <w:color w:val="auto"/>
                <w:w w:val="89"/>
              </w:rPr>
              <w:t>February 1, 2020</w:t>
            </w:r>
          </w:p>
        </w:tc>
        <w:tc>
          <w:tcPr>
            <w:tcW w:w="140" w:type="dxa"/>
            <w:vAlign w:val="bottom"/>
          </w:tcPr>
          <w:p>
            <w:pPr>
              <w:spacing w:after="0"/>
              <w:rPr>
                <w:sz w:val="14"/>
                <w:szCs w:val="14"/>
                <w:color w:val="auto"/>
              </w:rPr>
            </w:pPr>
          </w:p>
        </w:tc>
        <w:tc>
          <w:tcPr>
            <w:tcW w:w="1260" w:type="dxa"/>
            <w:vAlign w:val="bottom"/>
          </w:tcPr>
          <w:p>
            <w:pPr>
              <w:jc w:val="center"/>
              <w:ind w:right="169"/>
              <w:spacing w:after="0"/>
              <w:rPr>
                <w:sz w:val="20"/>
                <w:szCs w:val="20"/>
                <w:color w:val="auto"/>
              </w:rPr>
            </w:pPr>
            <w:r>
              <w:rPr>
                <w:rFonts w:ascii="Arial" w:cs="Arial" w:eastAsia="Arial" w:hAnsi="Arial"/>
                <w:sz w:val="13"/>
                <w:szCs w:val="13"/>
                <w:b w:val="1"/>
                <w:bCs w:val="1"/>
                <w:color w:val="auto"/>
                <w:w w:val="88"/>
              </w:rPr>
              <w:t>January 1, 2020</w:t>
            </w:r>
          </w:p>
        </w:tc>
      </w:tr>
      <w:tr>
        <w:trPr>
          <w:trHeight w:val="162"/>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87"/>
              <w:spacing w:after="0"/>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207"/>
              <w:spacing w:after="0"/>
              <w:rPr>
                <w:sz w:val="20"/>
                <w:szCs w:val="20"/>
                <w:color w:val="auto"/>
              </w:rPr>
            </w:pPr>
            <w:r>
              <w:rPr>
                <w:rFonts w:ascii="Arial" w:cs="Arial" w:eastAsia="Arial" w:hAnsi="Arial"/>
                <w:sz w:val="13"/>
                <w:szCs w:val="13"/>
                <w:b w:val="1"/>
                <w:bCs w:val="1"/>
                <w:color w:val="auto"/>
                <w:w w:val="90"/>
              </w:rPr>
              <w:t>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25"/>
              <w:spacing w:after="0"/>
              <w:rPr>
                <w:sz w:val="20"/>
                <w:szCs w:val="20"/>
                <w:color w:val="auto"/>
              </w:rPr>
            </w:pPr>
            <w:r>
              <w:rPr>
                <w:rFonts w:ascii="Arial" w:cs="Arial" w:eastAsia="Arial" w:hAnsi="Arial"/>
                <w:sz w:val="13"/>
                <w:szCs w:val="13"/>
                <w:b w:val="1"/>
                <w:bCs w:val="1"/>
                <w:color w:val="auto"/>
              </w:rPr>
              <w:t>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89"/>
              <w:spacing w:after="0"/>
              <w:rPr>
                <w:sz w:val="20"/>
                <w:szCs w:val="20"/>
                <w:color w:val="auto"/>
              </w:rPr>
            </w:pPr>
            <w:r>
              <w:rPr>
                <w:rFonts w:ascii="Arial" w:cs="Arial" w:eastAsia="Arial" w:hAnsi="Arial"/>
                <w:sz w:val="13"/>
                <w:szCs w:val="13"/>
                <w:b w:val="1"/>
                <w:bCs w:val="1"/>
                <w:color w:val="auto"/>
                <w:w w:val="89"/>
              </w:rPr>
              <w:t>through</w:t>
            </w:r>
          </w:p>
        </w:tc>
        <w:tc>
          <w:tcPr>
            <w:tcW w:w="140" w:type="dxa"/>
            <w:vAlign w:val="bottom"/>
          </w:tcPr>
          <w:p>
            <w:pPr>
              <w:spacing w:after="0"/>
              <w:rPr>
                <w:sz w:val="14"/>
                <w:szCs w:val="14"/>
                <w:color w:val="auto"/>
              </w:rPr>
            </w:pPr>
          </w:p>
        </w:tc>
        <w:tc>
          <w:tcPr>
            <w:tcW w:w="1260" w:type="dxa"/>
            <w:vAlign w:val="bottom"/>
          </w:tcPr>
          <w:p>
            <w:pPr>
              <w:jc w:val="center"/>
              <w:ind w:right="189"/>
              <w:spacing w:after="0"/>
              <w:rPr>
                <w:sz w:val="20"/>
                <w:szCs w:val="20"/>
                <w:color w:val="auto"/>
              </w:rPr>
            </w:pPr>
            <w:r>
              <w:rPr>
                <w:rFonts w:ascii="Arial" w:cs="Arial" w:eastAsia="Arial" w:hAnsi="Arial"/>
                <w:sz w:val="13"/>
                <w:szCs w:val="13"/>
                <w:b w:val="1"/>
                <w:bCs w:val="1"/>
                <w:color w:val="auto"/>
                <w:w w:val="89"/>
              </w:rPr>
              <w:t>through</w:t>
            </w:r>
          </w:p>
        </w:tc>
      </w:tr>
      <w:tr>
        <w:trPr>
          <w:trHeight w:val="174"/>
        </w:trPr>
        <w:tc>
          <w:tcPr>
            <w:tcW w:w="3420" w:type="dxa"/>
            <w:vAlign w:val="bottom"/>
          </w:tcPr>
          <w:p>
            <w:pPr>
              <w:spacing w:after="0"/>
              <w:rPr>
                <w:sz w:val="15"/>
                <w:szCs w:val="15"/>
                <w:color w:val="auto"/>
              </w:rPr>
            </w:pPr>
          </w:p>
        </w:tc>
        <w:tc>
          <w:tcPr>
            <w:tcW w:w="1240" w:type="dxa"/>
            <w:vAlign w:val="bottom"/>
            <w:tcBorders>
              <w:bottom w:val="single" w:sz="8" w:color="auto"/>
            </w:tcBorders>
            <w:gridSpan w:val="2"/>
          </w:tcPr>
          <w:p>
            <w:pPr>
              <w:jc w:val="center"/>
              <w:ind w:right="27"/>
              <w:spacing w:after="0"/>
              <w:rPr>
                <w:sz w:val="20"/>
                <w:szCs w:val="20"/>
                <w:color w:val="auto"/>
              </w:rPr>
            </w:pPr>
            <w:r>
              <w:rPr>
                <w:rFonts w:ascii="Arial" w:cs="Arial" w:eastAsia="Arial" w:hAnsi="Arial"/>
                <w:sz w:val="13"/>
                <w:szCs w:val="13"/>
                <w:b w:val="1"/>
                <w:bCs w:val="1"/>
                <w:color w:val="auto"/>
                <w:w w:val="87"/>
              </w:rPr>
              <w:t>September 30, 2021</w:t>
            </w:r>
          </w:p>
        </w:tc>
        <w:tc>
          <w:tcPr>
            <w:tcW w:w="80" w:type="dxa"/>
            <w:vAlign w:val="bottom"/>
          </w:tcPr>
          <w:p>
            <w:pPr>
              <w:spacing w:after="0"/>
              <w:rPr>
                <w:sz w:val="15"/>
                <w:szCs w:val="15"/>
                <w:color w:val="auto"/>
              </w:rPr>
            </w:pPr>
          </w:p>
        </w:tc>
        <w:tc>
          <w:tcPr>
            <w:tcW w:w="1240" w:type="dxa"/>
            <w:vAlign w:val="bottom"/>
            <w:tcBorders>
              <w:bottom w:val="single" w:sz="8" w:color="auto"/>
            </w:tcBorders>
            <w:gridSpan w:val="2"/>
          </w:tcPr>
          <w:p>
            <w:pPr>
              <w:jc w:val="center"/>
              <w:ind w:right="47"/>
              <w:spacing w:after="0"/>
              <w:rPr>
                <w:sz w:val="20"/>
                <w:szCs w:val="20"/>
                <w:color w:val="auto"/>
              </w:rPr>
            </w:pPr>
            <w:r>
              <w:rPr>
                <w:rFonts w:ascii="Arial" w:cs="Arial" w:eastAsia="Arial" w:hAnsi="Arial"/>
                <w:sz w:val="13"/>
                <w:szCs w:val="13"/>
                <w:b w:val="1"/>
                <w:bCs w:val="1"/>
                <w:color w:val="auto"/>
                <w:w w:val="85"/>
              </w:rPr>
              <w:t>September 30, 2020</w:t>
            </w:r>
          </w:p>
        </w:tc>
        <w:tc>
          <w:tcPr>
            <w:tcW w:w="40" w:type="dxa"/>
            <w:vAlign w:val="bottom"/>
          </w:tcPr>
          <w:p>
            <w:pPr>
              <w:spacing w:after="0"/>
              <w:rPr>
                <w:sz w:val="15"/>
                <w:szCs w:val="15"/>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5"/>
              </w:rPr>
              <w:t>September 30, 2021</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87"/>
              </w:rPr>
              <w:t>September 30, 2020</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88"/>
              </w:rPr>
              <w:t>January 31, 2020</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0"/>
        </w:trPr>
        <w:tc>
          <w:tcPr>
            <w:tcW w:w="3420" w:type="dxa"/>
            <w:vAlign w:val="bottom"/>
          </w:tcPr>
          <w:p>
            <w:pPr>
              <w:ind w:left="100"/>
              <w:spacing w:after="0"/>
              <w:rPr>
                <w:sz w:val="20"/>
                <w:szCs w:val="20"/>
                <w:color w:val="auto"/>
              </w:rPr>
            </w:pPr>
            <w:r>
              <w:rPr>
                <w:rFonts w:ascii="Arial" w:cs="Arial" w:eastAsia="Arial" w:hAnsi="Arial"/>
                <w:sz w:val="16"/>
                <w:szCs w:val="16"/>
                <w:color w:val="auto"/>
              </w:rPr>
              <w:t>North America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158,972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125,757</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421,795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right"/>
              <w:ind w:right="69"/>
              <w:spacing w:after="0"/>
              <w:rPr>
                <w:sz w:val="20"/>
                <w:szCs w:val="20"/>
                <w:color w:val="auto"/>
              </w:rPr>
            </w:pPr>
            <w:r>
              <w:rPr>
                <w:rFonts w:ascii="Arial" w:cs="Arial" w:eastAsia="Arial" w:hAnsi="Arial"/>
                <w:sz w:val="16"/>
                <w:szCs w:val="16"/>
                <w:color w:val="auto"/>
              </w:rPr>
              <w:t>285,823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9"/>
              <w:spacing w:after="0"/>
              <w:rPr>
                <w:sz w:val="20"/>
                <w:szCs w:val="20"/>
                <w:color w:val="auto"/>
              </w:rPr>
            </w:pPr>
            <w:r>
              <w:rPr>
                <w:rFonts w:ascii="Arial" w:cs="Arial" w:eastAsia="Arial" w:hAnsi="Arial"/>
                <w:sz w:val="16"/>
                <w:szCs w:val="16"/>
                <w:color w:val="auto"/>
              </w:rPr>
              <w:t>32,411</w:t>
            </w:r>
          </w:p>
        </w:tc>
      </w:tr>
      <w:tr>
        <w:trPr>
          <w:trHeight w:val="239"/>
        </w:trPr>
        <w:tc>
          <w:tcPr>
            <w:tcW w:w="34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International</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35,595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11,991</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82,237</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tcBorders>
              <w:right w:val="single" w:sz="8" w:color="auto"/>
            </w:tcBorders>
            <w:shd w:val="clear" w:color="auto" w:fill="CFF0FC"/>
          </w:tcPr>
          <w:p>
            <w:pPr>
              <w:jc w:val="right"/>
              <w:ind w:right="69"/>
              <w:spacing w:after="0"/>
              <w:rPr>
                <w:sz w:val="20"/>
                <w:szCs w:val="20"/>
                <w:color w:val="auto"/>
              </w:rPr>
            </w:pPr>
            <w:r>
              <w:rPr>
                <w:rFonts w:ascii="Arial" w:cs="Arial" w:eastAsia="Arial" w:hAnsi="Arial"/>
                <w:sz w:val="16"/>
                <w:szCs w:val="16"/>
                <w:color w:val="auto"/>
              </w:rPr>
              <w:t>32,335</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49"/>
              <w:spacing w:after="0"/>
              <w:rPr>
                <w:sz w:val="20"/>
                <w:szCs w:val="20"/>
                <w:color w:val="auto"/>
              </w:rPr>
            </w:pPr>
            <w:r>
              <w:rPr>
                <w:rFonts w:ascii="Arial" w:cs="Arial" w:eastAsia="Arial" w:hAnsi="Arial"/>
                <w:sz w:val="16"/>
                <w:szCs w:val="16"/>
                <w:color w:val="auto"/>
              </w:rPr>
              <w:t>4,665</w:t>
            </w:r>
          </w:p>
        </w:tc>
      </w:tr>
      <w:tr>
        <w:trPr>
          <w:trHeight w:val="223"/>
        </w:trPr>
        <w:tc>
          <w:tcPr>
            <w:tcW w:w="3420" w:type="dxa"/>
            <w:vAlign w:val="bottom"/>
          </w:tcPr>
          <w:p>
            <w:pPr>
              <w:ind w:left="100"/>
              <w:spacing w:after="0"/>
              <w:rPr>
                <w:sz w:val="20"/>
                <w:szCs w:val="20"/>
                <w:color w:val="auto"/>
              </w:rPr>
            </w:pPr>
            <w:r>
              <w:rPr>
                <w:rFonts w:ascii="Arial" w:cs="Arial" w:eastAsia="Arial" w:hAnsi="Arial"/>
                <w:sz w:val="16"/>
                <w:szCs w:val="16"/>
                <w:color w:val="auto"/>
              </w:rPr>
              <w:t>Eliminations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(1,700 )</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(970 )</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(4,269 )</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(2,333 )</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(291 )</w:t>
            </w:r>
          </w:p>
        </w:tc>
      </w:tr>
      <w:tr>
        <w:trPr>
          <w:trHeight w:val="26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192,867</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136,778</w:t>
            </w:r>
          </w:p>
        </w:tc>
        <w:tc>
          <w:tcPr>
            <w:tcW w:w="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499,763</w:t>
            </w: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right w:val="single" w:sz="8" w:color="CFF0FC"/>
            </w:tcBorders>
            <w:shd w:val="clear" w:color="auto" w:fill="CFF0FC"/>
          </w:tcPr>
          <w:p>
            <w:pPr>
              <w:jc w:val="right"/>
              <w:ind w:right="69"/>
              <w:spacing w:after="0"/>
              <w:rPr>
                <w:sz w:val="20"/>
                <w:szCs w:val="20"/>
                <w:color w:val="auto"/>
              </w:rPr>
            </w:pPr>
            <w:r>
              <w:rPr>
                <w:rFonts w:ascii="Arial" w:cs="Arial" w:eastAsia="Arial" w:hAnsi="Arial"/>
                <w:sz w:val="16"/>
                <w:szCs w:val="16"/>
                <w:color w:val="auto"/>
              </w:rPr>
              <w:t>315,825</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6"/>
                <w:szCs w:val="16"/>
                <w:color w:val="auto"/>
              </w:rPr>
              <w:t>36,785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-1341120</wp:posOffset>
            </wp:positionV>
            <wp:extent cx="34290" cy="5911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59118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43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342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-337820</wp:posOffset>
            </wp:positionV>
            <wp:extent cx="34290" cy="351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511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contract asset balance was $11.6 million and $4.2 million as of September 30, 2021 (Successor) and December 31, 2020 (Successor), respectively, and is included in accounts receivable, net in the accompanying condensed consolidated balance sheets. The contract liability balance was $0.5 million and $0.4 million as of September 30, 2021 (Successor) and December 31, 2020 (Successor), respectively, and is included in deferred revenue in the accompanying condensed consolidated balance sheets. An immaterial amount of revenue was recognized in the current period related to the beginning balance of deferred revenue.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18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Company did not have any customers which represented 10% or more of consolidated revenues for the three and nine months ended September 30, 2021 (Successor) and the period from January 1, 2020 through January 31, 2020 (Predecessor). The Company had one customer which represented approximately 12% and 11% of consolidated revenues for the three months ended September 30, 2020 (Successor) and for the period from February 1, 2020 through September 30, 2020 (Successor), respectively. No other customer represented 10% or more of revenue for such periods. Additionally, the Company did not have any customers which represented 10% or more of consolidated accounts receivable, net for any period presented. Other than the United States, no single country accounted for 10% or more of our total revenues during these periods.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8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Prior to the Silver Lake Transaction, all share-based awards were issued to employees under the STG-Fairway Holdings, LLC Equity Incentive Plan (“Predecessor Plan”). This plan was dissolved as of the closing date of the Silver Lake Transaction. After the Silver Lake Transaction and prior to the IPO, all share-based awards were issued by Fastball Holdco, L.P., the Company's previous parent company under individual grant agreements and the partnership agreement of such parent company (collectively the “Successor Plan”).</w:t>
      </w:r>
    </w:p>
    <w:p>
      <w:pPr>
        <w:spacing w:after="0" w:line="131"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color w:val="auto"/>
        </w:rPr>
        <w:t>Share-based compensation expense is recognized in cost of services, product and technology expense, and selling, general, and administrative expense, in the accompanying condensed consolidated statements of operations and comprehensive income (loss) as follows (in thousands):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667"/>
              <w:spacing w:after="0"/>
              <w:rPr>
                <w:sz w:val="20"/>
                <w:szCs w:val="20"/>
                <w:color w:val="auto"/>
              </w:rPr>
            </w:pPr>
            <w:r>
              <w:rPr>
                <w:rFonts w:ascii="Arial" w:cs="Arial" w:eastAsia="Arial" w:hAnsi="Arial"/>
                <w:sz w:val="13"/>
                <w:szCs w:val="13"/>
                <w:b w:val="1"/>
                <w:bCs w:val="1"/>
                <w:color w:val="auto"/>
              </w:rPr>
              <w:t>Three-Month Period</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8"/>
              </w:rPr>
              <w:t>Nine-Month Period</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371"/>
        </w:trPr>
        <w:tc>
          <w:tcPr>
            <w:tcW w:w="3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865"/>
              <w:spacing w:after="0"/>
              <w:rPr>
                <w:sz w:val="20"/>
                <w:szCs w:val="20"/>
                <w:color w:val="auto"/>
              </w:rPr>
            </w:pPr>
            <w:r>
              <w:rPr>
                <w:rFonts w:ascii="Arial" w:cs="Arial" w:eastAsia="Arial" w:hAnsi="Arial"/>
                <w:sz w:val="13"/>
                <w:szCs w:val="13"/>
                <w:b w:val="1"/>
                <w:bCs w:val="1"/>
                <w:color w:val="auto"/>
              </w:rPr>
              <w:t>Successor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81"/>
              </w:rPr>
              <w:t>Predecessor</w:t>
            </w:r>
          </w:p>
        </w:tc>
      </w:tr>
      <w:tr>
        <w:trPr>
          <w:trHeight w:val="171"/>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129"/>
              <w:spacing w:after="0"/>
              <w:rPr>
                <w:sz w:val="20"/>
                <w:szCs w:val="20"/>
                <w:color w:val="auto"/>
              </w:rPr>
            </w:pPr>
            <w:r>
              <w:rPr>
                <w:rFonts w:ascii="Arial" w:cs="Arial" w:eastAsia="Arial" w:hAnsi="Arial"/>
                <w:sz w:val="13"/>
                <w:szCs w:val="13"/>
                <w:b w:val="1"/>
                <w:bCs w:val="1"/>
                <w:color w:val="auto"/>
                <w:w w:val="90"/>
              </w:rPr>
              <w:t>Period from</w:t>
            </w:r>
          </w:p>
        </w:tc>
        <w:tc>
          <w:tcPr>
            <w:tcW w:w="140" w:type="dxa"/>
            <w:vAlign w:val="bottom"/>
          </w:tcPr>
          <w:p>
            <w:pPr>
              <w:spacing w:after="0"/>
              <w:rPr>
                <w:sz w:val="14"/>
                <w:szCs w:val="14"/>
                <w:color w:val="auto"/>
              </w:rPr>
            </w:pPr>
          </w:p>
        </w:tc>
        <w:tc>
          <w:tcPr>
            <w:tcW w:w="1260" w:type="dxa"/>
            <w:vAlign w:val="bottom"/>
          </w:tcPr>
          <w:p>
            <w:pPr>
              <w:jc w:val="center"/>
              <w:ind w:right="149"/>
              <w:spacing w:after="0"/>
              <w:rPr>
                <w:sz w:val="20"/>
                <w:szCs w:val="20"/>
                <w:color w:val="auto"/>
              </w:rPr>
            </w:pPr>
            <w:r>
              <w:rPr>
                <w:rFonts w:ascii="Arial" w:cs="Arial" w:eastAsia="Arial" w:hAnsi="Arial"/>
                <w:sz w:val="13"/>
                <w:szCs w:val="13"/>
                <w:b w:val="1"/>
                <w:bCs w:val="1"/>
                <w:color w:val="auto"/>
                <w:w w:val="87"/>
              </w:rPr>
              <w:t>Period from</w:t>
            </w: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87"/>
              <w:spacing w:after="0"/>
              <w:rPr>
                <w:sz w:val="20"/>
                <w:szCs w:val="20"/>
                <w:color w:val="auto"/>
              </w:rPr>
            </w:pPr>
            <w:r>
              <w:rPr>
                <w:rFonts w:ascii="Arial" w:cs="Arial" w:eastAsia="Arial" w:hAnsi="Arial"/>
                <w:sz w:val="13"/>
                <w:szCs w:val="13"/>
                <w:b w:val="1"/>
                <w:bCs w:val="1"/>
                <w:color w:val="auto"/>
                <w:w w:val="89"/>
              </w:rPr>
              <w:t>Three 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87"/>
              <w:spacing w:after="0"/>
              <w:rPr>
                <w:sz w:val="20"/>
                <w:szCs w:val="20"/>
                <w:color w:val="auto"/>
              </w:rPr>
            </w:pPr>
            <w:r>
              <w:rPr>
                <w:rFonts w:ascii="Arial" w:cs="Arial" w:eastAsia="Arial" w:hAnsi="Arial"/>
                <w:sz w:val="13"/>
                <w:szCs w:val="13"/>
                <w:b w:val="1"/>
                <w:bCs w:val="1"/>
                <w:color w:val="auto"/>
                <w:w w:val="89"/>
              </w:rPr>
              <w:t>Three Months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165"/>
              <w:spacing w:after="0"/>
              <w:rPr>
                <w:sz w:val="20"/>
                <w:szCs w:val="20"/>
                <w:color w:val="auto"/>
              </w:rPr>
            </w:pPr>
            <w:r>
              <w:rPr>
                <w:rFonts w:ascii="Arial" w:cs="Arial" w:eastAsia="Arial" w:hAnsi="Arial"/>
                <w:sz w:val="13"/>
                <w:szCs w:val="13"/>
                <w:b w:val="1"/>
                <w:bCs w:val="1"/>
                <w:color w:val="auto"/>
                <w:w w:val="89"/>
              </w:rPr>
              <w:t>Nine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149"/>
              <w:spacing w:after="0"/>
              <w:rPr>
                <w:sz w:val="20"/>
                <w:szCs w:val="20"/>
                <w:color w:val="auto"/>
              </w:rPr>
            </w:pPr>
            <w:r>
              <w:rPr>
                <w:rFonts w:ascii="Arial" w:cs="Arial" w:eastAsia="Arial" w:hAnsi="Arial"/>
                <w:sz w:val="13"/>
                <w:szCs w:val="13"/>
                <w:b w:val="1"/>
                <w:bCs w:val="1"/>
                <w:color w:val="auto"/>
                <w:w w:val="89"/>
              </w:rPr>
              <w:t>February 1, 2020</w:t>
            </w:r>
          </w:p>
        </w:tc>
        <w:tc>
          <w:tcPr>
            <w:tcW w:w="140" w:type="dxa"/>
            <w:vAlign w:val="bottom"/>
          </w:tcPr>
          <w:p>
            <w:pPr>
              <w:spacing w:after="0"/>
              <w:rPr>
                <w:sz w:val="14"/>
                <w:szCs w:val="14"/>
                <w:color w:val="auto"/>
              </w:rPr>
            </w:pPr>
          </w:p>
        </w:tc>
        <w:tc>
          <w:tcPr>
            <w:tcW w:w="1260" w:type="dxa"/>
            <w:vAlign w:val="bottom"/>
          </w:tcPr>
          <w:p>
            <w:pPr>
              <w:jc w:val="center"/>
              <w:ind w:right="169"/>
              <w:spacing w:after="0"/>
              <w:rPr>
                <w:sz w:val="20"/>
                <w:szCs w:val="20"/>
                <w:color w:val="auto"/>
              </w:rPr>
            </w:pPr>
            <w:r>
              <w:rPr>
                <w:rFonts w:ascii="Arial" w:cs="Arial" w:eastAsia="Arial" w:hAnsi="Arial"/>
                <w:sz w:val="13"/>
                <w:szCs w:val="13"/>
                <w:b w:val="1"/>
                <w:bCs w:val="1"/>
                <w:color w:val="auto"/>
                <w:w w:val="88"/>
              </w:rPr>
              <w:t>January 1, 2020</w:t>
            </w: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87"/>
              <w:spacing w:after="0"/>
              <w:rPr>
                <w:sz w:val="20"/>
                <w:szCs w:val="20"/>
                <w:color w:val="auto"/>
              </w:rPr>
            </w:pPr>
            <w:r>
              <w:rPr>
                <w:rFonts w:ascii="Arial" w:cs="Arial" w:eastAsia="Arial" w:hAnsi="Arial"/>
                <w:sz w:val="13"/>
                <w:szCs w:val="13"/>
                <w:b w:val="1"/>
                <w:bCs w:val="1"/>
                <w:color w:val="auto"/>
                <w:w w:val="90"/>
              </w:rPr>
              <w:t>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67"/>
              <w:spacing w:after="0"/>
              <w:rPr>
                <w:sz w:val="20"/>
                <w:szCs w:val="20"/>
                <w:color w:val="auto"/>
              </w:rPr>
            </w:pPr>
            <w:r>
              <w:rPr>
                <w:rFonts w:ascii="Arial" w:cs="Arial" w:eastAsia="Arial" w:hAnsi="Arial"/>
                <w:sz w:val="13"/>
                <w:szCs w:val="13"/>
                <w:b w:val="1"/>
                <w:bCs w:val="1"/>
                <w:color w:val="auto"/>
                <w:w w:val="85"/>
              </w:rPr>
              <w:t>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165"/>
              <w:spacing w:after="0"/>
              <w:rPr>
                <w:sz w:val="20"/>
                <w:szCs w:val="20"/>
                <w:color w:val="auto"/>
              </w:rPr>
            </w:pPr>
            <w:r>
              <w:rPr>
                <w:rFonts w:ascii="Arial" w:cs="Arial" w:eastAsia="Arial" w:hAnsi="Arial"/>
                <w:sz w:val="13"/>
                <w:szCs w:val="13"/>
                <w:b w:val="1"/>
                <w:bCs w:val="1"/>
                <w:color w:val="auto"/>
                <w:w w:val="85"/>
              </w:rPr>
              <w:t>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169"/>
              <w:spacing w:after="0"/>
              <w:rPr>
                <w:sz w:val="20"/>
                <w:szCs w:val="20"/>
                <w:color w:val="auto"/>
              </w:rPr>
            </w:pPr>
            <w:r>
              <w:rPr>
                <w:rFonts w:ascii="Arial" w:cs="Arial" w:eastAsia="Arial" w:hAnsi="Arial"/>
                <w:sz w:val="13"/>
                <w:szCs w:val="13"/>
                <w:b w:val="1"/>
                <w:bCs w:val="1"/>
                <w:color w:val="auto"/>
                <w:w w:val="85"/>
              </w:rPr>
              <w:t>through</w:t>
            </w:r>
          </w:p>
        </w:tc>
        <w:tc>
          <w:tcPr>
            <w:tcW w:w="140" w:type="dxa"/>
            <w:vAlign w:val="bottom"/>
          </w:tcPr>
          <w:p>
            <w:pPr>
              <w:spacing w:after="0"/>
              <w:rPr>
                <w:sz w:val="14"/>
                <w:szCs w:val="14"/>
                <w:color w:val="auto"/>
              </w:rPr>
            </w:pPr>
          </w:p>
        </w:tc>
        <w:tc>
          <w:tcPr>
            <w:tcW w:w="1260" w:type="dxa"/>
            <w:vAlign w:val="bottom"/>
          </w:tcPr>
          <w:p>
            <w:pPr>
              <w:jc w:val="center"/>
              <w:ind w:right="189"/>
              <w:spacing w:after="0"/>
              <w:rPr>
                <w:sz w:val="20"/>
                <w:szCs w:val="20"/>
                <w:color w:val="auto"/>
              </w:rPr>
            </w:pPr>
            <w:r>
              <w:rPr>
                <w:rFonts w:ascii="Arial" w:cs="Arial" w:eastAsia="Arial" w:hAnsi="Arial"/>
                <w:sz w:val="13"/>
                <w:szCs w:val="13"/>
                <w:b w:val="1"/>
                <w:bCs w:val="1"/>
                <w:color w:val="auto"/>
                <w:w w:val="89"/>
              </w:rPr>
              <w:t>through</w:t>
            </w:r>
          </w:p>
        </w:tc>
      </w:tr>
      <w:tr>
        <w:trPr>
          <w:trHeight w:val="174"/>
        </w:trPr>
        <w:tc>
          <w:tcPr>
            <w:tcW w:w="3480" w:type="dxa"/>
            <w:vAlign w:val="bottom"/>
          </w:tcPr>
          <w:p>
            <w:pPr>
              <w:spacing w:after="0"/>
              <w:rPr>
                <w:sz w:val="15"/>
                <w:szCs w:val="15"/>
                <w:color w:val="auto"/>
              </w:rPr>
            </w:pPr>
          </w:p>
        </w:tc>
        <w:tc>
          <w:tcPr>
            <w:tcW w:w="1220" w:type="dxa"/>
            <w:vAlign w:val="bottom"/>
            <w:tcBorders>
              <w:bottom w:val="single" w:sz="8" w:color="auto"/>
            </w:tcBorders>
            <w:gridSpan w:val="2"/>
          </w:tcPr>
          <w:p>
            <w:pPr>
              <w:jc w:val="center"/>
              <w:ind w:right="27"/>
              <w:spacing w:after="0"/>
              <w:rPr>
                <w:sz w:val="20"/>
                <w:szCs w:val="20"/>
                <w:color w:val="auto"/>
              </w:rPr>
            </w:pPr>
            <w:r>
              <w:rPr>
                <w:rFonts w:ascii="Arial" w:cs="Arial" w:eastAsia="Arial" w:hAnsi="Arial"/>
                <w:sz w:val="13"/>
                <w:szCs w:val="13"/>
                <w:b w:val="1"/>
                <w:bCs w:val="1"/>
                <w:color w:val="auto"/>
                <w:w w:val="85"/>
              </w:rPr>
              <w:t>September 30, 2021</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jc w:val="center"/>
              <w:ind w:right="27"/>
              <w:spacing w:after="0"/>
              <w:rPr>
                <w:sz w:val="20"/>
                <w:szCs w:val="20"/>
                <w:color w:val="auto"/>
              </w:rPr>
            </w:pPr>
            <w:r>
              <w:rPr>
                <w:rFonts w:ascii="Arial" w:cs="Arial" w:eastAsia="Arial" w:hAnsi="Arial"/>
                <w:sz w:val="13"/>
                <w:szCs w:val="13"/>
                <w:b w:val="1"/>
                <w:bCs w:val="1"/>
                <w:color w:val="auto"/>
                <w:w w:val="85"/>
              </w:rPr>
              <w:t>September 30, 2020</w:t>
            </w:r>
          </w:p>
        </w:tc>
        <w:tc>
          <w:tcPr>
            <w:tcW w:w="60" w:type="dxa"/>
            <w:vAlign w:val="bottom"/>
          </w:tcPr>
          <w:p>
            <w:pPr>
              <w:spacing w:after="0"/>
              <w:rPr>
                <w:sz w:val="15"/>
                <w:szCs w:val="15"/>
                <w:color w:val="auto"/>
              </w:rPr>
            </w:pPr>
          </w:p>
        </w:tc>
        <w:tc>
          <w:tcPr>
            <w:tcW w:w="1200" w:type="dxa"/>
            <w:vAlign w:val="bottom"/>
            <w:tcBorders>
              <w:bottom w:val="single" w:sz="8" w:color="auto"/>
            </w:tcBorders>
            <w:gridSpan w:val="2"/>
          </w:tcPr>
          <w:p>
            <w:pPr>
              <w:jc w:val="center"/>
              <w:ind w:right="5"/>
              <w:spacing w:after="0"/>
              <w:rPr>
                <w:sz w:val="20"/>
                <w:szCs w:val="20"/>
                <w:color w:val="auto"/>
              </w:rPr>
            </w:pPr>
            <w:r>
              <w:rPr>
                <w:rFonts w:ascii="Arial" w:cs="Arial" w:eastAsia="Arial" w:hAnsi="Arial"/>
                <w:sz w:val="13"/>
                <w:szCs w:val="13"/>
                <w:b w:val="1"/>
                <w:bCs w:val="1"/>
                <w:color w:val="auto"/>
                <w:w w:val="85"/>
              </w:rPr>
              <w:t>September 30, 2021</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7"/>
              </w:rPr>
              <w:t>September 30, 2020</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88"/>
              </w:rPr>
              <w:t>January 31, 2020</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0"/>
        </w:trPr>
        <w:tc>
          <w:tcPr>
            <w:tcW w:w="3480" w:type="dxa"/>
            <w:vAlign w:val="bottom"/>
          </w:tcPr>
          <w:p>
            <w:pPr>
              <w:ind w:left="180"/>
              <w:spacing w:after="0"/>
              <w:rPr>
                <w:sz w:val="20"/>
                <w:szCs w:val="20"/>
                <w:color w:val="auto"/>
              </w:rPr>
            </w:pPr>
            <w:r>
              <w:rPr>
                <w:rFonts w:ascii="Arial" w:cs="Arial" w:eastAsia="Arial" w:hAnsi="Arial"/>
                <w:sz w:val="16"/>
                <w:szCs w:val="16"/>
                <w:color w:val="auto"/>
              </w:rPr>
              <w:t>Cost of services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28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76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right"/>
              <w:ind w:right="49"/>
              <w:spacing w:after="0"/>
              <w:rPr>
                <w:sz w:val="20"/>
                <w:szCs w:val="20"/>
                <w:color w:val="auto"/>
              </w:rPr>
            </w:pPr>
            <w:r>
              <w:rPr>
                <w:rFonts w:ascii="Arial" w:cs="Arial" w:eastAsia="Arial" w:hAnsi="Arial"/>
                <w:sz w:val="16"/>
                <w:szCs w:val="16"/>
                <w:color w:val="auto"/>
              </w:rPr>
              <w:t>69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9"/>
              <w:spacing w:after="0"/>
              <w:rPr>
                <w:sz w:val="20"/>
                <w:szCs w:val="20"/>
                <w:color w:val="auto"/>
              </w:rPr>
            </w:pPr>
            <w:r>
              <w:rPr>
                <w:rFonts w:ascii="Arial" w:cs="Arial" w:eastAsia="Arial" w:hAnsi="Arial"/>
                <w:sz w:val="16"/>
                <w:szCs w:val="16"/>
                <w:color w:val="auto"/>
              </w:rPr>
              <w:t>156</w:t>
            </w:r>
          </w:p>
        </w:tc>
      </w:tr>
      <w:tr>
        <w:trPr>
          <w:trHeight w:val="239"/>
        </w:trPr>
        <w:tc>
          <w:tcPr>
            <w:tcW w:w="3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Product and technology expense</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55</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50</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176</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29"/>
              <w:spacing w:after="0"/>
              <w:rPr>
                <w:sz w:val="20"/>
                <w:szCs w:val="20"/>
                <w:color w:val="auto"/>
              </w:rPr>
            </w:pPr>
            <w:r>
              <w:rPr>
                <w:rFonts w:ascii="Arial" w:cs="Arial" w:eastAsia="Arial" w:hAnsi="Arial"/>
                <w:sz w:val="16"/>
                <w:szCs w:val="16"/>
                <w:color w:val="auto"/>
              </w:rPr>
              <w:t>—</w:t>
            </w:r>
          </w:p>
        </w:tc>
      </w:tr>
      <w:tr>
        <w:trPr>
          <w:trHeight w:val="223"/>
        </w:trPr>
        <w:tc>
          <w:tcPr>
            <w:tcW w:w="348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1,285</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452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4,317</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color w:val="auto"/>
              </w:rPr>
              <w:t>1,135</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6"/>
                <w:szCs w:val="16"/>
                <w:color w:val="auto"/>
              </w:rPr>
              <w:t>3,820</w:t>
            </w:r>
          </w:p>
        </w:tc>
      </w:tr>
      <w:tr>
        <w:trPr>
          <w:trHeight w:val="263"/>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share-based compensation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1,343</w:t>
            </w:r>
          </w:p>
        </w:tc>
        <w:tc>
          <w:tcPr>
            <w:tcW w:w="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color w:val="auto"/>
              </w:rPr>
              <w:t>530</w:t>
            </w:r>
          </w:p>
        </w:tc>
        <w:tc>
          <w:tcPr>
            <w:tcW w:w="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6"/>
                <w:szCs w:val="16"/>
                <w:color w:val="auto"/>
              </w:rPr>
              <w:t>4,569</w:t>
            </w:r>
          </w:p>
        </w:tc>
        <w:tc>
          <w:tcPr>
            <w:tcW w:w="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right w:val="single" w:sz="8" w:color="CFF0FC"/>
            </w:tcBorders>
            <w:shd w:val="clear" w:color="auto" w:fill="CFF0FC"/>
          </w:tcPr>
          <w:p>
            <w:pPr>
              <w:jc w:val="right"/>
              <w:ind w:right="49"/>
              <w:spacing w:after="0"/>
              <w:rPr>
                <w:sz w:val="20"/>
                <w:szCs w:val="20"/>
                <w:color w:val="auto"/>
              </w:rPr>
            </w:pPr>
            <w:r>
              <w:rPr>
                <w:rFonts w:ascii="Arial" w:cs="Arial" w:eastAsia="Arial" w:hAnsi="Arial"/>
                <w:sz w:val="16"/>
                <w:szCs w:val="16"/>
                <w:color w:val="auto"/>
              </w:rPr>
              <w:t>1,331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6"/>
                <w:szCs w:val="16"/>
                <w:color w:val="auto"/>
              </w:rPr>
              <w:t>3,976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-1341120</wp:posOffset>
            </wp:positionV>
            <wp:extent cx="34290" cy="5911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5911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-337820</wp:posOffset>
            </wp:positionV>
            <wp:extent cx="34290" cy="351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511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Class B awards issued under the Predecessor Plan consisted of options and profits interests and generally vested over five years at a rate of 20% per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Class B options issued under the Predecessor Plan generally expired ten years after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 C awards issued under the Predecessor Plan consisted of options and profits interests and generally vested based on two criteria (50% each): (1) Time</w:t>
      </w:r>
    </w:p>
    <w:p>
      <w:pPr>
        <w:spacing w:after="0" w:line="46"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color w:val="auto"/>
        </w:rPr>
        <w:t>— awards vested over five years at a rate of 20% per year; and (2) Performance — awards vested based on the Company achieving certain revenue growth and EBITDA targets or on achieving certain enterprise value targets upon the sale of the Company. The Class C options issued under the Predecessor Plan generally expired ten years after the grant date.</w:t>
      </w:r>
    </w:p>
    <w:p>
      <w:pPr>
        <w:spacing w:after="0" w:line="128"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There were 1,700,051 Class B profits interests and 12,621,955 Class C profits interests under the Predecessor Plan for the period from January 1, 2020 through January 31, 2020 (Predecessor). As of January 31, 2020, all profit interest grants were vested.</w:t>
      </w:r>
    </w:p>
    <w:p>
      <w:pPr>
        <w:spacing w:after="0" w:line="116"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As a result of the Silver Lake Transaction, certain awards issued under the Predecessor Plan were granted accelerated vesting upon the closing of the transaction. In accordance with ASC 718, Compensation – Stock Compensation, the Company recorded the additional associated expense of approximately $3.9 million in the period from January 1, 2020 through January 31, 2020 (Predecessor). All remaining unvested awards were forfeited.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Plan</w:t>
      </w:r>
    </w:p>
    <w:p>
      <w:pPr>
        <w:spacing w:after="0" w:line="185"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Awards issued under the Successor Plan consist of options and profits interests and vest based on two criteria (50% each): (1) Time — awards vest over five years at a rate of 20% per year; and (2) Performance — awards vest based upon a combination of the five year time vesting, subject to the Company’s investors receiving a targeted money-on-money return. Options issued under the Successor Plan generally expire ten years after the grant date. No awards were issued under the plan during the period from January 1, 2021 through September 30, 2021 (Successor).</w:t>
      </w:r>
    </w:p>
    <w:p>
      <w:pPr>
        <w:spacing w:after="0" w:line="116"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Prior to the IPO, the fair value for awards granted during the period from February 1, 2020 through September 30, 2020 (Successor) was estimated at the date of grant using the Black-Scholes option-pricing model with the following weighed average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4"/>
              </w:rPr>
              <w:t>2020 Class B</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4"/>
              </w:rPr>
              <w:t>2020 Class C</w:t>
            </w:r>
          </w:p>
        </w:tc>
        <w:tc>
          <w:tcPr>
            <w:tcW w:w="1120" w:type="dxa"/>
            <w:vAlign w:val="bottom"/>
          </w:tcPr>
          <w:p>
            <w:pPr>
              <w:spacing w:after="0"/>
              <w:rPr>
                <w:sz w:val="16"/>
                <w:szCs w:val="16"/>
                <w:color w:val="auto"/>
              </w:rPr>
            </w:pPr>
          </w:p>
        </w:tc>
      </w:tr>
      <w:tr>
        <w:trPr>
          <w:trHeight w:val="256"/>
        </w:trPr>
        <w:tc>
          <w:tcPr>
            <w:tcW w:w="1140" w:type="dxa"/>
            <w:vAlign w:val="bottom"/>
          </w:tcPr>
          <w:p>
            <w:pPr>
              <w:spacing w:after="0"/>
              <w:rPr>
                <w:sz w:val="22"/>
                <w:szCs w:val="22"/>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2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30.57 %</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30.08 %</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1.36 %</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1.47 %</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6.25</w:t>
            </w: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Estimated fair-value of the underlying unit</w:t>
            </w: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4"/>
              <w:spacing w:after="0"/>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4"/>
              <w:spacing w:after="0"/>
              <w:rPr>
                <w:sz w:val="20"/>
                <w:szCs w:val="20"/>
                <w:color w:val="auto"/>
              </w:rPr>
            </w:pPr>
            <w:r>
              <w:rPr>
                <w:rFonts w:ascii="Arial" w:cs="Arial" w:eastAsia="Arial" w:hAnsi="Arial"/>
                <w:sz w:val="18"/>
                <w:szCs w:val="18"/>
                <w:color w:val="auto"/>
              </w:rPr>
              <w:t>10.00</w:t>
            </w:r>
          </w:p>
        </w:tc>
        <w:tc>
          <w:tcPr>
            <w:tcW w:w="1120" w:type="dxa"/>
            <w:vAlign w:val="bottom"/>
          </w:tcPr>
          <w:p>
            <w:pPr>
              <w:spacing w:after="0"/>
              <w:rPr>
                <w:sz w:val="21"/>
                <w:szCs w:val="21"/>
                <w:color w:val="auto"/>
              </w:rPr>
            </w:pPr>
          </w:p>
        </w:tc>
      </w:tr>
      <w:tr>
        <w:trPr>
          <w:trHeight w:val="473"/>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60" w:type="dxa"/>
            <w:vAlign w:val="bottom"/>
          </w:tcPr>
          <w:p>
            <w:pPr>
              <w:jc w:val="right"/>
              <w:ind w:right="11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right="560"/>
        <w:spacing w:after="0" w:line="293" w:lineRule="auto"/>
        <w:rPr>
          <w:sz w:val="20"/>
          <w:szCs w:val="20"/>
          <w:color w:val="auto"/>
        </w:rPr>
      </w:pPr>
      <w:r>
        <w:rPr>
          <w:rFonts w:ascii="Arial" w:cs="Arial" w:eastAsia="Arial" w:hAnsi="Arial"/>
          <w:sz w:val="18"/>
          <w:szCs w:val="18"/>
          <w:color w:val="auto"/>
        </w:rPr>
        <w:t>A summary of the profits interest unit activity under the Successor Plan for the period from January 1, 2021 to September 30, 2021 (Successor) is as follows: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Class C Units</w:t>
            </w:r>
          </w:p>
        </w:tc>
      </w:tr>
      <w:tr>
        <w:trPr>
          <w:trHeight w:val="256"/>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6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1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3,858,048</w:t>
            </w:r>
          </w:p>
        </w:tc>
      </w:tr>
      <w:tr>
        <w:trPr>
          <w:trHeight w:val="250"/>
        </w:trPr>
        <w:tc>
          <w:tcPr>
            <w:tcW w:w="1620" w:type="dxa"/>
            <w:vAlign w:val="bottom"/>
          </w:tcPr>
          <w:p>
            <w:pPr>
              <w:spacing w:after="0"/>
              <w:rPr>
                <w:sz w:val="21"/>
                <w:szCs w:val="21"/>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Exchanged for common stock in the Company</w:t>
            </w:r>
          </w:p>
        </w:tc>
        <w:tc>
          <w:tcPr>
            <w:tcW w:w="1940" w:type="dxa"/>
            <w:vAlign w:val="bottom"/>
          </w:tcPr>
          <w:p>
            <w:pPr>
              <w:jc w:val="right"/>
              <w:spacing w:after="0"/>
              <w:rPr>
                <w:sz w:val="20"/>
                <w:szCs w:val="20"/>
                <w:color w:val="auto"/>
              </w:rPr>
            </w:pPr>
            <w:r>
              <w:rPr>
                <w:rFonts w:ascii="Arial" w:cs="Arial" w:eastAsia="Arial" w:hAnsi="Arial"/>
                <w:sz w:val="18"/>
                <w:szCs w:val="18"/>
                <w:color w:val="auto"/>
              </w:rPr>
              <w:t>(411,720 )</w:t>
            </w:r>
          </w:p>
        </w:tc>
      </w:tr>
      <w:tr>
        <w:trPr>
          <w:trHeight w:val="257"/>
        </w:trPr>
        <w:tc>
          <w:tcPr>
            <w:tcW w:w="1620" w:type="dxa"/>
            <w:vAlign w:val="bottom"/>
            <w:tcBorders>
              <w:bottom w:val="single" w:sz="8" w:color="CFF0FC"/>
            </w:tcBorders>
            <w:shd w:val="clear" w:color="auto" w:fill="CFF0FC"/>
          </w:tcPr>
          <w:p>
            <w:pPr>
              <w:spacing w:after="0"/>
              <w:rPr>
                <w:sz w:val="22"/>
                <w:szCs w:val="22"/>
                <w:color w:val="auto"/>
              </w:rPr>
            </w:pPr>
          </w:p>
        </w:tc>
        <w:tc>
          <w:tcPr>
            <w:tcW w:w="65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Exchanged for restricted stock in the Company</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(3,446,328 )</w:t>
            </w:r>
          </w:p>
        </w:tc>
      </w:tr>
      <w:tr>
        <w:trPr>
          <w:trHeight w:val="250"/>
        </w:trPr>
        <w:tc>
          <w:tcPr>
            <w:tcW w:w="1620" w:type="dxa"/>
            <w:vAlign w:val="bottom"/>
          </w:tcPr>
          <w:p>
            <w:pPr>
              <w:spacing w:after="0"/>
              <w:rPr>
                <w:sz w:val="20"/>
                <w:szCs w:val="20"/>
                <w:color w:val="auto"/>
              </w:rPr>
            </w:pPr>
            <w:r>
              <w:rPr>
                <w:rFonts w:ascii="Arial" w:cs="Arial" w:eastAsia="Arial" w:hAnsi="Arial"/>
                <w:sz w:val="18"/>
                <w:szCs w:val="18"/>
                <w:color w:val="auto"/>
                <w:w w:val="98"/>
              </w:rPr>
              <w:t>September 30, 2021</w:t>
            </w:r>
          </w:p>
        </w:tc>
        <w:tc>
          <w:tcPr>
            <w:tcW w:w="6540" w:type="dxa"/>
            <w:vAlign w:val="bottom"/>
          </w:tcPr>
          <w:p>
            <w:pPr>
              <w:ind w:left="180"/>
              <w:spacing w:after="0"/>
              <w:rPr>
                <w:sz w:val="20"/>
                <w:szCs w:val="20"/>
                <w:color w:val="auto"/>
              </w:rPr>
            </w:pPr>
            <w:r>
              <w:rPr>
                <w:rFonts w:ascii="Arial" w:cs="Arial" w:eastAsia="Arial" w:hAnsi="Arial"/>
                <w:sz w:val="18"/>
                <w:szCs w:val="18"/>
                <w:color w:val="auto"/>
              </w:rPr>
              <w:t>Grants outstanding</w:t>
            </w:r>
          </w:p>
        </w:tc>
        <w:tc>
          <w:tcPr>
            <w:tcW w:w="1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16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option unit activity under the Successor Plan for the period from January 1, 2021 to September 30, 2021 (Successor) is as follows: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16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156"/>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16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6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Exercise Price</w:t>
            </w:r>
          </w:p>
        </w:tc>
      </w:tr>
      <w:tr>
        <w:trPr>
          <w:trHeight w:val="256"/>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2,733,734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10.06</w:t>
            </w:r>
          </w:p>
        </w:tc>
      </w:tr>
      <w:tr>
        <w:trPr>
          <w:trHeight w:val="250"/>
        </w:trPr>
        <w:tc>
          <w:tcPr>
            <w:tcW w:w="1620" w:type="dxa"/>
            <w:vAlign w:val="bottom"/>
          </w:tcPr>
          <w:p>
            <w:pPr>
              <w:spacing w:after="0"/>
              <w:rPr>
                <w:sz w:val="21"/>
                <w:szCs w:val="21"/>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tcPr>
          <w:p>
            <w:pPr>
              <w:jc w:val="right"/>
              <w:spacing w:after="0"/>
              <w:rPr>
                <w:sz w:val="20"/>
                <w:szCs w:val="20"/>
                <w:color w:val="auto"/>
              </w:rPr>
            </w:pPr>
            <w:r>
              <w:rPr>
                <w:rFonts w:ascii="Arial" w:cs="Arial" w:eastAsia="Arial" w:hAnsi="Arial"/>
                <w:sz w:val="18"/>
                <w:szCs w:val="18"/>
                <w:color w:val="auto"/>
              </w:rPr>
              <w:t>(24,112 )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10.00</w:t>
            </w:r>
          </w:p>
        </w:tc>
      </w:tr>
      <w:tr>
        <w:trPr>
          <w:trHeight w:val="263"/>
        </w:trPr>
        <w:tc>
          <w:tcPr>
            <w:tcW w:w="1620" w:type="dxa"/>
            <w:vAlign w:val="bottom"/>
            <w:shd w:val="clear" w:color="auto" w:fill="CFF0FC"/>
          </w:tcPr>
          <w:p>
            <w:pPr>
              <w:spacing w:after="0"/>
              <w:rPr>
                <w:sz w:val="22"/>
                <w:szCs w:val="22"/>
                <w:color w:val="auto"/>
              </w:rPr>
            </w:pPr>
          </w:p>
        </w:tc>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(107,168 )</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10.00</w:t>
            </w:r>
          </w:p>
        </w:tc>
      </w:tr>
      <w:tr>
        <w:trPr>
          <w:trHeight w:val="250"/>
        </w:trPr>
        <w:tc>
          <w:tcPr>
            <w:tcW w:w="1620" w:type="dxa"/>
            <w:vAlign w:val="bottom"/>
          </w:tcPr>
          <w:p>
            <w:pPr>
              <w:spacing w:after="0"/>
              <w:rPr>
                <w:sz w:val="21"/>
                <w:szCs w:val="21"/>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Exchanged for options in the Company</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(2,602,454 )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10.07</w:t>
            </w:r>
          </w:p>
        </w:tc>
      </w:tr>
      <w:tr>
        <w:trPr>
          <w:trHeight w:val="290"/>
        </w:trPr>
        <w:tc>
          <w:tcPr>
            <w:tcW w:w="1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September 30, 2021</w:t>
            </w:r>
          </w:p>
        </w:tc>
        <w:tc>
          <w:tcPr>
            <w:tcW w:w="5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16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1"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In connection with the Company's IPO, the Company's parent was dissolved. Awards issued by the Company's parent were converted in accordance with non-discretionary anti-dilution provisions of the Successor grants as follows:</w:t>
      </w:r>
    </w:p>
    <w:p>
      <w:pPr>
        <w:spacing w:after="0" w:line="116" w:lineRule="exact"/>
        <w:rPr>
          <w:sz w:val="20"/>
          <w:szCs w:val="20"/>
          <w:color w:val="auto"/>
        </w:rPr>
      </w:pPr>
    </w:p>
    <w:p>
      <w:pPr>
        <w:ind w:left="960" w:right="40"/>
        <w:spacing w:after="0" w:line="272" w:lineRule="auto"/>
        <w:rPr>
          <w:sz w:val="20"/>
          <w:szCs w:val="20"/>
          <w:color w:val="auto"/>
        </w:rPr>
      </w:pPr>
      <w:r>
        <w:rPr>
          <w:rFonts w:ascii="Arial" w:cs="Arial" w:eastAsia="Arial" w:hAnsi="Arial"/>
          <w:sz w:val="18"/>
          <w:szCs w:val="18"/>
          <w:color w:val="auto"/>
        </w:rPr>
        <w:t>All vested outstanding profits interest grants issued by the Company’s parent were converted to common stock in the Company and all unvested outstanding profits interest grants issued by the Company’s parent were converted to restricted stock in the Company under the 2021 Omnibus Incentive Plan (the “2021 Equity Plan”). The number of common stock and restricted stock shares issued to each profits interest holder was ratably adjusted to preserve the fair value of the awards. Additionally, the vesting conditions and equity classification of the awards remained unchanged as a result of the conversion.</w:t>
      </w:r>
    </w:p>
    <w:p>
      <w:pPr>
        <w:spacing w:after="0" w:line="137"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color w:val="auto"/>
        </w:rPr>
        <w:t>All outstanding stock option grants issued by the Company’s parent were converted into stock options issued by the Company under the terms of the individual grant agreements. The number of options granted and the strike price of the options was ratably adjusted using an exchange ratio calculated to preserve the fair value of the awards. Additionally, the vesting, vesting conditions, and equity classification of the awards remained unchanged as a result of the conversion.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Weighted Average</w:t>
            </w: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6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16"/>
                <w:szCs w:val="16"/>
                <w:color w:val="auto"/>
              </w:rPr>
            </w:pPr>
          </w:p>
        </w:tc>
      </w:tr>
      <w:tr>
        <w:trPr>
          <w:trHeight w:val="256"/>
        </w:trPr>
        <w:tc>
          <w:tcPr>
            <w:tcW w:w="580" w:type="dxa"/>
            <w:vAlign w:val="bottom"/>
          </w:tcPr>
          <w:p>
            <w:pPr>
              <w:spacing w:after="0"/>
              <w:rPr>
                <w:sz w:val="22"/>
                <w:szCs w:val="22"/>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5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Grants issued in exchange for options in the Company’s Parent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3,938,491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6.65</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1620" w:type="dxa"/>
            <w:vAlign w:val="bottom"/>
            <w:shd w:val="clear" w:color="auto" w:fill="CFF0FC"/>
          </w:tcPr>
          <w:p>
            <w:pPr>
              <w:spacing w:after="0"/>
              <w:rPr>
                <w:sz w:val="22"/>
                <w:szCs w:val="22"/>
                <w:color w:val="auto"/>
              </w:rPr>
            </w:pPr>
          </w:p>
        </w:tc>
        <w:tc>
          <w:tcPr>
            <w:tcW w:w="5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exercised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(28,262 )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6.61</w:t>
            </w:r>
          </w:p>
        </w:tc>
        <w:tc>
          <w:tcPr>
            <w:tcW w:w="56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Grants cancelled/forfeited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(283,816 )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6.61</w:t>
            </w:r>
          </w:p>
        </w:tc>
        <w:tc>
          <w:tcPr>
            <w:tcW w:w="560" w:type="dxa"/>
            <w:vAlign w:val="bottom"/>
          </w:tcPr>
          <w:p>
            <w:pPr>
              <w:spacing w:after="0"/>
              <w:rPr>
                <w:sz w:val="22"/>
                <w:szCs w:val="22"/>
                <w:color w:val="auto"/>
              </w:rPr>
            </w:pPr>
          </w:p>
        </w:tc>
      </w:tr>
      <w:tr>
        <w:trPr>
          <w:trHeight w:val="290"/>
        </w:trPr>
        <w:tc>
          <w:tcPr>
            <w:tcW w:w="580" w:type="dxa"/>
            <w:vAlign w:val="bottom"/>
          </w:tcPr>
          <w:p>
            <w:pPr>
              <w:spacing w:after="0"/>
              <w:rPr>
                <w:sz w:val="24"/>
                <w:szCs w:val="24"/>
                <w:color w:val="auto"/>
              </w:rPr>
            </w:pPr>
          </w:p>
        </w:tc>
        <w:tc>
          <w:tcPr>
            <w:tcW w:w="1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September 30, 2021</w:t>
            </w:r>
          </w:p>
        </w:tc>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3,626,413</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6.63</w:t>
            </w: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8"/>
              </w:rPr>
              <w:t>September 30, 2021</w:t>
            </w:r>
          </w:p>
        </w:tc>
        <w:tc>
          <w:tcPr>
            <w:tcW w:w="5260" w:type="dxa"/>
            <w:vAlign w:val="bottom"/>
          </w:tcPr>
          <w:p>
            <w:pPr>
              <w:ind w:left="180"/>
              <w:spacing w:after="0"/>
              <w:rPr>
                <w:sz w:val="20"/>
                <w:szCs w:val="20"/>
                <w:color w:val="auto"/>
              </w:rPr>
            </w:pPr>
            <w:r>
              <w:rPr>
                <w:rFonts w:ascii="Arial" w:cs="Arial" w:eastAsia="Arial" w:hAnsi="Arial"/>
                <w:sz w:val="18"/>
                <w:szCs w:val="18"/>
                <w:color w:val="auto"/>
              </w:rPr>
              <w:t>Grants vested</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349,018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6.61</w:t>
            </w:r>
          </w:p>
        </w:tc>
        <w:tc>
          <w:tcPr>
            <w:tcW w:w="560" w:type="dxa"/>
            <w:vAlign w:val="bottom"/>
          </w:tcPr>
          <w:p>
            <w:pPr>
              <w:spacing w:after="0"/>
              <w:rPr>
                <w:sz w:val="20"/>
                <w:szCs w:val="20"/>
                <w:color w:val="auto"/>
              </w:rPr>
            </w:pPr>
          </w:p>
        </w:tc>
      </w:tr>
      <w:tr>
        <w:trPr>
          <w:trHeight w:val="263"/>
        </w:trPr>
        <w:tc>
          <w:tcPr>
            <w:tcW w:w="580" w:type="dxa"/>
            <w:vAlign w:val="bottom"/>
          </w:tcPr>
          <w:p>
            <w:pPr>
              <w:spacing w:after="0"/>
              <w:rPr>
                <w:sz w:val="22"/>
                <w:szCs w:val="22"/>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w w:val="98"/>
              </w:rPr>
              <w:t>September 30, 2021</w:t>
            </w:r>
          </w:p>
        </w:tc>
        <w:tc>
          <w:tcPr>
            <w:tcW w:w="5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unvested</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3,277,395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6.63</w:t>
            </w:r>
          </w:p>
        </w:tc>
        <w:tc>
          <w:tcPr>
            <w:tcW w:w="560" w:type="dxa"/>
            <w:vAlign w:val="bottom"/>
          </w:tcPr>
          <w:p>
            <w:pPr>
              <w:spacing w:after="0"/>
              <w:rPr>
                <w:sz w:val="22"/>
                <w:szCs w:val="22"/>
                <w:color w:val="auto"/>
              </w:rPr>
            </w:pPr>
          </w:p>
        </w:tc>
      </w:tr>
      <w:tr>
        <w:trPr>
          <w:trHeight w:val="459"/>
        </w:trPr>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60" w:type="dxa"/>
            <w:vAlign w:val="bottom"/>
          </w:tcPr>
          <w:p>
            <w:pPr>
              <w:ind w:left="3340"/>
              <w:spacing w:after="0"/>
              <w:rPr>
                <w:sz w:val="20"/>
                <w:szCs w:val="20"/>
                <w:color w:val="auto"/>
              </w:rPr>
            </w:pPr>
            <w:r>
              <w:rPr>
                <w:rFonts w:ascii="Arial" w:cs="Arial" w:eastAsia="Arial" w:hAnsi="Arial"/>
                <w:sz w:val="18"/>
                <w:szCs w:val="18"/>
                <w:color w:val="auto"/>
              </w:rPr>
              <w:t>19</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52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-719455</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-702310</wp:posOffset>
            </wp:positionV>
            <wp:extent cx="43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2021 Equity Plan</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IPO, the Company adopted the 2021 Equity Plan. 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and restricted stock units, and other equity-based or cash-based awards as determined by the Company’s Compensation Committee. The 2021 Equity Plan has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September 30, 2021, 11,339,126 shares were available for issuance under the 2021 Equity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right="300"/>
        <w:spacing w:after="0" w:line="329" w:lineRule="auto"/>
        <w:rPr>
          <w:sz w:val="20"/>
          <w:szCs w:val="20"/>
          <w:color w:val="auto"/>
        </w:rPr>
      </w:pPr>
      <w:r>
        <w:rPr>
          <w:rFonts w:ascii="Arial" w:cs="Arial" w:eastAsia="Arial" w:hAnsi="Arial"/>
          <w:sz w:val="16"/>
          <w:szCs w:val="16"/>
          <w:color w:val="auto"/>
        </w:rPr>
        <w:t>Stock options issued immediately prior to the IPO under this 2021 Equity Plan vest based on two criteria (50% each): (1) Time — awards vest over five years at a rate of 20% per year; and (2) Performance — awards vest based upon a combination of the five year time vesting, subject to the Company’s investors receiving a targeted money-on-money return. Options issued under the 2021 Equity Plan generally expire ten years after the grant date.</w:t>
      </w:r>
    </w:p>
    <w:p>
      <w:pPr>
        <w:spacing w:after="0" w:line="94"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A summary of the option activity under the 2021 Equity Plan for the period from June 21, 2021 (the effective date of the 2021 Equity Plan) to September 30, 2021 (Successor) is as follows: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16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Weighted Average</w:t>
            </w:r>
          </w:p>
        </w:tc>
      </w:tr>
      <w:tr>
        <w:trPr>
          <w:trHeight w:val="192"/>
        </w:trPr>
        <w:tc>
          <w:tcPr>
            <w:tcW w:w="16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6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Exercise Price</w:t>
            </w:r>
          </w:p>
        </w:tc>
      </w:tr>
      <w:tr>
        <w:trPr>
          <w:trHeight w:val="256"/>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June 21, 2021</w:t>
            </w:r>
          </w:p>
        </w:tc>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16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57"/>
        </w:trPr>
        <w:tc>
          <w:tcPr>
            <w:tcW w:w="1620" w:type="dxa"/>
            <w:vAlign w:val="bottom"/>
          </w:tcPr>
          <w:p>
            <w:pPr>
              <w:spacing w:after="0"/>
              <w:rPr>
                <w:sz w:val="22"/>
                <w:szCs w:val="22"/>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Grants issued</w:t>
            </w:r>
          </w:p>
        </w:tc>
        <w:tc>
          <w:tcPr>
            <w:tcW w:w="1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3,222,790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15.00</w:t>
            </w:r>
          </w:p>
        </w:tc>
      </w:tr>
      <w:tr>
        <w:trPr>
          <w:trHeight w:val="290"/>
        </w:trPr>
        <w:tc>
          <w:tcPr>
            <w:tcW w:w="1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September 30, 2021</w:t>
            </w:r>
          </w:p>
        </w:tc>
        <w:tc>
          <w:tcPr>
            <w:tcW w:w="5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16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3,222,790</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15.00</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w w:val="98"/>
              </w:rPr>
              <w:t>September 30, 2021</w:t>
            </w:r>
          </w:p>
        </w:tc>
        <w:tc>
          <w:tcPr>
            <w:tcW w:w="5320" w:type="dxa"/>
            <w:vAlign w:val="bottom"/>
          </w:tcPr>
          <w:p>
            <w:pPr>
              <w:ind w:left="180"/>
              <w:spacing w:after="0"/>
              <w:rPr>
                <w:sz w:val="20"/>
                <w:szCs w:val="20"/>
                <w:color w:val="auto"/>
              </w:rPr>
            </w:pPr>
            <w:r>
              <w:rPr>
                <w:rFonts w:ascii="Arial" w:cs="Arial" w:eastAsia="Arial" w:hAnsi="Arial"/>
                <w:sz w:val="18"/>
                <w:szCs w:val="18"/>
                <w:color w:val="auto"/>
              </w:rPr>
              <w:t>Grants vested</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343,926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15.00</w:t>
            </w:r>
          </w:p>
        </w:tc>
      </w:tr>
      <w:tr>
        <w:trPr>
          <w:trHeight w:val="263"/>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w w:val="98"/>
              </w:rPr>
              <w:t>September 30, 2021</w:t>
            </w:r>
          </w:p>
        </w:tc>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unvested</w:t>
            </w:r>
          </w:p>
        </w:tc>
        <w:tc>
          <w:tcPr>
            <w:tcW w:w="16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2,878,864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-351155</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-333375</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fair value for options granted under the 2021 Equity Plan during the period from June 21, 2021 to September 30, 2021 (Successor) was estimated at the date of grant using the Black-Scholes option-pricing model with the following weighed average assumptions: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Options</w:t>
            </w:r>
          </w:p>
        </w:tc>
      </w:tr>
      <w:tr>
        <w:trPr>
          <w:trHeight w:val="25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480" w:type="dxa"/>
            <w:vAlign w:val="bottom"/>
            <w:shd w:val="clear" w:color="auto" w:fill="CFF0FC"/>
          </w:tcPr>
          <w:p>
            <w:pPr>
              <w:spacing w:after="0"/>
              <w:rPr>
                <w:sz w:val="22"/>
                <w:szCs w:val="22"/>
                <w:color w:val="auto"/>
              </w:rPr>
            </w:pPr>
          </w:p>
        </w:tc>
        <w:tc>
          <w:tcPr>
            <w:tcW w:w="2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38.60 %</w:t>
            </w:r>
          </w:p>
        </w:tc>
      </w:tr>
      <w:tr>
        <w:trPr>
          <w:trHeight w:val="250"/>
        </w:trPr>
        <w:tc>
          <w:tcPr>
            <w:tcW w:w="6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21"/>
                <w:szCs w:val="21"/>
                <w:color w:val="auto"/>
              </w:rPr>
            </w:pPr>
          </w:p>
        </w:tc>
        <w:tc>
          <w:tcPr>
            <w:tcW w:w="2060" w:type="dxa"/>
            <w:vAlign w:val="bottom"/>
          </w:tcPr>
          <w:p>
            <w:pPr>
              <w:jc w:val="right"/>
              <w:ind w:right="34"/>
              <w:spacing w:after="0"/>
              <w:rPr>
                <w:sz w:val="20"/>
                <w:szCs w:val="20"/>
                <w:color w:val="auto"/>
              </w:rPr>
            </w:pPr>
            <w:r>
              <w:rPr>
                <w:rFonts w:ascii="Arial" w:cs="Arial" w:eastAsia="Arial" w:hAnsi="Arial"/>
                <w:sz w:val="18"/>
                <w:szCs w:val="18"/>
                <w:color w:val="auto"/>
              </w:rPr>
              <w:t>1.02 %</w:t>
            </w:r>
          </w:p>
        </w:tc>
      </w:tr>
      <w:tr>
        <w:trPr>
          <w:trHeight w:val="26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480" w:type="dxa"/>
            <w:vAlign w:val="bottom"/>
            <w:shd w:val="clear" w:color="auto" w:fill="CFF0FC"/>
          </w:tcPr>
          <w:p>
            <w:pPr>
              <w:spacing w:after="0"/>
              <w:rPr>
                <w:sz w:val="22"/>
                <w:szCs w:val="22"/>
                <w:color w:val="auto"/>
              </w:rPr>
            </w:pPr>
          </w:p>
        </w:tc>
        <w:tc>
          <w:tcPr>
            <w:tcW w:w="206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5.84</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Estimated fair-value of the underlying unit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214"/>
              <w:spacing w:after="0"/>
              <w:rPr>
                <w:sz w:val="20"/>
                <w:szCs w:val="20"/>
                <w:color w:val="auto"/>
              </w:rPr>
            </w:pPr>
            <w:r>
              <w:rPr>
                <w:rFonts w:ascii="Arial" w:cs="Arial" w:eastAsia="Arial" w:hAnsi="Arial"/>
                <w:sz w:val="18"/>
                <w:szCs w:val="18"/>
                <w:color w:val="auto"/>
              </w:rPr>
              <w:t>15.00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(“RSU”) issued under the 2021 Equity Plan generally vested over three years at a rate of one-third per year.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RSU activity under the 2021 Equity Plan for the period from June 21, 2021 to September 30, 2021 (Successor) is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9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June 21, 2021</w:t>
            </w:r>
          </w:p>
        </w:tc>
        <w:tc>
          <w:tcPr>
            <w:tcW w:w="2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Nonvested RSUs</w:t>
            </w:r>
          </w:p>
        </w:tc>
        <w:tc>
          <w:tcPr>
            <w:tcW w:w="4140" w:type="dxa"/>
            <w:vAlign w:val="bottom"/>
            <w:shd w:val="clear" w:color="auto" w:fill="CFF0FC"/>
          </w:tcPr>
          <w:p>
            <w:pPr>
              <w:spacing w:after="0"/>
              <w:rPr>
                <w:sz w:val="22"/>
                <w:szCs w:val="22"/>
                <w:color w:val="auto"/>
              </w:rPr>
            </w:pPr>
          </w:p>
        </w:tc>
        <w:tc>
          <w:tcPr>
            <w:tcW w:w="19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380" w:type="dxa"/>
            <w:vAlign w:val="bottom"/>
          </w:tcPr>
          <w:p>
            <w:pPr>
              <w:ind w:left="220"/>
              <w:spacing w:after="0"/>
              <w:rPr>
                <w:sz w:val="20"/>
                <w:szCs w:val="20"/>
                <w:color w:val="auto"/>
              </w:rPr>
            </w:pPr>
            <w:r>
              <w:rPr>
                <w:rFonts w:ascii="Arial" w:cs="Arial" w:eastAsia="Arial" w:hAnsi="Arial"/>
                <w:sz w:val="18"/>
                <w:szCs w:val="18"/>
                <w:color w:val="auto"/>
              </w:rPr>
              <w:t>Granted</w:t>
            </w:r>
          </w:p>
        </w:tc>
        <w:tc>
          <w:tcPr>
            <w:tcW w:w="6060" w:type="dxa"/>
            <w:vAlign w:val="bottom"/>
            <w:gridSpan w:val="2"/>
          </w:tcPr>
          <w:p>
            <w:pPr>
              <w:jc w:val="right"/>
              <w:ind w:right="36"/>
              <w:spacing w:after="0"/>
              <w:rPr>
                <w:sz w:val="20"/>
                <w:szCs w:val="20"/>
                <w:color w:val="auto"/>
              </w:rPr>
            </w:pPr>
            <w:r>
              <w:rPr>
                <w:rFonts w:ascii="Arial" w:cs="Arial" w:eastAsia="Arial" w:hAnsi="Arial"/>
                <w:sz w:val="18"/>
                <w:szCs w:val="18"/>
                <w:color w:val="auto"/>
              </w:rPr>
              <w:t>45,000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23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4140" w:type="dxa"/>
            <w:vAlign w:val="bottom"/>
            <w:tcBorders>
              <w:bottom w:val="single" w:sz="8" w:color="CFF0FC"/>
            </w:tcBorders>
            <w:shd w:val="clear" w:color="auto" w:fill="CFF0FC"/>
          </w:tcPr>
          <w:p>
            <w:pPr>
              <w:spacing w:after="0"/>
              <w:rPr>
                <w:sz w:val="22"/>
                <w:szCs w:val="22"/>
                <w:color w:val="auto"/>
              </w:rPr>
            </w:pPr>
          </w:p>
        </w:tc>
        <w:tc>
          <w:tcPr>
            <w:tcW w:w="19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September 30, 2021</w:t>
            </w:r>
          </w:p>
        </w:tc>
        <w:tc>
          <w:tcPr>
            <w:tcW w:w="2380" w:type="dxa"/>
            <w:vAlign w:val="bottom"/>
          </w:tcPr>
          <w:p>
            <w:pPr>
              <w:ind w:left="220"/>
              <w:spacing w:after="0"/>
              <w:rPr>
                <w:sz w:val="20"/>
                <w:szCs w:val="20"/>
                <w:color w:val="auto"/>
              </w:rPr>
            </w:pPr>
            <w:r>
              <w:rPr>
                <w:rFonts w:ascii="Arial" w:cs="Arial" w:eastAsia="Arial" w:hAnsi="Arial"/>
                <w:sz w:val="18"/>
                <w:szCs w:val="18"/>
                <w:color w:val="auto"/>
              </w:rPr>
              <w:t>Nonvested RSUs</w:t>
            </w:r>
          </w:p>
        </w:tc>
        <w:tc>
          <w:tcPr>
            <w:tcW w:w="6060" w:type="dxa"/>
            <w:vAlign w:val="bottom"/>
            <w:gridSpan w:val="2"/>
          </w:tcPr>
          <w:p>
            <w:pPr>
              <w:jc w:val="right"/>
              <w:ind w:right="36"/>
              <w:spacing w:after="0"/>
              <w:rPr>
                <w:sz w:val="20"/>
                <w:szCs w:val="20"/>
                <w:color w:val="auto"/>
              </w:rPr>
            </w:pPr>
            <w:r>
              <w:rPr>
                <w:rFonts w:ascii="Arial" w:cs="Arial" w:eastAsia="Arial" w:hAnsi="Arial"/>
                <w:sz w:val="18"/>
                <w:szCs w:val="18"/>
                <w:color w:val="auto"/>
              </w:rPr>
              <w:t>45,000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40" w:type="dxa"/>
            <w:vAlign w:val="bottom"/>
            <w:vMerge w:val="restart"/>
          </w:tcPr>
          <w:p>
            <w:pPr>
              <w:jc w:val="right"/>
              <w:ind w:right="2950"/>
              <w:spacing w:after="0"/>
              <w:rPr>
                <w:sz w:val="20"/>
                <w:szCs w:val="20"/>
                <w:color w:val="auto"/>
              </w:rPr>
            </w:pPr>
            <w:r>
              <w:rPr>
                <w:rFonts w:ascii="Arial" w:cs="Arial" w:eastAsia="Arial" w:hAnsi="Arial"/>
                <w:sz w:val="18"/>
                <w:szCs w:val="18"/>
                <w:color w:val="auto"/>
              </w:rPr>
              <w:t>20</w:t>
            </w: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Restricted Stock</w:t>
      </w:r>
    </w:p>
    <w:p>
      <w:pPr>
        <w:spacing w:after="0" w:line="185"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The following table summarizes the restricted stock issued by the Company. These include grants of unvested Successor profits interests grants that were converted into restricted stock as described above, as well as restricted stock issued to new recipients. The restricted stock granted as a result of the conversion of Successor profits interests retain the vesting attributes (including original service period vesting start date) of the original award. A summary of the restricted stock activity under the 2021 Equity Plan for the period from June 21, 2021 to September 30, 2021 (Successor) is as follows: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9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Shares</w:t>
            </w:r>
          </w:p>
        </w:tc>
      </w:tr>
      <w:tr>
        <w:trPr>
          <w:trHeight w:val="25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June 21, 2021</w:t>
            </w:r>
          </w:p>
        </w:tc>
        <w:tc>
          <w:tcPr>
            <w:tcW w:w="6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Nonvested restricted stock</w:t>
            </w:r>
          </w:p>
        </w:tc>
        <w:tc>
          <w:tcPr>
            <w:tcW w:w="1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50"/>
        </w:trPr>
        <w:tc>
          <w:tcPr>
            <w:tcW w:w="1660" w:type="dxa"/>
            <w:vAlign w:val="bottom"/>
          </w:tcPr>
          <w:p>
            <w:pPr>
              <w:spacing w:after="0"/>
              <w:rPr>
                <w:sz w:val="21"/>
                <w:szCs w:val="21"/>
                <w:color w:val="auto"/>
              </w:rPr>
            </w:pPr>
          </w:p>
        </w:tc>
        <w:tc>
          <w:tcPr>
            <w:tcW w:w="6520" w:type="dxa"/>
            <w:vAlign w:val="bottom"/>
          </w:tcPr>
          <w:p>
            <w:pPr>
              <w:ind w:left="220"/>
              <w:spacing w:after="0"/>
              <w:rPr>
                <w:sz w:val="20"/>
                <w:szCs w:val="20"/>
                <w:color w:val="auto"/>
              </w:rPr>
            </w:pPr>
            <w:r>
              <w:rPr>
                <w:rFonts w:ascii="Arial" w:cs="Arial" w:eastAsia="Arial" w:hAnsi="Arial"/>
                <w:sz w:val="18"/>
                <w:szCs w:val="18"/>
                <w:color w:val="auto"/>
                <w:w w:val="97"/>
              </w:rPr>
              <w:t>Grants issued in exchange for unvested profits interests in the Company’s Parent</w:t>
            </w: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2,918,084</w:t>
            </w:r>
          </w:p>
        </w:tc>
      </w:tr>
      <w:tr>
        <w:trPr>
          <w:trHeight w:val="257"/>
        </w:trPr>
        <w:tc>
          <w:tcPr>
            <w:tcW w:w="1660" w:type="dxa"/>
            <w:vAlign w:val="bottom"/>
            <w:tcBorders>
              <w:bottom w:val="single" w:sz="8" w:color="CFF0FC"/>
            </w:tcBorders>
            <w:shd w:val="clear" w:color="auto" w:fill="CFF0FC"/>
          </w:tcPr>
          <w:p>
            <w:pPr>
              <w:spacing w:after="0"/>
              <w:rPr>
                <w:sz w:val="22"/>
                <w:szCs w:val="22"/>
                <w:color w:val="auto"/>
              </w:rPr>
            </w:pPr>
          </w:p>
        </w:tc>
        <w:tc>
          <w:tcPr>
            <w:tcW w:w="6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50"/>
        </w:trPr>
        <w:tc>
          <w:tcPr>
            <w:tcW w:w="1660" w:type="dxa"/>
            <w:vAlign w:val="bottom"/>
          </w:tcPr>
          <w:p>
            <w:pPr>
              <w:spacing w:after="0"/>
              <w:rPr>
                <w:sz w:val="20"/>
                <w:szCs w:val="20"/>
                <w:color w:val="auto"/>
              </w:rPr>
            </w:pPr>
            <w:r>
              <w:rPr>
                <w:rFonts w:ascii="Arial" w:cs="Arial" w:eastAsia="Arial" w:hAnsi="Arial"/>
                <w:sz w:val="18"/>
                <w:szCs w:val="18"/>
                <w:color w:val="auto"/>
              </w:rPr>
              <w:t>September 30, 2021</w:t>
            </w:r>
          </w:p>
        </w:tc>
        <w:tc>
          <w:tcPr>
            <w:tcW w:w="6520" w:type="dxa"/>
            <w:vAlign w:val="bottom"/>
          </w:tcPr>
          <w:p>
            <w:pPr>
              <w:ind w:left="220"/>
              <w:spacing w:after="0"/>
              <w:rPr>
                <w:sz w:val="20"/>
                <w:szCs w:val="20"/>
                <w:color w:val="auto"/>
              </w:rPr>
            </w:pPr>
            <w:r>
              <w:rPr>
                <w:rFonts w:ascii="Arial" w:cs="Arial" w:eastAsia="Arial" w:hAnsi="Arial"/>
                <w:sz w:val="18"/>
                <w:szCs w:val="18"/>
                <w:color w:val="auto"/>
              </w:rPr>
              <w:t>Nonvested restricted stock</w:t>
            </w:r>
          </w:p>
        </w:tc>
        <w:tc>
          <w:tcPr>
            <w:tcW w:w="1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2,918,084</w:t>
            </w:r>
          </w:p>
        </w:tc>
      </w:tr>
      <w:tr>
        <w:trPr>
          <w:trHeight w:val="20"/>
        </w:trPr>
        <w:tc>
          <w:tcPr>
            <w:tcW w:w="16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of September 30, 2021 (Successor), the Company had approximately $33.1 million of unrecognized pre-tax noncash compensation expense, comprised of approximately $10.4 million related to restricted stock agreements, $0.6 million related to restricted stock units, and approximately $22.1 million related to stock options, which the Company expects to recognize over a weighted average period of 3.3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June 25, 2021, in connection with the IPO, the Company adopted the First Advantage Corporation 2021 Employee Stock Purchase Plan (“ESPP”) that allows eligible employees to voluntarily make after-tax contributions of up to 15% of such employee’s cash compensation to acquire Company stock during designated offering periods. During each offering period, there will be one six-month purchase period, which will have the same duration and coincide with the length of the offering period. During the holding period, ESPP purchased shares are not eligible for sale or broker transfer. There were no stock employee purchase offerings during the three and nine months ended September 30, 2021 (Successor) and accordingly no eligible employees were enrolled in the ESPP during the three and nine months ended September 30, 2021 (Successor).</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11.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Following the Silver Lake Transaction the Company operated with one class of stock.</w:t>
      </w:r>
    </w:p>
    <w:p>
      <w:pPr>
        <w:spacing w:after="0" w:line="18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During the period from February 1, 2020 through March 31, 2020 (Successor), the Company’s parent received a $50.0 million strategic investment in the Company’s equity by Workday, Inc. This investment was contributed to the Company as a capital contribution.</w:t>
      </w:r>
    </w:p>
    <w:p>
      <w:pPr>
        <w:spacing w:after="0" w:line="116"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On June 11, 2021, the Company’s Board of Directors approved and made effective a 1,300,000-for-one stock split of the Company’s common stock and filed an Amended and Restated Certificate of Incorporation, which authorized a total of 1,000,000,000 shares of Common Stock, $0.001 par value per share and 250,000,000 shares of Preferred Stock, par value $0.001 per share (the “Preferred Stock”). The par value per share of common stock remained unchanged at $0.001 per share. Authorized shares were increased from 10,000 shares to 1,000,000,000 shares. The condensed consolidated financial statements and notes give retroactive effect to the stock split for all Successor periods presented. After giving retroactive effect to the stock split, as of December 31, 2020, 130,000,000 shares of common stock were issued and outstanding.</w:t>
      </w:r>
    </w:p>
    <w:p>
      <w:pPr>
        <w:spacing w:after="0" w:line="122"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In connection with the IPO, Fastball Holdco, L.P., the Company’s parent, was dissolved and all outstanding Class A LP Units, Class B LP Units, and Class C LP Units of Fastball Holdco, L.P. were exchanged for 130,000,000 shares of the Company’s common stock.</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June 25, 2021, the Company sold 22,856,250 shares of Common Stock in its IPO, including 2,981,250 shares that were sold pursuant to the full exercise of the underwriters’ option to purchase additional shares, at an offering price of $15.00 per share. The Company received aggregate net proceeds of $316.5 million after deducting underwriting discounts and commissions of $22.3 million and other offering expenses of $4.0 million. The Company used a portion of the proceeds to repay $200.0 million of outstanding indebtedness (see Note 6).</w:t>
      </w:r>
    </w:p>
    <w:p>
      <w:pPr>
        <w:spacing w:after="0" w:line="131" w:lineRule="exact"/>
        <w:rPr>
          <w:sz w:val="20"/>
          <w:szCs w:val="20"/>
          <w:color w:val="auto"/>
        </w:rPr>
      </w:pPr>
    </w:p>
    <w:p>
      <w:pPr>
        <w:ind w:right="1600"/>
        <w:spacing w:after="0" w:line="453" w:lineRule="auto"/>
        <w:rPr>
          <w:sz w:val="20"/>
          <w:szCs w:val="20"/>
          <w:color w:val="auto"/>
        </w:rPr>
      </w:pPr>
      <w:r>
        <w:rPr>
          <w:rFonts w:ascii="Arial" w:cs="Arial" w:eastAsia="Arial" w:hAnsi="Arial"/>
          <w:sz w:val="18"/>
          <w:szCs w:val="18"/>
          <w:color w:val="auto"/>
        </w:rPr>
        <w:t xml:space="preserve">As of September 30, 2021, no preferred stock had been issued and 152,870,750 shares of common stock were issued and outstanding. </w:t>
      </w:r>
      <w:r>
        <w:rPr>
          <w:rFonts w:ascii="Arial" w:cs="Arial" w:eastAsia="Arial" w:hAnsi="Arial"/>
          <w:sz w:val="18"/>
          <w:szCs w:val="18"/>
          <w:i w:val="1"/>
          <w:iCs w:val="1"/>
          <w:color w:val="auto"/>
        </w:rPr>
        <w:t>Predecessor</w:t>
      </w:r>
    </w:p>
    <w:p>
      <w:pPr>
        <w:spacing w:after="0" w:line="2"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The Company authorized the issuance of an aggregate of 165,000,000 units consisting of three classes of units as follows: 140,000,000 Class A units, 7,500,000 Class B units, and 17,500,000 Class C units. All units had no par value.</w:t>
      </w:r>
    </w:p>
    <w:p>
      <w:pPr>
        <w:spacing w:after="0" w:line="112" w:lineRule="exact"/>
        <w:rPr>
          <w:sz w:val="20"/>
          <w:szCs w:val="20"/>
          <w:color w:val="auto"/>
        </w:rPr>
      </w:pPr>
    </w:p>
    <w:p>
      <w:pPr>
        <w:jc w:val="both"/>
        <w:ind w:right="220"/>
        <w:spacing w:after="0" w:line="281" w:lineRule="auto"/>
        <w:rPr>
          <w:sz w:val="20"/>
          <w:szCs w:val="20"/>
          <w:color w:val="auto"/>
        </w:rPr>
      </w:pPr>
      <w:r>
        <w:rPr>
          <w:rFonts w:ascii="Arial" w:cs="Arial" w:eastAsia="Arial" w:hAnsi="Arial"/>
          <w:sz w:val="18"/>
          <w:szCs w:val="18"/>
          <w:b w:val="1"/>
          <w:bCs w:val="1"/>
          <w:color w:val="auto"/>
        </w:rPr>
        <w:t xml:space="preserve">Class A Units </w:t>
      </w:r>
      <w:r>
        <w:rPr>
          <w:rFonts w:ascii="Arial" w:cs="Arial" w:eastAsia="Arial" w:hAnsi="Arial"/>
          <w:sz w:val="18"/>
          <w:szCs w:val="18"/>
          <w:color w:val="auto"/>
        </w:rPr>
        <w:t>— During the Predecessor period, 140,000,000 Class A units were authorized and 138,714,853 units were issued. These units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the most preferred class of equity and entitled the holders to the return of their capital contributions before amounts were distributed with respect to any other units.</w:t>
      </w:r>
    </w:p>
    <w:p>
      <w:pPr>
        <w:spacing w:after="0" w:line="123"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b w:val="1"/>
          <w:bCs w:val="1"/>
          <w:color w:val="auto"/>
        </w:rPr>
        <w:t xml:space="preserve">Class B Units </w:t>
      </w:r>
      <w:r>
        <w:rPr>
          <w:rFonts w:ascii="Arial" w:cs="Arial" w:eastAsia="Arial" w:hAnsi="Arial"/>
          <w:sz w:val="18"/>
          <w:szCs w:val="18"/>
          <w:color w:val="auto"/>
        </w:rPr>
        <w:t>— During the Predecessor period, 7,500,000 Class B units were authorized and 1,700,051 units were issued. These units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common equity in that they provided rights to distributions junior to the A Units. These units reflected an equity interest in the entire company and were used for share-based compensation purposes.</w:t>
      </w:r>
    </w:p>
    <w:p>
      <w:pPr>
        <w:spacing w:after="0" w:line="12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color w:val="auto"/>
        </w:rPr>
        <w:t xml:space="preserve">Class C Units </w:t>
      </w:r>
      <w:r>
        <w:rPr>
          <w:rFonts w:ascii="Arial" w:cs="Arial" w:eastAsia="Arial" w:hAnsi="Arial"/>
          <w:sz w:val="16"/>
          <w:szCs w:val="16"/>
          <w:color w:val="auto"/>
        </w:rPr>
        <w:t>— During the Predecessor period, 17,500,000 Class C units were authorized and 9,271,556 units were issued. These units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common equity in that they provided rights to distributions junior to the A Units. These units represented an equity interest in the entire Company with rights to distributions from earnings generated only by the Company’s screening business. Class C units were used for share-based compensation purposes.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89"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Except for certain changes to our debt agreements previously discussed in Note 6, there have been no material changes to the Company’s contractual obligations as compared to December 31, 2020 (Successor).</w:t>
      </w:r>
    </w:p>
    <w:p>
      <w:pPr>
        <w:spacing w:after="0" w:line="112"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in litigation from time to time in the ordinary course of business. At times, the Company, given the nature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background screening business, could become subject to lawsuits, or potential class action lawsuits, in multiple jurisdictions, related to claims brought primarily by consumers or individuals who were the subject of its screening services.</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For all pending matters, the Company believes it has meritorious defenses and intends to defend vigorously or otherwise seek indemnification from other parties as appropriate. However, the Company has recorded a liability of $8.1 million at September 30, 2021 (Successor) and December 31, 2020 (Successor) for matters that it believes a loss is both probable and estimable. This is included in accrued liabilities in the accompanying condensed consolidated balance sheets.</w:t>
      </w:r>
    </w:p>
    <w:p>
      <w:pPr>
        <w:spacing w:after="0" w:line="131"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In June 2014 and September 2015, two separate class action cases were filed against the Company in the State of California. The two cases are now being coordinated together under a single judge and a settlement agreement has been agreed to, pending final court approval. As a result, the Company has recorded a total liability of $6.3 million for these two cases at September 30, 2021 (Successor) and December 31, 2020 (Successor). This liability represents the Company’s agreed-upon settlement amount and related class action administrative fees. Additionally, the Company maintains liability insurance programs to manage its litigation risks and the Company’s insurers have agreed to a single deductible to be applied to the two cases. As a result, the Company has recorded a total insurance recoverable asset of $2.2 million for these two cases at September 30, 2021 (Successor) and December 31, 2020 (Successor), which represents the portion of the legal settlement and legal fees incurred expected to be recovered from the Company’s insurers. This is included in prepaid expenses and other current assets in the accompanying condensed consolidated balance sheets.</w:t>
      </w:r>
    </w:p>
    <w:p>
      <w:pPr>
        <w:spacing w:after="0" w:line="10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material related party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w:t>
      </w:r>
    </w:p>
    <w:p>
      <w:pPr>
        <w:spacing w:after="0" w:line="185"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In the ordinary course of business in the Predecessor period, the Company entered into transactions with related parties, primarily with STG and one of STG’s other investments, Symphony Talent, LLC.</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Total expenses recorded and paid to STG, primarily related to healthcare premiums, were $0.0 million for the period from January 1, 2020 through January 31, 2020 (Predecessor). In January 2020, the Company and STG entered into a Termination Agreement, in which all obligations and liabilities under the benefits arrangement were cancelled.</w:t>
      </w:r>
    </w:p>
    <w:p>
      <w:pPr>
        <w:spacing w:after="0" w:line="129"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color w:val="auto"/>
        </w:rPr>
        <w:t>In January 2020, the Company and Symphony Talent, LLC entered into a Debt Forgiveness Agreement in which the Company forgave a loan receivable, including accrued interest and other transaction related receivables, that the Company had previously fully impaired in 2018.</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14. Net Income (Loss) Per Share</w:t>
      </w:r>
    </w:p>
    <w:p>
      <w:pPr>
        <w:spacing w:after="0" w:line="189"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For the period from January 1, 2020 through January 31, 2020 (Predecessor), the Company had Class B options, Class C options, and Class C profits interests issued under the Predecessor Plan. The potentially dilutive securities outstanding during this period had an anti-dilutive effect and were therefore not included in the calculation of diluted net (loss) per unit for the period. For Successor periods, 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Company did not have any potentially dilutive securities during the period from February 1, 2020 through September 30, 2020 (Successor). Basic and diluted net income (loss) per share was calculated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Three-Month Period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Nine-Month Period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399"/>
        </w:trPr>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5"/>
              </w:rPr>
              <w:t>Predecessor</w:t>
            </w:r>
          </w:p>
        </w:tc>
      </w:tr>
      <w:tr>
        <w:trPr>
          <w:trHeight w:val="179"/>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Nine Months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Period from</w:t>
            </w:r>
          </w:p>
        </w:tc>
        <w:tc>
          <w:tcPr>
            <w:tcW w:w="140" w:type="dxa"/>
            <w:vAlign w:val="bottom"/>
          </w:tcPr>
          <w:p>
            <w:pPr>
              <w:spacing w:after="0"/>
              <w:rPr>
                <w:sz w:val="15"/>
                <w:szCs w:val="15"/>
                <w:color w:val="auto"/>
              </w:rPr>
            </w:pPr>
          </w:p>
        </w:tc>
        <w:tc>
          <w:tcPr>
            <w:tcW w:w="134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Period from</w:t>
            </w:r>
          </w:p>
        </w:tc>
      </w:tr>
      <w:tr>
        <w:trPr>
          <w:trHeight w:val="176"/>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February 1, 2020</w:t>
            </w:r>
          </w:p>
        </w:tc>
        <w:tc>
          <w:tcPr>
            <w:tcW w:w="140" w:type="dxa"/>
            <w:vAlign w:val="bottom"/>
          </w:tcPr>
          <w:p>
            <w:pPr>
              <w:spacing w:after="0"/>
              <w:rPr>
                <w:sz w:val="15"/>
                <w:szCs w:val="15"/>
                <w:color w:val="auto"/>
              </w:rPr>
            </w:pPr>
          </w:p>
        </w:tc>
        <w:tc>
          <w:tcPr>
            <w:tcW w:w="134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January 1, 2020</w:t>
            </w:r>
          </w:p>
        </w:tc>
      </w:tr>
      <w:tr>
        <w:trPr>
          <w:trHeight w:val="175"/>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through</w:t>
            </w:r>
          </w:p>
        </w:tc>
        <w:tc>
          <w:tcPr>
            <w:tcW w:w="140" w:type="dxa"/>
            <w:vAlign w:val="bottom"/>
          </w:tcPr>
          <w:p>
            <w:pPr>
              <w:spacing w:after="0"/>
              <w:rPr>
                <w:sz w:val="15"/>
                <w:szCs w:val="15"/>
                <w:color w:val="auto"/>
              </w:rPr>
            </w:pPr>
          </w:p>
        </w:tc>
        <w:tc>
          <w:tcPr>
            <w:tcW w:w="1340" w:type="dxa"/>
            <w:vAlign w:val="bottom"/>
          </w:tcPr>
          <w:p>
            <w:pPr>
              <w:jc w:val="center"/>
              <w:ind w:right="182"/>
              <w:spacing w:after="0"/>
              <w:rPr>
                <w:sz w:val="20"/>
                <w:szCs w:val="20"/>
                <w:color w:val="auto"/>
              </w:rPr>
            </w:pPr>
            <w:r>
              <w:rPr>
                <w:rFonts w:ascii="Arial" w:cs="Arial" w:eastAsia="Arial" w:hAnsi="Arial"/>
                <w:sz w:val="14"/>
                <w:szCs w:val="14"/>
                <w:b w:val="1"/>
                <w:bCs w:val="1"/>
                <w:color w:val="auto"/>
                <w:w w:val="90"/>
              </w:rPr>
              <w:t>through</w:t>
            </w:r>
          </w:p>
        </w:tc>
      </w:tr>
      <w:tr>
        <w:trPr>
          <w:trHeight w:val="192"/>
        </w:trPr>
        <w:tc>
          <w:tcPr>
            <w:tcW w:w="3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6"/>
                <w:szCs w:val="16"/>
                <w:color w:val="auto"/>
              </w:rPr>
            </w:pPr>
          </w:p>
        </w:tc>
        <w:tc>
          <w:tcPr>
            <w:tcW w:w="148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w w:val="91"/>
              </w:rPr>
              <w:t>September 30, 2020</w:t>
            </w:r>
          </w:p>
        </w:tc>
        <w:tc>
          <w:tcPr>
            <w:tcW w:w="2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2"/>
              </w:rPr>
              <w:t>January 31, 2020</w:t>
            </w:r>
          </w:p>
        </w:tc>
      </w:tr>
      <w:tr>
        <w:trPr>
          <w:trHeight w:val="229"/>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net income (loss)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0.11</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0.00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(0.32 )</w:t>
            </w:r>
          </w:p>
        </w:tc>
        <w:tc>
          <w:tcPr>
            <w:tcW w:w="14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n/a</w:t>
            </w:r>
          </w:p>
        </w:tc>
      </w:tr>
      <w:tr>
        <w:trPr>
          <w:trHeight w:val="220"/>
        </w:trPr>
        <w:tc>
          <w:tcPr>
            <w:tcW w:w="374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0.11</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(0.03 )</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(0.32 )</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n/a</w:t>
            </w:r>
          </w:p>
        </w:tc>
      </w:tr>
      <w:tr>
        <w:trPr>
          <w:trHeight w:val="239"/>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20"/>
        </w:trPr>
        <w:tc>
          <w:tcPr>
            <w:tcW w:w="3740" w:type="dxa"/>
            <w:vAlign w:val="bottom"/>
          </w:tcPr>
          <w:p>
            <w:pPr>
              <w:ind w:left="20"/>
              <w:spacing w:after="0"/>
              <w:rPr>
                <w:sz w:val="20"/>
                <w:szCs w:val="20"/>
                <w:color w:val="auto"/>
              </w:rPr>
            </w:pPr>
            <w:r>
              <w:rPr>
                <w:rFonts w:ascii="Arial" w:cs="Arial" w:eastAsia="Arial" w:hAnsi="Arial"/>
                <w:sz w:val="16"/>
                <w:szCs w:val="16"/>
                <w:color w:val="auto"/>
              </w:rPr>
              <w:t>Net income (loss) (in thousands)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16,285</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(3,452 )</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666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(41,632 )</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n/a</w:t>
            </w:r>
          </w:p>
        </w:tc>
      </w:tr>
      <w:tr>
        <w:trPr>
          <w:trHeight w:val="239"/>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Denominator:</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06"/>
        </w:trPr>
        <w:tc>
          <w:tcPr>
            <w:tcW w:w="374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 -</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149,943,998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130,000,000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137,232,289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130,000,000</w:t>
            </w: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n/a</w:t>
            </w:r>
          </w:p>
        </w:tc>
      </w:tr>
      <w:tr>
        <w:trPr>
          <w:trHeight w:val="216"/>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 options and restricted stock units to purchase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26"/>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2,456,421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938,199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n/a</w:t>
            </w:r>
          </w:p>
        </w:tc>
      </w:tr>
      <w:tr>
        <w:trPr>
          <w:trHeight w:val="206"/>
        </w:trPr>
        <w:tc>
          <w:tcPr>
            <w:tcW w:w="374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 -</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152,400,419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130,000,000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138,170,488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130,000,000</w:t>
            </w: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n/a</w:t>
            </w:r>
          </w:p>
        </w:tc>
      </w:tr>
      <w:tr>
        <w:trPr>
          <w:trHeight w:val="239"/>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net (loss) per unit</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tcBorders>
              <w:right w:val="single" w:sz="8" w:color="auto"/>
            </w:tcBorders>
            <w:gridSpan w:val="2"/>
            <w:shd w:val="clear" w:color="auto" w:fill="CFF0FC"/>
          </w:tcPr>
          <w:p>
            <w:pPr>
              <w:ind w:left="104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(0.24 )</w:t>
            </w:r>
          </w:p>
        </w:tc>
      </w:tr>
      <w:tr>
        <w:trPr>
          <w:trHeight w:val="220"/>
        </w:trPr>
        <w:tc>
          <w:tcPr>
            <w:tcW w:w="3740" w:type="dxa"/>
            <w:vAlign w:val="bottom"/>
          </w:tcPr>
          <w:p>
            <w:pPr>
              <w:ind w:left="20"/>
              <w:spacing w:after="0"/>
              <w:rPr>
                <w:sz w:val="20"/>
                <w:szCs w:val="20"/>
                <w:color w:val="auto"/>
              </w:rPr>
            </w:pPr>
            <w:r>
              <w:rPr>
                <w:rFonts w:ascii="Arial" w:cs="Arial" w:eastAsia="Arial" w:hAnsi="Arial"/>
                <w:sz w:val="16"/>
                <w:szCs w:val="16"/>
                <w:color w:val="auto"/>
              </w:rPr>
              <w:t>Diluted net (loss) per unit</w:t>
            </w:r>
          </w:p>
        </w:tc>
        <w:tc>
          <w:tcPr>
            <w:tcW w:w="12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right w:val="single" w:sz="8" w:color="auto"/>
            </w:tcBorders>
            <w:gridSpan w:val="2"/>
          </w:tcPr>
          <w:p>
            <w:pPr>
              <w:ind w:left="104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(0.24 )</w:t>
            </w:r>
          </w:p>
        </w:tc>
      </w:tr>
      <w:tr>
        <w:trPr>
          <w:trHeight w:val="239"/>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20"/>
        </w:trPr>
        <w:tc>
          <w:tcPr>
            <w:tcW w:w="3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right w:val="single" w:sz="8" w:color="auto"/>
            </w:tcBorders>
            <w:gridSpan w:val="2"/>
          </w:tcPr>
          <w:p>
            <w:pPr>
              <w:ind w:left="104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(36,530 )</w:t>
            </w:r>
          </w:p>
        </w:tc>
      </w:tr>
      <w:tr>
        <w:trPr>
          <w:trHeight w:val="239"/>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Denominator:</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20"/>
        </w:trPr>
        <w:tc>
          <w:tcPr>
            <w:tcW w:w="3740" w:type="dxa"/>
            <w:vAlign w:val="bottom"/>
          </w:tcPr>
          <w:p>
            <w:pPr>
              <w:ind w:left="20"/>
              <w:spacing w:after="0"/>
              <w:rPr>
                <w:sz w:val="20"/>
                <w:szCs w:val="20"/>
                <w:color w:val="auto"/>
              </w:rPr>
            </w:pPr>
            <w:r>
              <w:rPr>
                <w:rFonts w:ascii="Arial" w:cs="Arial" w:eastAsia="Arial" w:hAnsi="Arial"/>
                <w:sz w:val="16"/>
                <w:szCs w:val="16"/>
                <w:color w:val="auto"/>
              </w:rPr>
              <w:t>Weighted average units outstanding - basic</w:t>
            </w:r>
          </w:p>
        </w:tc>
        <w:tc>
          <w:tcPr>
            <w:tcW w:w="12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right w:val="single" w:sz="8" w:color="auto"/>
            </w:tcBorders>
            <w:gridSpan w:val="2"/>
          </w:tcPr>
          <w:p>
            <w:pPr>
              <w:ind w:left="104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149,686,460</w:t>
            </w:r>
          </w:p>
        </w:tc>
      </w:tr>
      <w:tr>
        <w:trPr>
          <w:trHeight w:val="216"/>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 options and restricted stock units to purchase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26"/>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tcBorders>
              <w:right w:val="single" w:sz="8" w:color="auto"/>
            </w:tcBorders>
            <w:gridSpan w:val="2"/>
            <w:shd w:val="clear" w:color="auto" w:fill="CFF0FC"/>
          </w:tcPr>
          <w:p>
            <w:pPr>
              <w:ind w:left="104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30"/>
        </w:trPr>
        <w:tc>
          <w:tcPr>
            <w:tcW w:w="3740" w:type="dxa"/>
            <w:vAlign w:val="bottom"/>
          </w:tcPr>
          <w:p>
            <w:pPr>
              <w:ind w:left="20"/>
              <w:spacing w:after="0"/>
              <w:rPr>
                <w:sz w:val="20"/>
                <w:szCs w:val="20"/>
                <w:color w:val="auto"/>
              </w:rPr>
            </w:pPr>
            <w:r>
              <w:rPr>
                <w:rFonts w:ascii="Arial" w:cs="Arial" w:eastAsia="Arial" w:hAnsi="Arial"/>
                <w:sz w:val="16"/>
                <w:szCs w:val="16"/>
                <w:color w:val="auto"/>
              </w:rPr>
              <w:t>Weighted average units outstanding - diluted</w:t>
            </w:r>
          </w:p>
        </w:tc>
        <w:tc>
          <w:tcPr>
            <w:tcW w:w="12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right w:val="single" w:sz="8" w:color="auto"/>
            </w:tcBorders>
            <w:gridSpan w:val="2"/>
          </w:tcPr>
          <w:p>
            <w:pPr>
              <w:ind w:left="104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149,686,460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-3466465</wp:posOffset>
            </wp:positionV>
            <wp:extent cx="33655" cy="6337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63373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15. Subsequent Events</w:t>
      </w:r>
    </w:p>
    <w:p>
      <w:pPr>
        <w:spacing w:after="0" w:line="35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On November 5, 2021, the Company entered into a definitive agreement to acquire 100% of the equity interest of Corporate Screening Services, Inc. (“Corporate Screening”), a U.S.-based healthcare and higher education focused screening and compliance solutions provider headquartered in Cleveland, Ohio. This acquisition strengthens the Company's healthcare and higher education solutions by adding technology and expertise tailored to those customers.</w:t>
      </w:r>
    </w:p>
    <w:p>
      <w:pPr>
        <w:spacing w:after="0" w:line="29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On November 6, 2021, the Company entered into a definitive agreement to acquire 100% of the equity interest of MultiLatin Advisors, S.A. de C.V. (“MultiLatin”), a Mexico-based background screening and verifications provider. This acquisition strategically expands the Company’s presence in Latin America.</w:t>
      </w:r>
    </w:p>
    <w:p>
      <w:pPr>
        <w:spacing w:after="0" w:line="29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These cash transactions have a total purchase price of approximately $41.2 million and are expected to be completed in the fourth quarter of 2021, subject to customary closing conditions and working capital adjustments.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88" w:right="479"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The following discussion and analysis of First Advantage Corporations’ financial condition and results of operations is provided as a supplement to the condensed consolidated financial statements for the three and nine months ended September 30, 2021, and should be read in conjunction with the audited consolidated financial statements for the year ended December 31, 2020, our “Risk Factors,” and “Management’s Discussion and Analysis of Financial Condition and Results of Operations” included in our Registration Statement on Form S-1, originally filed with the SEC on May 28, 2021, as amended (Reg. No. 333-256622).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These forward-looking statements are subject to various risks, uncertainties, assumptions or changes in circumstances that are difficult to predict or quantify. Such risks and uncertainties include, but are not limited to, the following: the impact of COVID-19 and related risks on our results of operations, financial position and/or liquidity; our operations in a highly regulated industry and the fact that we are subject to numerous and evolving laws and regulations, including with respect to personal data and data security; our reliance on third-party data providers; negative changes in external events beyond our control, including our customers’ onboarding volumes, economic drivers which are sensitive to macroeconomic cycles, and the COVID-19 pandemic; potential harm to our business, brand and reputation as a result of security breaches, cyber-attacks or the mishandling of personal data; liability and litigation due to the sensitive and privacy-driven nature of our products and solutions, which could be costly and time-consuming to defend and may not be fully covered by insurance;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contracts with our customers, which do not guarantee exclusivity or contracted volumes; our reliance on third-party vendors to carry out certain portions of our operations; disruptions, outages or other errors with our technology and network infrastructure, including our data centers, servers and third-party cloud and internet providers and our migration to the cloud; disruptions at our Global Operating Center and other operating centers; operating in a penetrated and competitive market; our ability to obtain, maintain, protect and enforce our intellectual property and other proprietary information; our indebtedness could adversely affect our ability to raise additional capital to fund our operations, limit our ability to react to changes in the economy or our industry, and prevent us from meeting our obligations; our Sponsor (Silver Lake Group, L.L.C., together with its affiliates, successors and assignees) controls us and may have interests that conflict with ours or those of our stockholders; our ability to maintain, protect and enforce the confidentiality of our trade secrets; the use of open-source software in our applications; the indemnification provisions in our contracts with our customers and third-party data suppliers; our ability to identify attractive targets or successfully complete such transactions; our international business; our dependence on the service of our key executive and other employees, and our ability to find and retain qualified employees; seasonality in our operations from quarter to quarter; failure to comply with anti-corruption laws and regulations; and changing interpretations of tax laws.</w:t>
      </w:r>
    </w:p>
    <w:p>
      <w:pPr>
        <w:spacing w:after="0" w:line="35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additional information on these and other factors that could cause First Advantage’s actual results to differ materially from expected results, please see our prospectus, dated June 22, 2021, filed with the Securities and Exchange Commission (the “SEC”) pursuant to Rule 424(b)(4) of the Securities Act of 1933,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are used in this Form 10-Q, unless otherwise noted or indicated by the context: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“Enterprise customers” means our customers who contribute $500,000 or more to our revenues in a calendar year;</w:t>
      </w:r>
    </w:p>
    <w:p>
      <w:pPr>
        <w:spacing w:after="0" w:line="131" w:lineRule="exact"/>
        <w:rPr>
          <w:sz w:val="20"/>
          <w:szCs w:val="20"/>
          <w:color w:val="auto"/>
        </w:rPr>
      </w:pPr>
    </w:p>
    <w:p>
      <w:pPr>
        <w:ind w:left="960" w:right="3340"/>
        <w:spacing w:after="0" w:line="293" w:lineRule="auto"/>
        <w:rPr>
          <w:sz w:val="20"/>
          <w:szCs w:val="20"/>
          <w:color w:val="auto"/>
        </w:rPr>
      </w:pPr>
      <w:r>
        <w:rPr>
          <w:rFonts w:ascii="Arial" w:cs="Arial" w:eastAsia="Arial" w:hAnsi="Arial"/>
          <w:sz w:val="18"/>
          <w:szCs w:val="18"/>
          <w:color w:val="auto"/>
        </w:rPr>
        <w:t>“First Advantage,” the “Company,” “we,” “us,” and “our” mean the business of First Advantage Corporation and its subsidiaries;</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“pro forma” or “pro forma basis” means giving effect to the Silver Lake Transaction and the related financing, which occurred on January 31, 2020 and is further described below;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“Silver Lake” means Silver Lake Group, L.L.C., together with its affiliates, successors, and assignees.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Social Media Disclosure</w:t>
      </w:r>
    </w:p>
    <w:p>
      <w:pPr>
        <w:spacing w:after="0" w:line="189"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We use our websites (https://fadv.com/ and https://investors.fadv.com/) to distribute company information. The information we post on our websites may be deemed material. Accordingly, investors should monitor our websites, in addition to following our press releases, filings with the Securities and Exchange Commission (“SEC”) and public conference calls and webcasts. In addition, you may automatically receive email alerts and other information about First Advantage when you enroll your email address by visiting the “Email Alerts” section of our website at https://investors.fadv.com/. The contents of our websites and social media channels are not, however, a part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First Advantage is a leading global provider of technology solutions for screening, verifications, safety, and compliance related to human capital. We deliver innovative solutions and insights that help our customers manage risk and hire the best talent. Enabled by our proprietary technology platform, our products and solutions help companies protect their brands and provide safer environments for their customers and their most important resources: employees, contractors, contingent workers, tenants, and drivers.</w:t>
      </w:r>
    </w:p>
    <w:p>
      <w:pPr>
        <w:spacing w:after="0" w:line="131"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Our comprehensive product suite includes Criminal Background Checks, Drug / Health Screening, Extended Workforce Screening, Biometrics &amp; Identity, Education / Work Verifications, Resident Screening, Fleet / Driver Compliance, Executive Screening, Data Analytics, Continuous Monitoring, Social Media Monitoring, and Hiring Tax Incentives. We derive a substantial majority of our revenues from pre-onboarding screening.</w:t>
      </w:r>
    </w:p>
    <w:p>
      <w:pPr>
        <w:spacing w:after="0" w:line="110"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We perform screening in over 200 countries and territories, enabling us to serve as a one-stop-shop provider to both multinational companies and growth companies. Our more than 30,000 customers are global enterprises, mid-sized, and small companies, and our products and solutions are used by personnel in recruiting, human resources, risk, compliance, vendor management, safety, and/or security.</w:t>
      </w:r>
    </w:p>
    <w:p>
      <w:pPr>
        <w:spacing w:after="0" w:line="11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Our products are sold both individually and bundled.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bundled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spacing w:after="0" w:line="13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enter into contracts with our customers that are typically three years in length. These contracts set forth the general terms and pricing of our products and solutions, but do not include minimum order volumes or committed order volumes. Accordingly, contracts do not provide any guarantees of future revenues. Due to our contract terms and the nature of the background screening industry, we determined our contract terms for ASC 606 purposes are less than one year. Through our ongoing dialogue with our customers, we have some visibility into their expected future volumes, although these can be difficult to accurately forecast. We typically bill our customers at the end of each month and recognize revenues as completed orders are reported or otherwise made available to our customers. A substantial majority of customer orders are completed the same day they are submitted.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8" w:name="page29"/>
    <w:bookmarkEnd w:id="28"/>
    <w:p>
      <w:pPr>
        <w:ind w:right="20"/>
        <w:spacing w:after="0" w:line="287" w:lineRule="auto"/>
        <w:rPr>
          <w:sz w:val="20"/>
          <w:szCs w:val="20"/>
          <w:color w:val="auto"/>
        </w:rPr>
      </w:pPr>
      <w:r>
        <w:rPr>
          <w:rFonts w:ascii="Arial" w:cs="Arial" w:eastAsia="Arial" w:hAnsi="Arial"/>
          <w:sz w:val="17"/>
          <w:szCs w:val="17"/>
          <w:color w:val="auto"/>
        </w:rPr>
        <w:t>We generated revenues of $192.9 million for the three months ended September 30, 2021 (Successor), as compared to $136.8 million for the three months ended September 30, 2020 (Successor). For the nine months ended September 30, 2021 (Successor), we generated revenues of $499.8 million, as compared to $352.6 million for the nine months ended September 30, 2020, on a pro forma basis to give effect to the Silver Lake Transaction. These increases were driven by the improvement in the overall economy and hiring market, as well as the addition of a number of large new customers, upselling and cross-selling existing customers, and strong, broad-based demand across our existing customer base. We have experienced additional increases as a result of the UK screening business acquisition which closed on March 31, 2021. Approximately 84% of our 2021 revenues for the nine months ended September 30, 2021 was generated in North America, predominantly in the U.S., while the remaining 16% was generated internationally. Other than the United States, no single country accounted for 10% or more of our total revenues during the three and nine months ended September 30, 2021 (Successor). Please refer to “Results of Operations” for further details.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On January 31, 2020, Silver Lake acquired substantially all of the equity interests of the Company from Symphony Technology Group (“STG”) pursuant to an Agreement and Plan of Merger, dated as of November 19, 2019 (the “Silver Lake Transaction”). For the purposes of the consolidated financial data included in this Form 10-Q, periods on or prior to January 31, 2020 reflect the financial position, results of operations, and cash flows of the Company and its consolidated subsidiaries prior to the Silver Lake Transaction, referred to herein as the Predecessor, and periods beginning after January 31, 2020 reflect the financial position, results of operations and cash flows of the Company and its consolidated subsidiaries as a result of the Silver Lake Transaction, referred to herein as the Successor. As a result of the Silver Lake Transaction, the results of operations and financial position of the Predecessor and Successor are not directly comparable.</w:t>
      </w:r>
    </w:p>
    <w:p>
      <w:pPr>
        <w:spacing w:after="0" w:line="138" w:lineRule="exact"/>
        <w:rPr>
          <w:sz w:val="20"/>
          <w:szCs w:val="20"/>
          <w:color w:val="auto"/>
        </w:rPr>
      </w:pPr>
    </w:p>
    <w:p>
      <w:pPr>
        <w:jc w:val="both"/>
        <w:ind w:right="520"/>
        <w:spacing w:after="0" w:line="279" w:lineRule="auto"/>
        <w:rPr>
          <w:sz w:val="20"/>
          <w:szCs w:val="20"/>
          <w:color w:val="auto"/>
        </w:rPr>
      </w:pPr>
      <w:r>
        <w:rPr>
          <w:rFonts w:ascii="Arial" w:cs="Arial" w:eastAsia="Arial" w:hAnsi="Arial"/>
          <w:sz w:val="18"/>
          <w:szCs w:val="18"/>
          <w:color w:val="auto"/>
        </w:rPr>
        <w:t>To facilitate comparability across periods, we have presented in this “Management’s Discussion and Analysis of Financial Condition and Results of Operations” section certain financial information on a pro forma basis, giving pro forma effect to the Silver Lake Transaction as if it had occurred on January 1, 2020. Please refer to “Results of Operations” for further details.</w:t>
      </w:r>
    </w:p>
    <w:p>
      <w:pPr>
        <w:spacing w:after="0" w:line="129"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Numerical figures included in this Form 10-Q have been subject to rounding adjustments. Accordingly, numerical figures shown as totals in various tables may not be arithmetic aggregations of the figures that precede them.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have one operating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We experience seasonality with respect to certain customer industries as a result of fluctuations in hiring volumes and other economic activity. For example, pre-onboarding revenues generated from our customers in the retail and transportation industries are historically highest during the September through November months leading up to the holiday season and lowest at the beginning of the first quarter following the holiday season. Certain customers across various industries also historically ramp up their hiring throughout the first half of the year as winter concludes, commercial activity tied to outdoor activities increases, and the school year ends giving rise to student and graduate hiring. In addition, apartment rental activity and associated screening activity typically declines in the fourth quarter heading into the holiday season. We expect that further growth in e-commerce, the continued digital transformation of the economy, and other economic forces including the COVID-19 pandemic may impact seasonality, but we are unable to predict these potential shifts and how our business may be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On June 25, 2021, the Company completed its IPO in which it sold 22,856,250 shares of its common stock, including 2,981,250 shares that were sold pursuant to the full exercise of the underwriters’ option to purchase additional shares, $0.001 par value per share (the “Common Stock”) at an offering price of $15.00 per share, resulting in net proceeds to us of $316.5 million, after deducting the underwriting discount of $22.3 million and offering expenses of $4.0 million, $0.2 million of which was not paid as of September 30, 2021. Additionally, certain existing stockholders sold an aggregate of 6,468,750 shares, including 843,750 shares that were sold pursuant to the full exercise of the underwriters’ option to purchase additional shares.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COVID-19</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March 2020, the World Health Organization characterized COVID-19 as a pandemic. The COVID-19 pandemic and the ensuing actions that various governments have taken in response have created significant worldwide uncertainty, volatility, and economic disruption and has had significant and unpredictable impacts on global labor markets. U.S. total private hiring volumes declined significantly at the beginning of the COVID-19 pandemic as many companies quickly reduced hiring amid related uncertainty. The U.S. unemployment rate spiked to 15% in April 2020, reflecting its highest rate since the Great Depression. Certain of our existing customers reduced headcount, furloughed employees, implemented hiring freezes, and reduced flexible workforces due to declining business conditions which decreased their spending on background screening. Certain sectors such as travel, dining, and non-essential retail, were especially impacted.</w:t>
      </w:r>
    </w:p>
    <w:p>
      <w:pPr>
        <w:spacing w:after="0" w:line="13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believe providers with large exposure to apparel, airline, hotel, in-person food &amp; beverage, and SMB customers were heavily impacted during 2020 after COVID-19 driven lockdowns and other measures were taken. There were varying degrees of recovery across these sectors in 2020. First Advantage’s revenues declined approximately 14% year-over-year in the second quarter of 2020 as customers reduced order volumes at the onset of the pandemic. In particular, we saw greater revenue declines among our international customers. In response, we enacted hiring reductions, reduced flexible labor, and took other precautionary cost actions. We quickly mobilized our global operations to transition to a work-from-home model and prioritized our order processing capacity to meet the volume demands of customers that still had strong hiring volume. For a short period of time at the onset of the pandemic, we experienced operational disruptions due to court closures and unavailability of certain data sources that resulted in longer turnaround times and depending on our customers’ preferences, delayed or required modification of customer deliverables. We also incurred incremental costs of approximately $0.9 million in 2020 and $0.2 million in the nine months ended September 30, 2021 in connection with the COVID-19 pandemic, including costs related to furloughs and severance, increased overtime, and personal protective equipment.</w:t>
      </w:r>
    </w:p>
    <w:p>
      <w:pPr>
        <w:spacing w:after="0" w:line="12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Despite the pandemic and high U.S. unemployment rates, our business recovered in the third quarter of 2020. Our recovery and growth has been driven by our focus on and strength with Enterprise customers in diverse and durable sectors such as e-commerce, essential retail, transportation and home delivery, and new customer wins. We were also nimble in launching new products in response to COVID-19, such as virtual drug testing. We believe that a continued economic rebound will help drive strong hiring volumes and screening demand globally.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See Note 2 to the condensed consolidated financial statements for disclosure of the impact that recent accounting pronouncements may have on the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Company derives revenues from a variety of screening and adjacent products that cover phases from pre-onboarding screening to post-onboarding screening after the employees, contractors, contingent workers, tenants, and drivers have been onboarded. We generally classify our products and solutions into three major categories: pre-onboarding, post-onboarding, and adjacent products, each of which is enabled by our technology platform, proprietary databases, and data analytics capabilities. Pre-onboarding products, which comprise the substantial majority of our revenues, are comprised of an extensive array of products that customers typically utilize to enhance their evaluation process and ensure compliance with their onboarding criteria from the time a job or other application is submitted to an applicant’s successful onboarding. Post-onboarding products are comprised of continuous monitoring and re-screening solutions to help our customers keep their end customers, workforces, and other stakeholders safe, productive, and compliant. Adjacent products include products that complement our pre-onboarding and post-onboarding solutions such as fleet / vehicle compliance, tax credits and incentives, resident / tenant screening, and investigative screening.</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suite of products is available individually or through bundled solutions that can be configured and tailored according to our customers’ needs. We typically bill our customers at the end of each month and recognize revenues after completed orders are reported or otherwise made available to our customers. A substantial majority of customer orders are completed the same day they are submitted. We similarly recognize revenues for other products as customers receive and consume the benefits of the products and solutions delivered.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incur the following expenses related to our cost of revenues and operating expenses:</w:t>
      </w:r>
    </w:p>
    <w:p>
      <w:pPr>
        <w:spacing w:after="0" w:line="185" w:lineRule="exact"/>
        <w:rPr>
          <w:sz w:val="20"/>
          <w:szCs w:val="20"/>
          <w:color w:val="auto"/>
        </w:rPr>
      </w:pPr>
    </w:p>
    <w:p>
      <w:pPr>
        <w:ind w:left="960" w:right="40"/>
        <w:spacing w:after="0" w:line="287" w:lineRule="auto"/>
        <w:rPr>
          <w:sz w:val="20"/>
          <w:szCs w:val="20"/>
          <w:color w:val="auto"/>
        </w:rPr>
      </w:pPr>
      <w:r>
        <w:rPr>
          <w:rFonts w:ascii="Arial" w:cs="Arial" w:eastAsia="Arial" w:hAnsi="Arial"/>
          <w:sz w:val="17"/>
          <w:szCs w:val="17"/>
          <w:i w:val="1"/>
          <w:iCs w:val="1"/>
          <w:color w:val="auto"/>
        </w:rPr>
        <w:t>Cost of Services</w:t>
      </w:r>
      <w:r>
        <w:rPr>
          <w:rFonts w:ascii="Arial" w:cs="Arial" w:eastAsia="Arial" w:hAnsi="Arial"/>
          <w:sz w:val="17"/>
          <w:szCs w:val="17"/>
          <w:color w:val="auto"/>
        </w:rPr>
        <w:t>: Consists of amounts paid to third parties for access to government records, other third-party data and services,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processing fulfillment and customer care functions. In addition, cost of services include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fulfilment of our screening products and solutions, as well as our customer care organization and robotics process automation implementation team. Other costs included in cost of services include an allocation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128" w:lineRule="exact"/>
        <w:rPr>
          <w:sz w:val="20"/>
          <w:szCs w:val="20"/>
          <w:color w:val="auto"/>
        </w:rPr>
      </w:pPr>
    </w:p>
    <w:p>
      <w:pPr>
        <w:ind w:left="960"/>
        <w:spacing w:after="0" w:line="288" w:lineRule="auto"/>
        <w:rPr>
          <w:sz w:val="20"/>
          <w:szCs w:val="20"/>
          <w:color w:val="auto"/>
        </w:rPr>
      </w:pPr>
      <w:r>
        <w:rPr>
          <w:rFonts w:ascii="Arial" w:cs="Arial" w:eastAsia="Arial" w:hAnsi="Arial"/>
          <w:sz w:val="17"/>
          <w:szCs w:val="17"/>
          <w:i w:val="1"/>
          <w:iCs w:val="1"/>
          <w:color w:val="auto"/>
        </w:rPr>
        <w:t>Product and Technology Expense</w:t>
      </w:r>
      <w:r>
        <w:rPr>
          <w:rFonts w:ascii="Arial" w:cs="Arial" w:eastAsia="Arial" w:hAnsi="Arial"/>
          <w:sz w:val="17"/>
          <w:szCs w:val="17"/>
          <w:color w:val="auto"/>
        </w:rPr>
        <w:t>: Consists of salaries and benefits of personnel involved in the maintenance of our technology platform and</w:t>
      </w:r>
      <w:r>
        <w:rPr>
          <w:rFonts w:ascii="Arial" w:cs="Arial" w:eastAsia="Arial" w:hAnsi="Arial"/>
          <w:sz w:val="17"/>
          <w:szCs w:val="17"/>
          <w:i w:val="1"/>
          <w:iCs w:val="1"/>
          <w:color w:val="auto"/>
        </w:rPr>
        <w:t xml:space="preserve"> </w:t>
      </w:r>
      <w:r>
        <w:rPr>
          <w:rFonts w:ascii="Arial" w:cs="Arial" w:eastAsia="Arial" w:hAnsi="Arial"/>
          <w:sz w:val="17"/>
          <w:szCs w:val="17"/>
          <w:color w:val="auto"/>
        </w:rPr>
        <w:t>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127" w:lineRule="exact"/>
        <w:rPr>
          <w:sz w:val="20"/>
          <w:szCs w:val="20"/>
          <w:color w:val="auto"/>
        </w:rPr>
      </w:pPr>
    </w:p>
    <w:p>
      <w:pPr>
        <w:ind w:left="960"/>
        <w:spacing w:after="0" w:line="287" w:lineRule="auto"/>
        <w:rPr>
          <w:sz w:val="20"/>
          <w:szCs w:val="20"/>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Consists of sales, customer success, marketing, and general and administrative expenses. Sales,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success, and marketing consists primarily of employee compensation such as salaries, bonuses, sales commissions, stock-based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w:t>
      </w:r>
    </w:p>
    <w:p>
      <w:pPr>
        <w:spacing w:after="0" w:line="128" w:lineRule="exact"/>
        <w:rPr>
          <w:sz w:val="20"/>
          <w:szCs w:val="20"/>
          <w:color w:val="auto"/>
        </w:rPr>
      </w:pPr>
    </w:p>
    <w:p>
      <w:pPr>
        <w:ind w:left="960"/>
        <w:spacing w:after="0" w:line="272" w:lineRule="auto"/>
        <w:rPr>
          <w:sz w:val="20"/>
          <w:szCs w:val="20"/>
          <w:color w:val="auto"/>
        </w:rPr>
      </w:pPr>
      <w:r>
        <w:rPr>
          <w:rFonts w:ascii="Arial" w:cs="Arial" w:eastAsia="Arial" w:hAnsi="Arial"/>
          <w:sz w:val="18"/>
          <w:szCs w:val="18"/>
          <w:i w:val="1"/>
          <w:iCs w:val="1"/>
          <w:color w:val="auto"/>
        </w:rPr>
        <w:t>Depreciation and Amortizatio</w:t>
      </w:r>
      <w:r>
        <w:rPr>
          <w:rFonts w:ascii="Arial" w:cs="Arial" w:eastAsia="Arial" w:hAnsi="Arial"/>
          <w:sz w:val="18"/>
          <w:szCs w:val="18"/>
          <w:color w:val="auto"/>
        </w:rPr>
        <w:t>n: Property and equipment consisting mainly of capitalized software costs, furniture, hardware, and leasehold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are depreciated or amortized and reflected as operating expenses. We also amortize the capitalized costs of finite-life intangible assets acquired in connection with the Silver Lake Transaction and other business combinations. The comparability of our operating expenses over time is affected by the increased depreciation and amortization recorded as a result of applying purchase accounting at the time of the Silver Lake Transaction.</w:t>
      </w:r>
    </w:p>
    <w:p>
      <w:pPr>
        <w:spacing w:after="0" w:line="137"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We have a flexible cost structure that allows our business to adjust quickly to the impacts of macroeconomic events and scale to meet the needs of large new customers. Operating expenses are influenced by the amount of revenue and mix of customers that contribute to our revenues for any given period. As revenues grow, we would generally expect cost of services to grow in a similar fashion, albeit influenced by the effects of automation, productivity, and other efficiency initiatives as well as customer and product mix shifts. We regularly review expenses and investments in the context of revenue growth and any shifts we see in cost of services in order to align with our overall financial objectives. While we expect operating expenses to increase in absolute dollars to support our continued growth, we believe that operating expenses will decline gradually as a percentage of total revenues in the future as our business grows and our operating efficiency continues to improve.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other expense (income) consists of the following:</w:t>
      </w:r>
    </w:p>
    <w:p>
      <w:pPr>
        <w:spacing w:after="0" w:line="185" w:lineRule="exact"/>
        <w:rPr>
          <w:sz w:val="20"/>
          <w:szCs w:val="20"/>
          <w:color w:val="auto"/>
        </w:rPr>
      </w:pPr>
    </w:p>
    <w:p>
      <w:pPr>
        <w:ind w:left="960" w:right="80"/>
        <w:spacing w:after="0" w:line="359"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Relates primarily to our debt service costs and, to a lesser extent, the interest-related expenses of our interest rate swaps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 on our capital lease obligations. Additionally, interest expense includes the amortization of deferred financing costs.</w:t>
      </w:r>
    </w:p>
    <w:p>
      <w:pPr>
        <w:spacing w:after="0" w:line="71" w:lineRule="exact"/>
        <w:rPr>
          <w:sz w:val="20"/>
          <w:szCs w:val="20"/>
          <w:color w:val="auto"/>
        </w:rPr>
      </w:pPr>
    </w:p>
    <w:p>
      <w:pPr>
        <w:ind w:left="960" w:right="360"/>
        <w:spacing w:after="0" w:line="324"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We earn interest income on our cash and cash equivalent balances held in interest-bearing accounts. We also earn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on our short-term investments which are fixed-time deposits having a maturity date within twelve months.</w:t>
      </w:r>
    </w:p>
    <w:p>
      <w:pPr>
        <w:spacing w:after="0" w:line="93"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Reflects losses on the extinguishment of certain debt.</w:t>
      </w:r>
    </w:p>
    <w:p>
      <w:pPr>
        <w:spacing w:after="0" w:line="185" w:lineRule="exact"/>
        <w:rPr>
          <w:sz w:val="20"/>
          <w:szCs w:val="20"/>
          <w:color w:val="auto"/>
        </w:rPr>
      </w:pPr>
    </w:p>
    <w:p>
      <w:pPr>
        <w:jc w:val="both"/>
        <w:ind w:left="960" w:right="540"/>
        <w:spacing w:after="0" w:line="359" w:lineRule="auto"/>
        <w:rPr>
          <w:sz w:val="20"/>
          <w:szCs w:val="20"/>
          <w:color w:val="auto"/>
        </w:rPr>
      </w:pPr>
      <w:r>
        <w:rPr>
          <w:rFonts w:ascii="Arial" w:cs="Arial" w:eastAsia="Arial" w:hAnsi="Arial"/>
          <w:sz w:val="16"/>
          <w:szCs w:val="16"/>
          <w:i w:val="1"/>
          <w:iCs w:val="1"/>
          <w:color w:val="auto"/>
        </w:rPr>
        <w:t>Transaction Expenses, Change in Control</w:t>
      </w:r>
      <w:r>
        <w:rPr>
          <w:rFonts w:ascii="Arial" w:cs="Arial" w:eastAsia="Arial" w:hAnsi="Arial"/>
          <w:sz w:val="16"/>
          <w:szCs w:val="16"/>
          <w:color w:val="auto"/>
        </w:rPr>
        <w:t>: Includes transaction expenses related to the change of control resulting from the Silver Lake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as well as transaction costs related to other business combinations completed as part of our historic business combinations.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 For example, there are several proposals to change the current tax law, including an increase in the U.S. corporate income tax rate from 21% to 28%, doubling the rate of tax on certain earnings of foreign subsidiaries, creation of a 10% penalty on certain imports, and a 15% minimum tax on worldwide book income. If any or all of these (or similar) proposals are ultimately enacted into law, in whole or in part, they could increase our effective tax 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comparability of our operating results for the nine months ended September 30, 2021 compared to the nine months ended September 30, 2020 was impacted by our accounting for the Silver Lake Transaction. The period from January 1, 2020 through January 31, 2020 relate to the Predecessor and the period from February 1, 2020 through September 30, 2020 relate to the Successor. To facilitate comparability of the nine months ended September 30, 2021 to the nine months ended September 30, 2020, below we present the combination of consolidated results from January 1, 2020 to September 30, 2020, comprising the Successor consolidated results from February 1, 2020 to September 30, 2020, the Predecessor consolidated results for the period from January 1, 2020 to January 31, 2020 and certain pro forma adjustments that give effect to the Silver Lake Transaction and the related refinancing as if it had occurred on January 1, 2020 (pro forma results for the nine months ended September 30, 2020). The pro forma information below has been prepared on a basis consistent with Article 11 of Regulation S-X, but does not constitute Article 11 pro forma information because it only presents the pro forma nine months ended September 30, 2020, reflecting the Silver Lake Transaction and the related refinancing as if they had occurred as of January 1, 2020. We present the pro forma nine months ended September 30, 2020, to facilitate comparability with the results for the Successor nine months ended September 30, 2020. The information contained below should be read in conjunction with our accompanying historical condensed consolidated financial statements and the related notes.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ind w:right="100"/>
        <w:spacing w:after="0" w:line="279" w:lineRule="auto"/>
        <w:rPr>
          <w:sz w:val="20"/>
          <w:szCs w:val="20"/>
          <w:color w:val="auto"/>
        </w:rPr>
      </w:pPr>
      <w:r>
        <w:rPr>
          <w:rFonts w:ascii="Arial" w:cs="Arial" w:eastAsia="Arial" w:hAnsi="Arial"/>
          <w:sz w:val="18"/>
          <w:szCs w:val="18"/>
          <w:b w:val="1"/>
          <w:bCs w:val="1"/>
          <w:i w:val="1"/>
          <w:iCs w:val="1"/>
          <w:color w:val="auto"/>
        </w:rPr>
        <w:t>Comparison of Results of Operations for the three months ended September 30, 2021 (Successor) and September 30, 2020 (Successor) and the nine months ended September 30, 2021 (Successor) compared to the Period from February 1, 2020 through September 30, 2020 (Successor) and the Period from January 1, 2020 through January 31, 2020 (Predecessor)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3"/>
                <w:szCs w:val="13"/>
                <w:b w:val="1"/>
                <w:bCs w:val="1"/>
                <w:color w:val="auto"/>
              </w:rPr>
              <w:t>Three-Month Period</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3"/>
                <w:szCs w:val="13"/>
                <w:b w:val="1"/>
                <w:bCs w:val="1"/>
                <w:color w:val="auto"/>
                <w:w w:val="83"/>
              </w:rPr>
              <w:t>Nine-Month Period</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Pro Forma</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Period from</w:t>
            </w:r>
          </w:p>
        </w:tc>
        <w:tc>
          <w:tcPr>
            <w:tcW w:w="1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Adjustments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Three</w:t>
            </w:r>
          </w:p>
        </w:tc>
        <w:tc>
          <w:tcPr>
            <w:tcW w:w="18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0"/>
              </w:rPr>
              <w:t>Three</w:t>
            </w: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Nine</w:t>
            </w: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1"/>
              </w:rPr>
              <w:t>February 1,</w:t>
            </w:r>
          </w:p>
        </w:tc>
        <w:tc>
          <w:tcPr>
            <w:tcW w:w="1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January 1,</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for the</w:t>
            </w: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6"/>
              </w:rPr>
              <w:t>Months</w:t>
            </w: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Months</w:t>
            </w:r>
          </w:p>
        </w:tc>
        <w:tc>
          <w:tcPr>
            <w:tcW w:w="120" w:type="dxa"/>
            <w:vAlign w:val="bottom"/>
          </w:tcPr>
          <w:p>
            <w:pPr>
              <w:spacing w:after="0"/>
              <w:rPr>
                <w:sz w:val="14"/>
                <w:szCs w:val="14"/>
                <w:color w:val="auto"/>
              </w:rPr>
            </w:pPr>
          </w:p>
        </w:tc>
        <w:tc>
          <w:tcPr>
            <w:tcW w:w="800" w:type="dxa"/>
            <w:vAlign w:val="bottom"/>
          </w:tcPr>
          <w:p>
            <w:pPr>
              <w:jc w:val="center"/>
              <w:ind w:right="30"/>
              <w:spacing w:after="0"/>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Nine Months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9"/>
              </w:rPr>
              <w:t>through</w:t>
            </w:r>
          </w:p>
        </w:tc>
        <w:tc>
          <w:tcPr>
            <w:tcW w:w="1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through</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September 30,</w:t>
            </w:r>
          </w:p>
        </w:tc>
        <w:tc>
          <w:tcPr>
            <w:tcW w:w="13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5"/>
              </w:rPr>
              <w:t>September 30,</w:t>
            </w:r>
          </w:p>
        </w:tc>
        <w:tc>
          <w:tcPr>
            <w:tcW w:w="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September 30,</w:t>
            </w:r>
          </w:p>
        </w:tc>
        <w:tc>
          <w:tcPr>
            <w:tcW w:w="12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September 30,</w:t>
            </w: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January 31,</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September 30,</w:t>
            </w:r>
          </w:p>
        </w:tc>
        <w:tc>
          <w:tcPr>
            <w:tcW w:w="12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5"/>
              </w:rPr>
              <w:t>September 30,</w:t>
            </w: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2"/>
              </w:rPr>
              <w:t>2020</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2"/>
              </w:rPr>
              <w:t>2021</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2"/>
              </w:rPr>
              <w:t>2020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192,867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136,778</w:t>
            </w: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499,763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315,825</w:t>
            </w:r>
          </w:p>
        </w:tc>
        <w:tc>
          <w:tcPr>
            <w:tcW w:w="3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36,785</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352,610</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0"/>
              <w:spacing w:after="0"/>
              <w:rPr>
                <w:sz w:val="20"/>
                <w:szCs w:val="20"/>
                <w:color w:val="auto"/>
              </w:rPr>
            </w:pPr>
            <w:r>
              <w:rPr>
                <w:rFonts w:ascii="Arial" w:cs="Arial" w:eastAsia="Arial" w:hAnsi="Arial"/>
                <w:sz w:val="14"/>
                <w:szCs w:val="14"/>
                <w:color w:val="auto"/>
              </w:rPr>
              <w:t>Cost of services (exclusive of</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60" w:type="dxa"/>
            <w:vAlign w:val="bottom"/>
          </w:tcPr>
          <w:p>
            <w:pPr>
              <w:ind w:left="200"/>
              <w:spacing w:after="0"/>
              <w:rPr>
                <w:sz w:val="20"/>
                <w:szCs w:val="20"/>
                <w:color w:val="auto"/>
              </w:rPr>
            </w:pPr>
            <w:r>
              <w:rPr>
                <w:rFonts w:ascii="Arial" w:cs="Arial" w:eastAsia="Arial" w:hAnsi="Arial"/>
                <w:sz w:val="14"/>
                <w:szCs w:val="14"/>
                <w:color w:val="auto"/>
                <w:w w:val="97"/>
              </w:rPr>
              <w:t>depreciation and amortization below)</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94,151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67,483</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244,964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156,703</w:t>
            </w: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20,265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176,968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Product and technology expense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11,313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8,343</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33,546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20,495</w:t>
            </w:r>
          </w:p>
        </w:tc>
        <w:tc>
          <w:tcPr>
            <w:tcW w:w="3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23,684</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60" w:type="dxa"/>
            <w:vAlign w:val="bottom"/>
          </w:tcPr>
          <w:p>
            <w:pPr>
              <w:ind w:left="20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27,203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18,907</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76,256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46,206</w:t>
            </w: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11,235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57,441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9"/>
                <w:szCs w:val="19"/>
                <w:color w:val="auto"/>
                <w:vertAlign w:val="superscript"/>
              </w:rPr>
              <w:t>(a)</w:t>
            </w: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35,812</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36,756</w:t>
            </w:r>
          </w:p>
        </w:tc>
        <w:tc>
          <w:tcPr>
            <w:tcW w:w="3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106,493</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97,815</w:t>
            </w:r>
          </w:p>
        </w:tc>
        <w:tc>
          <w:tcPr>
            <w:tcW w:w="3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2,105</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8,320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108,240</w:t>
            </w:r>
          </w:p>
        </w:tc>
        <w:tc>
          <w:tcPr>
            <w:tcW w:w="2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168,479</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131,489</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461,259</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321,219</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36,794</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366,333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24,388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5,289</w:t>
            </w: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38,504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(5,394 )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(8,320 )</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(13,723 )</w:t>
            </w:r>
          </w:p>
        </w:tc>
        <w:tc>
          <w:tcPr>
            <w:tcW w:w="0" w:type="dxa"/>
            <w:vAlign w:val="bottom"/>
          </w:tcPr>
          <w:p>
            <w:pPr>
              <w:spacing w:after="0"/>
              <w:rPr>
                <w:sz w:val="1"/>
                <w:szCs w:val="1"/>
                <w:color w:val="auto"/>
              </w:rPr>
            </w:pPr>
          </w:p>
        </w:tc>
      </w:tr>
      <w:tr>
        <w:trPr>
          <w:trHeight w:val="202"/>
        </w:trPr>
        <w:tc>
          <w:tcPr>
            <w:tcW w:w="24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200"/>
              <w:spacing w:after="0" w:line="203"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9"/>
                <w:szCs w:val="19"/>
                <w:color w:val="auto"/>
                <w:vertAlign w:val="superscript"/>
              </w:rPr>
              <w:t>(b)</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4,734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11,706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38,405</w:t>
            </w:r>
          </w:p>
        </w:tc>
        <w:tc>
          <w:tcPr>
            <w:tcW w:w="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4,514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(1,228 )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41,691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(28 )</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(76 )</w:t>
            </w:r>
          </w:p>
        </w:tc>
        <w:tc>
          <w:tcPr>
            <w:tcW w:w="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(140 )</w:t>
            </w:r>
          </w:p>
        </w:tc>
        <w:tc>
          <w:tcPr>
            <w:tcW w:w="120" w:type="dxa"/>
            <w:vAlign w:val="bottom"/>
            <w:shd w:val="clear" w:color="auto" w:fill="CFF0FC"/>
          </w:tcPr>
          <w:p>
            <w:pPr>
              <w:spacing w:after="0"/>
              <w:rPr>
                <w:sz w:val="17"/>
                <w:szCs w:val="17"/>
                <w:color w:val="auto"/>
              </w:rPr>
            </w:pPr>
          </w:p>
        </w:tc>
        <w:tc>
          <w:tcPr>
            <w:tcW w:w="11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(282 )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(307 )</w:t>
            </w:r>
          </w:p>
        </w:tc>
        <w:tc>
          <w:tcPr>
            <w:tcW w:w="0" w:type="dxa"/>
            <w:vAlign w:val="bottom"/>
          </w:tcPr>
          <w:p>
            <w:pPr>
              <w:spacing w:after="0"/>
              <w:rPr>
                <w:sz w:val="1"/>
                <w:szCs w:val="1"/>
                <w:color w:val="auto"/>
              </w:rPr>
            </w:pPr>
          </w:p>
        </w:tc>
      </w:tr>
      <w:tr>
        <w:trPr>
          <w:trHeight w:val="203"/>
        </w:trPr>
        <w:tc>
          <w:tcPr>
            <w:tcW w:w="2460" w:type="dxa"/>
            <w:vAlign w:val="bottom"/>
          </w:tcPr>
          <w:p>
            <w:pPr>
              <w:ind w:left="200"/>
              <w:spacing w:after="0" w:line="203" w:lineRule="exact"/>
              <w:rPr>
                <w:sz w:val="20"/>
                <w:szCs w:val="20"/>
                <w:color w:val="auto"/>
              </w:rPr>
            </w:pPr>
            <w:r>
              <w:rPr>
                <w:rFonts w:ascii="Arial" w:cs="Arial" w:eastAsia="Arial" w:hAnsi="Arial"/>
                <w:sz w:val="14"/>
                <w:szCs w:val="14"/>
                <w:color w:val="auto"/>
              </w:rPr>
              <w:t xml:space="preserve">Loss on extinguishment of debt </w:t>
            </w:r>
            <w:r>
              <w:rPr>
                <w:rFonts w:ascii="Arial" w:cs="Arial" w:eastAsia="Arial" w:hAnsi="Arial"/>
                <w:sz w:val="19"/>
                <w:szCs w:val="19"/>
                <w:color w:val="auto"/>
                <w:vertAlign w:val="superscript"/>
              </w:rPr>
              <w:t>(c)</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13,938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10,533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(10,533 )</w:t>
            </w:r>
          </w:p>
        </w:tc>
        <w:tc>
          <w:tcPr>
            <w:tcW w:w="1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Transaction expenses, change in</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CFF0FC"/>
          </w:tcPr>
          <w:p>
            <w:pPr>
              <w:ind w:left="200"/>
              <w:spacing w:after="0" w:line="202" w:lineRule="exact"/>
              <w:rPr>
                <w:sz w:val="20"/>
                <w:szCs w:val="20"/>
                <w:color w:val="auto"/>
              </w:rPr>
            </w:pPr>
            <w:r>
              <w:rPr>
                <w:rFonts w:ascii="Arial" w:cs="Arial" w:eastAsia="Arial" w:hAnsi="Arial"/>
                <w:sz w:val="14"/>
                <w:szCs w:val="14"/>
                <w:color w:val="auto"/>
              </w:rPr>
              <w:t xml:space="preserve">control </w:t>
            </w:r>
            <w:r>
              <w:rPr>
                <w:rFonts w:ascii="Arial" w:cs="Arial" w:eastAsia="Arial" w:hAnsi="Arial"/>
                <w:sz w:val="19"/>
                <w:szCs w:val="19"/>
                <w:color w:val="auto"/>
                <w:vertAlign w:val="superscript"/>
              </w:rPr>
              <w:t>(d)</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9,423</w:t>
            </w:r>
          </w:p>
        </w:tc>
        <w:tc>
          <w:tcPr>
            <w:tcW w:w="3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22,370</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(22,370 )</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9,423</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60" w:type="dxa"/>
            <w:vAlign w:val="bottom"/>
          </w:tcPr>
          <w:p>
            <w:pPr>
              <w:ind w:left="380"/>
              <w:spacing w:after="0"/>
              <w:rPr>
                <w:sz w:val="20"/>
                <w:szCs w:val="20"/>
                <w:color w:val="auto"/>
              </w:rPr>
            </w:pPr>
            <w:r>
              <w:rPr>
                <w:rFonts w:ascii="Arial" w:cs="Arial" w:eastAsia="Arial" w:hAnsi="Arial"/>
                <w:sz w:val="14"/>
                <w:szCs w:val="14"/>
                <w:color w:val="auto"/>
              </w:rPr>
              <w:t>Total other expense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4,706</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11,630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35,813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47,546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37,392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(34,131 )</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50,807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before provision for</w:t>
            </w: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320" w:type="dxa"/>
            <w:vAlign w:val="bottom"/>
            <w:tcBorders>
              <w:right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taxes</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19,682</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(6,341 )</w:t>
            </w: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(52,940 )</w:t>
            </w: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(37,401 )</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25,811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(64,530 )</w:t>
            </w:r>
          </w:p>
        </w:tc>
        <w:tc>
          <w:tcPr>
            <w:tcW w:w="0" w:type="dxa"/>
            <w:vAlign w:val="bottom"/>
          </w:tcPr>
          <w:p>
            <w:pPr>
              <w:spacing w:after="0"/>
              <w:rPr>
                <w:sz w:val="1"/>
                <w:szCs w:val="1"/>
                <w:color w:val="auto"/>
              </w:rPr>
            </w:pPr>
          </w:p>
        </w:tc>
      </w:tr>
      <w:tr>
        <w:trPr>
          <w:trHeight w:val="149"/>
        </w:trPr>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Provision (benefit) for income taxes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60" w:type="dxa"/>
            <w:vAlign w:val="bottom"/>
          </w:tcPr>
          <w:p>
            <w:pPr>
              <w:ind w:left="200"/>
              <w:spacing w:after="0" w:line="108" w:lineRule="exact"/>
              <w:rPr>
                <w:sz w:val="20"/>
                <w:szCs w:val="20"/>
                <w:color w:val="auto"/>
              </w:rPr>
            </w:pPr>
            <w:r>
              <w:rPr>
                <w:rFonts w:ascii="Arial" w:cs="Arial" w:eastAsia="Arial" w:hAnsi="Arial"/>
                <w:sz w:val="10"/>
                <w:szCs w:val="10"/>
                <w:color w:val="auto"/>
              </w:rPr>
              <w:t>(e)</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3,397</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(2,889 )</w:t>
            </w:r>
          </w:p>
        </w:tc>
        <w:tc>
          <w:tcPr>
            <w:tcW w:w="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2,025</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(11,308 )</w:t>
            </w:r>
          </w:p>
        </w:tc>
        <w:tc>
          <w:tcPr>
            <w:tcW w:w="100" w:type="dxa"/>
            <w:vAlign w:val="bottom"/>
          </w:tcPr>
          <w:p>
            <w:pPr>
              <w:spacing w:after="0"/>
              <w:rPr>
                <w:sz w:val="9"/>
                <w:szCs w:val="9"/>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(871 )</w:t>
            </w: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6,634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(5,545 )</w:t>
            </w: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(3,452 )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(41,632 )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(36,530 )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(58,985 )</w:t>
            </w: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8.4 %</w:t>
            </w:r>
          </w:p>
        </w:tc>
        <w:tc>
          <w:tcPr>
            <w:tcW w:w="1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(13.2 )%</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(99.3 )%</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4766945</wp:posOffset>
            </wp:positionH>
            <wp:positionV relativeFrom="paragraph">
              <wp:posOffset>-4041140</wp:posOffset>
            </wp:positionV>
            <wp:extent cx="33655" cy="8997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89979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-2028190</wp:posOffset>
            </wp:positionV>
            <wp:extent cx="1803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-2028190</wp:posOffset>
            </wp:positionV>
            <wp:extent cx="23177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-2028190</wp:posOffset>
            </wp:positionV>
            <wp:extent cx="17145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-2028190</wp:posOffset>
            </wp:positionV>
            <wp:extent cx="21463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-2028190</wp:posOffset>
            </wp:positionV>
            <wp:extent cx="857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-2028190</wp:posOffset>
            </wp:positionV>
            <wp:extent cx="1797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-1753870</wp:posOffset>
            </wp:positionV>
            <wp:extent cx="1803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-1753870</wp:posOffset>
            </wp:positionV>
            <wp:extent cx="23177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-1753870</wp:posOffset>
            </wp:positionV>
            <wp:extent cx="17145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-2172335</wp:posOffset>
            </wp:positionV>
            <wp:extent cx="201295" cy="436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1295" cy="43688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-1753870</wp:posOffset>
            </wp:positionV>
            <wp:extent cx="21463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-1753870</wp:posOffset>
            </wp:positionV>
            <wp:extent cx="857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-1753870</wp:posOffset>
            </wp:positionV>
            <wp:extent cx="17970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-870585</wp:posOffset>
            </wp:positionV>
            <wp:extent cx="1803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-870585</wp:posOffset>
            </wp:positionV>
            <wp:extent cx="23177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-870585</wp:posOffset>
            </wp:positionV>
            <wp:extent cx="17145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-870585</wp:posOffset>
            </wp:positionV>
            <wp:extent cx="21463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-870585</wp:posOffset>
            </wp:positionV>
            <wp:extent cx="857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-870585</wp:posOffset>
            </wp:positionV>
            <wp:extent cx="17970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-1117600</wp:posOffset>
            </wp:positionV>
            <wp:extent cx="201295" cy="402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1295" cy="4025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-153670</wp:posOffset>
            </wp:positionV>
            <wp:extent cx="1803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-136525</wp:posOffset>
            </wp:positionV>
            <wp:extent cx="1803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-153670</wp:posOffset>
            </wp:positionV>
            <wp:extent cx="2317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-136525</wp:posOffset>
            </wp:positionV>
            <wp:extent cx="2317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-153670</wp:posOffset>
            </wp:positionV>
            <wp:extent cx="1714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-136525</wp:posOffset>
            </wp:positionV>
            <wp:extent cx="1714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-501015</wp:posOffset>
            </wp:positionV>
            <wp:extent cx="201295" cy="3854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1295" cy="38544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-153670</wp:posOffset>
            </wp:positionV>
            <wp:extent cx="2146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-136525</wp:posOffset>
            </wp:positionV>
            <wp:extent cx="2146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-153670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-136525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-153670</wp:posOffset>
            </wp:positionV>
            <wp:extent cx="1797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-136525</wp:posOffset>
            </wp:positionV>
            <wp:extent cx="1797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204" w:lineRule="exact"/>
        <w:rPr>
          <w:sz w:val="20"/>
          <w:szCs w:val="20"/>
          <w:color w:val="auto"/>
        </w:rPr>
      </w:pPr>
    </w:p>
    <w:p>
      <w:pPr>
        <w:ind w:left="400" w:right="120" w:hanging="392"/>
        <w:spacing w:after="0" w:line="266"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Refer to Note 2(a)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400" w:right="120" w:hanging="392"/>
        <w:spacing w:after="0" w:line="261"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Refer to Note 2(c)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400" w:right="120" w:hanging="392"/>
        <w:spacing w:after="0" w:line="261"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Refer to Note 2(d)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400" w:right="120" w:hanging="392"/>
        <w:spacing w:after="0" w:line="261"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Refer to Note 2(b)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400" w:right="120" w:hanging="392"/>
        <w:spacing w:after="0" w:line="283"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Refer to Note 2(e)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Revenues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3"/>
                <w:szCs w:val="13"/>
                <w:b w:val="1"/>
                <w:bCs w:val="1"/>
                <w:color w:val="auto"/>
              </w:rPr>
              <w:t>Three-Month Period</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3"/>
                <w:szCs w:val="13"/>
                <w:b w:val="1"/>
                <w:bCs w:val="1"/>
                <w:color w:val="auto"/>
                <w:w w:val="91"/>
              </w:rPr>
              <w:t>Nine-Month Period</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Successor</w:t>
            </w: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b w:val="1"/>
                <w:bCs w:val="1"/>
                <w:color w:val="auto"/>
                <w:w w:val="81"/>
              </w:rPr>
              <w:t>Predecessor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Pro Forma</w:t>
            </w:r>
          </w:p>
        </w:tc>
        <w:tc>
          <w:tcPr>
            <w:tcW w:w="108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040" w:type="dxa"/>
            <w:vAlign w:val="bottom"/>
          </w:tcPr>
          <w:p>
            <w:pPr>
              <w:jc w:val="center"/>
              <w:ind w:right="196"/>
              <w:spacing w:after="0"/>
              <w:rPr>
                <w:sz w:val="20"/>
                <w:szCs w:val="20"/>
                <w:color w:val="auto"/>
              </w:rPr>
            </w:pPr>
            <w:r>
              <w:rPr>
                <w:rFonts w:ascii="Arial" w:cs="Arial" w:eastAsia="Arial" w:hAnsi="Arial"/>
                <w:sz w:val="13"/>
                <w:szCs w:val="13"/>
                <w:b w:val="1"/>
                <w:bCs w:val="1"/>
                <w:color w:val="auto"/>
                <w:w w:val="90"/>
              </w:rPr>
              <w:t>Period from</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Adjustments</w:t>
            </w:r>
          </w:p>
        </w:tc>
        <w:tc>
          <w:tcPr>
            <w:tcW w:w="108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216"/>
              <w:spacing w:after="0"/>
              <w:rPr>
                <w:sz w:val="20"/>
                <w:szCs w:val="20"/>
                <w:color w:val="auto"/>
              </w:rPr>
            </w:pPr>
            <w:r>
              <w:rPr>
                <w:rFonts w:ascii="Arial" w:cs="Arial" w:eastAsia="Arial" w:hAnsi="Arial"/>
                <w:sz w:val="13"/>
                <w:szCs w:val="13"/>
                <w:b w:val="1"/>
                <w:bCs w:val="1"/>
                <w:color w:val="auto"/>
                <w:w w:val="84"/>
              </w:rPr>
              <w:t>Three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216"/>
              <w:spacing w:after="0"/>
              <w:rPr>
                <w:sz w:val="20"/>
                <w:szCs w:val="20"/>
                <w:color w:val="auto"/>
              </w:rPr>
            </w:pPr>
            <w:r>
              <w:rPr>
                <w:rFonts w:ascii="Arial" w:cs="Arial" w:eastAsia="Arial" w:hAnsi="Arial"/>
                <w:sz w:val="13"/>
                <w:szCs w:val="13"/>
                <w:b w:val="1"/>
                <w:bCs w:val="1"/>
                <w:color w:val="auto"/>
                <w:w w:val="90"/>
              </w:rPr>
              <w:t>Three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96"/>
              <w:spacing w:after="0"/>
              <w:rPr>
                <w:sz w:val="20"/>
                <w:szCs w:val="20"/>
                <w:color w:val="auto"/>
              </w:rPr>
            </w:pPr>
            <w:r>
              <w:rPr>
                <w:rFonts w:ascii="Arial" w:cs="Arial" w:eastAsia="Arial" w:hAnsi="Arial"/>
                <w:sz w:val="13"/>
                <w:szCs w:val="13"/>
                <w:b w:val="1"/>
                <w:bCs w:val="1"/>
                <w:color w:val="auto"/>
                <w:w w:val="85"/>
              </w:rPr>
              <w:t>Nine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Arial" w:cs="Arial" w:eastAsia="Arial" w:hAnsi="Arial"/>
                <w:sz w:val="13"/>
                <w:szCs w:val="13"/>
                <w:b w:val="1"/>
                <w:bCs w:val="1"/>
                <w:color w:val="auto"/>
                <w:w w:val="91"/>
              </w:rPr>
              <w:t>February 1,</w:t>
            </w:r>
          </w:p>
        </w:tc>
        <w:tc>
          <w:tcPr>
            <w:tcW w:w="160" w:type="dxa"/>
            <w:vAlign w:val="bottom"/>
          </w:tcPr>
          <w:p>
            <w:pPr>
              <w:spacing w:after="0"/>
              <w:rPr>
                <w:sz w:val="14"/>
                <w:szCs w:val="14"/>
                <w:color w:val="auto"/>
              </w:rPr>
            </w:pPr>
          </w:p>
        </w:tc>
        <w:tc>
          <w:tcPr>
            <w:tcW w:w="1040" w:type="dxa"/>
            <w:vAlign w:val="bottom"/>
          </w:tcPr>
          <w:p>
            <w:pPr>
              <w:jc w:val="center"/>
              <w:ind w:right="196"/>
              <w:spacing w:after="0"/>
              <w:rPr>
                <w:sz w:val="20"/>
                <w:szCs w:val="20"/>
                <w:color w:val="auto"/>
              </w:rPr>
            </w:pPr>
            <w:r>
              <w:rPr>
                <w:rFonts w:ascii="Arial" w:cs="Arial" w:eastAsia="Arial" w:hAnsi="Arial"/>
                <w:sz w:val="13"/>
                <w:szCs w:val="13"/>
                <w:b w:val="1"/>
                <w:bCs w:val="1"/>
                <w:color w:val="auto"/>
                <w:w w:val="90"/>
              </w:rPr>
              <w:t>January 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3"/>
              </w:rPr>
              <w:t>for the</w:t>
            </w:r>
          </w:p>
        </w:tc>
        <w:tc>
          <w:tcPr>
            <w:tcW w:w="1080" w:type="dxa"/>
            <w:vAlign w:val="bottom"/>
          </w:tcPr>
          <w:p>
            <w:pPr>
              <w:jc w:val="center"/>
              <w:ind w:right="156"/>
              <w:spacing w:after="0"/>
              <w:rPr>
                <w:sz w:val="20"/>
                <w:szCs w:val="20"/>
                <w:color w:val="auto"/>
              </w:rPr>
            </w:pPr>
            <w:r>
              <w:rPr>
                <w:rFonts w:ascii="Arial" w:cs="Arial" w:eastAsia="Arial" w:hAnsi="Arial"/>
                <w:sz w:val="13"/>
                <w:szCs w:val="13"/>
                <w:b w:val="1"/>
                <w:bCs w:val="1"/>
                <w:color w:val="auto"/>
                <w:w w:val="89"/>
              </w:rPr>
              <w:t>Pro Forma</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3"/>
                <w:szCs w:val="13"/>
                <w:b w:val="1"/>
                <w:bCs w:val="1"/>
                <w:color w:val="auto"/>
                <w:w w:val="90"/>
              </w:rPr>
              <w:t>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76"/>
              <w:spacing w:after="0"/>
              <w:rPr>
                <w:sz w:val="20"/>
                <w:szCs w:val="20"/>
                <w:color w:val="auto"/>
              </w:rPr>
            </w:pPr>
            <w:r>
              <w:rPr>
                <w:rFonts w:ascii="Arial" w:cs="Arial" w:eastAsia="Arial" w:hAnsi="Arial"/>
                <w:sz w:val="13"/>
                <w:szCs w:val="13"/>
                <w:b w:val="1"/>
                <w:bCs w:val="1"/>
                <w:color w:val="auto"/>
                <w:w w:val="86"/>
              </w:rPr>
              <w:t>Months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96"/>
              <w:spacing w:after="0"/>
              <w:rPr>
                <w:sz w:val="20"/>
                <w:szCs w:val="20"/>
                <w:color w:val="auto"/>
              </w:rPr>
            </w:pPr>
            <w:r>
              <w:rPr>
                <w:rFonts w:ascii="Arial" w:cs="Arial" w:eastAsia="Arial" w:hAnsi="Arial"/>
                <w:sz w:val="13"/>
                <w:szCs w:val="13"/>
                <w:b w:val="1"/>
                <w:bCs w:val="1"/>
                <w:color w:val="auto"/>
                <w:w w:val="86"/>
              </w:rPr>
              <w:t>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040" w:type="dxa"/>
            <w:vAlign w:val="bottom"/>
          </w:tcPr>
          <w:p>
            <w:pPr>
              <w:jc w:val="center"/>
              <w:ind w:right="196"/>
              <w:spacing w:after="0"/>
              <w:rPr>
                <w:sz w:val="20"/>
                <w:szCs w:val="20"/>
                <w:color w:val="auto"/>
              </w:rPr>
            </w:pPr>
            <w:r>
              <w:rPr>
                <w:rFonts w:ascii="Arial" w:cs="Arial" w:eastAsia="Arial" w:hAnsi="Arial"/>
                <w:sz w:val="13"/>
                <w:szCs w:val="13"/>
                <w:b w:val="1"/>
                <w:bCs w:val="1"/>
                <w:color w:val="auto"/>
                <w:w w:val="89"/>
              </w:rPr>
              <w:t>2020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Nine Months</w:t>
            </w:r>
          </w:p>
        </w:tc>
        <w:tc>
          <w:tcPr>
            <w:tcW w:w="1080" w:type="dxa"/>
            <w:vAlign w:val="bottom"/>
          </w:tcPr>
          <w:p>
            <w:pPr>
              <w:jc w:val="center"/>
              <w:ind w:right="156"/>
              <w:spacing w:after="0"/>
              <w:rPr>
                <w:sz w:val="20"/>
                <w:szCs w:val="20"/>
                <w:color w:val="auto"/>
              </w:rPr>
            </w:pPr>
            <w:r>
              <w:rPr>
                <w:rFonts w:ascii="Arial" w:cs="Arial" w:eastAsia="Arial" w:hAnsi="Arial"/>
                <w:sz w:val="13"/>
                <w:szCs w:val="13"/>
                <w:b w:val="1"/>
                <w:bCs w:val="1"/>
                <w:color w:val="auto"/>
                <w:w w:val="89"/>
              </w:rPr>
              <w:t>Nine Months</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3"/>
                <w:szCs w:val="13"/>
                <w:b w:val="1"/>
                <w:bCs w:val="1"/>
                <w:color w:val="auto"/>
                <w:w w:val="85"/>
              </w:rPr>
              <w:t>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76"/>
              <w:spacing w:after="0"/>
              <w:rPr>
                <w:sz w:val="20"/>
                <w:szCs w:val="20"/>
                <w:color w:val="auto"/>
              </w:rPr>
            </w:pPr>
            <w:r>
              <w:rPr>
                <w:rFonts w:ascii="Arial" w:cs="Arial" w:eastAsia="Arial" w:hAnsi="Arial"/>
                <w:sz w:val="13"/>
                <w:szCs w:val="13"/>
                <w:b w:val="1"/>
                <w:bCs w:val="1"/>
                <w:color w:val="auto"/>
                <w:w w:val="90"/>
              </w:rPr>
              <w:t>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96"/>
              <w:spacing w:after="0"/>
              <w:rPr>
                <w:sz w:val="20"/>
                <w:szCs w:val="20"/>
                <w:color w:val="auto"/>
              </w:rPr>
            </w:pPr>
            <w:r>
              <w:rPr>
                <w:rFonts w:ascii="Arial" w:cs="Arial" w:eastAsia="Arial" w:hAnsi="Arial"/>
                <w:sz w:val="13"/>
                <w:szCs w:val="13"/>
                <w:b w:val="1"/>
                <w:bCs w:val="1"/>
                <w:color w:val="auto"/>
                <w:w w:val="90"/>
              </w:rPr>
              <w:t>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040" w:type="dxa"/>
            <w:vAlign w:val="bottom"/>
          </w:tcPr>
          <w:p>
            <w:pPr>
              <w:jc w:val="center"/>
              <w:ind w:right="196"/>
              <w:spacing w:after="0"/>
              <w:rPr>
                <w:sz w:val="20"/>
                <w:szCs w:val="20"/>
                <w:color w:val="auto"/>
              </w:rPr>
            </w:pPr>
            <w:r>
              <w:rPr>
                <w:rFonts w:ascii="Arial" w:cs="Arial" w:eastAsia="Arial" w:hAnsi="Arial"/>
                <w:sz w:val="13"/>
                <w:szCs w:val="13"/>
                <w:b w:val="1"/>
                <w:bCs w:val="1"/>
                <w:color w:val="auto"/>
                <w:w w:val="85"/>
              </w:rPr>
              <w:t>through</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1080" w:type="dxa"/>
            <w:vAlign w:val="bottom"/>
          </w:tcPr>
          <w:p>
            <w:pPr>
              <w:jc w:val="center"/>
              <w:ind w:right="156"/>
              <w:spacing w:after="0"/>
              <w:rPr>
                <w:sz w:val="20"/>
                <w:szCs w:val="20"/>
                <w:color w:val="auto"/>
              </w:rPr>
            </w:pPr>
            <w:r>
              <w:rPr>
                <w:rFonts w:ascii="Arial" w:cs="Arial" w:eastAsia="Arial" w:hAnsi="Arial"/>
                <w:sz w:val="13"/>
                <w:szCs w:val="13"/>
                <w:b w:val="1"/>
                <w:bCs w:val="1"/>
                <w:color w:val="auto"/>
                <w:w w:val="85"/>
              </w:rPr>
              <w:t>Ended</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216"/>
              <w:spacing w:after="0"/>
              <w:rPr>
                <w:sz w:val="20"/>
                <w:szCs w:val="20"/>
                <w:color w:val="auto"/>
              </w:rPr>
            </w:pPr>
            <w:r>
              <w:rPr>
                <w:rFonts w:ascii="Arial" w:cs="Arial" w:eastAsia="Arial" w:hAnsi="Arial"/>
                <w:sz w:val="13"/>
                <w:szCs w:val="13"/>
                <w:b w:val="1"/>
                <w:bCs w:val="1"/>
                <w:color w:val="auto"/>
                <w:w w:val="87"/>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96"/>
              <w:spacing w:after="0"/>
              <w:rPr>
                <w:sz w:val="20"/>
                <w:szCs w:val="20"/>
                <w:color w:val="auto"/>
              </w:rPr>
            </w:pPr>
            <w:r>
              <w:rPr>
                <w:rFonts w:ascii="Arial" w:cs="Arial" w:eastAsia="Arial" w:hAnsi="Arial"/>
                <w:sz w:val="13"/>
                <w:szCs w:val="13"/>
                <w:b w:val="1"/>
                <w:bCs w:val="1"/>
                <w:color w:val="auto"/>
                <w:w w:val="87"/>
              </w:rPr>
              <w:t>September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36"/>
              <w:spacing w:after="0"/>
              <w:rPr>
                <w:sz w:val="20"/>
                <w:szCs w:val="20"/>
                <w:color w:val="auto"/>
              </w:rPr>
            </w:pPr>
            <w:r>
              <w:rPr>
                <w:rFonts w:ascii="Arial" w:cs="Arial" w:eastAsia="Arial" w:hAnsi="Arial"/>
                <w:sz w:val="13"/>
                <w:szCs w:val="13"/>
                <w:b w:val="1"/>
                <w:bCs w:val="1"/>
                <w:color w:val="auto"/>
                <w:w w:val="85"/>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96"/>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040" w:type="dxa"/>
            <w:vAlign w:val="bottom"/>
          </w:tcPr>
          <w:p>
            <w:pPr>
              <w:jc w:val="center"/>
              <w:ind w:right="216"/>
              <w:spacing w:after="0"/>
              <w:rPr>
                <w:sz w:val="20"/>
                <w:szCs w:val="20"/>
                <w:color w:val="auto"/>
              </w:rPr>
            </w:pPr>
            <w:r>
              <w:rPr>
                <w:rFonts w:ascii="Arial" w:cs="Arial" w:eastAsia="Arial" w:hAnsi="Arial"/>
                <w:sz w:val="13"/>
                <w:szCs w:val="13"/>
                <w:b w:val="1"/>
                <w:bCs w:val="1"/>
                <w:color w:val="auto"/>
                <w:w w:val="89"/>
              </w:rPr>
              <w:t>January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September 30,</w:t>
            </w:r>
          </w:p>
        </w:tc>
        <w:tc>
          <w:tcPr>
            <w:tcW w:w="1080" w:type="dxa"/>
            <w:vAlign w:val="bottom"/>
          </w:tcPr>
          <w:p>
            <w:pPr>
              <w:jc w:val="center"/>
              <w:ind w:right="176"/>
              <w:spacing w:after="0"/>
              <w:rPr>
                <w:sz w:val="20"/>
                <w:szCs w:val="20"/>
                <w:color w:val="auto"/>
              </w:rPr>
            </w:pPr>
            <w:r>
              <w:rPr>
                <w:rFonts w:ascii="Arial" w:cs="Arial" w:eastAsia="Arial" w:hAnsi="Arial"/>
                <w:sz w:val="13"/>
                <w:szCs w:val="13"/>
                <w:b w:val="1"/>
                <w:bCs w:val="1"/>
                <w:color w:val="auto"/>
                <w:w w:val="85"/>
              </w:rPr>
              <w:t>September 30,</w:t>
            </w: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9"/>
              </w:rPr>
              <w:t>2021</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2"/>
              </w:rPr>
              <w:t>2020</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82"/>
              </w:rPr>
              <w:t>2021</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89"/>
              </w:rPr>
              <w:t>2020</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9"/>
              </w:rPr>
              <w:t>2020</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9"/>
              </w:rPr>
              <w:t>2020</w:t>
            </w: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192,867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76"/>
              <w:spacing w:after="0"/>
              <w:rPr>
                <w:sz w:val="20"/>
                <w:szCs w:val="20"/>
                <w:color w:val="auto"/>
              </w:rPr>
            </w:pPr>
            <w:r>
              <w:rPr>
                <w:rFonts w:ascii="Arial" w:cs="Arial" w:eastAsia="Arial" w:hAnsi="Arial"/>
                <w:sz w:val="14"/>
                <w:szCs w:val="14"/>
                <w:color w:val="auto"/>
              </w:rPr>
              <w:t>136,778</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56"/>
              <w:spacing w:after="0"/>
              <w:rPr>
                <w:sz w:val="20"/>
                <w:szCs w:val="20"/>
                <w:color w:val="auto"/>
              </w:rPr>
            </w:pPr>
            <w:r>
              <w:rPr>
                <w:rFonts w:ascii="Arial" w:cs="Arial" w:eastAsia="Arial" w:hAnsi="Arial"/>
                <w:sz w:val="14"/>
                <w:szCs w:val="14"/>
                <w:color w:val="auto"/>
              </w:rPr>
              <w:t>499,763</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shd w:val="clear" w:color="auto" w:fill="CFF0FC"/>
          </w:tcPr>
          <w:p>
            <w:pPr>
              <w:jc w:val="right"/>
              <w:ind w:right="76"/>
              <w:spacing w:after="0"/>
              <w:rPr>
                <w:sz w:val="20"/>
                <w:szCs w:val="20"/>
                <w:color w:val="auto"/>
              </w:rPr>
            </w:pPr>
            <w:r>
              <w:rPr>
                <w:rFonts w:ascii="Arial" w:cs="Arial" w:eastAsia="Arial" w:hAnsi="Arial"/>
                <w:sz w:val="14"/>
                <w:szCs w:val="14"/>
                <w:color w:val="auto"/>
              </w:rPr>
              <w:t>315,825</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56"/>
              <w:spacing w:after="0"/>
              <w:rPr>
                <w:sz w:val="20"/>
                <w:szCs w:val="20"/>
                <w:color w:val="auto"/>
              </w:rPr>
            </w:pPr>
            <w:r>
              <w:rPr>
                <w:rFonts w:ascii="Arial" w:cs="Arial" w:eastAsia="Arial" w:hAnsi="Arial"/>
                <w:sz w:val="14"/>
                <w:szCs w:val="14"/>
                <w:color w:val="auto"/>
              </w:rPr>
              <w:t>36,785</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FF0FC"/>
          </w:tcPr>
          <w:p>
            <w:pPr>
              <w:ind w:left="82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FF0FC"/>
          </w:tcPr>
          <w:p>
            <w:pPr>
              <w:jc w:val="right"/>
              <w:ind w:right="56"/>
              <w:spacing w:after="0"/>
              <w:rPr>
                <w:sz w:val="20"/>
                <w:szCs w:val="20"/>
                <w:color w:val="auto"/>
              </w:rPr>
            </w:pPr>
            <w:r>
              <w:rPr>
                <w:rFonts w:ascii="Arial" w:cs="Arial" w:eastAsia="Arial" w:hAnsi="Arial"/>
                <w:sz w:val="14"/>
                <w:szCs w:val="14"/>
                <w:color w:val="auto"/>
              </w:rPr>
              <w:t>352,610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-1014730</wp:posOffset>
            </wp:positionV>
            <wp:extent cx="33655" cy="8997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141"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Revenues were $192.9 million for the three months ended September 30, 2021 (Successor), compared to $136.8 million for the three months ended September 30, 2020 (Successor). Revenue for the three months ended September 30, 2021 (Successor) increased by $56.1 million, or 41.0%, compared to the three months ended September 30, 2020 (Successor).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due to:</w:t>
      </w:r>
    </w:p>
    <w:p>
      <w:pPr>
        <w:spacing w:after="0" w:line="185" w:lineRule="exact"/>
        <w:rPr>
          <w:sz w:val="20"/>
          <w:szCs w:val="20"/>
          <w:color w:val="auto"/>
        </w:rPr>
      </w:pPr>
    </w:p>
    <w:p>
      <w:pPr>
        <w:ind w:left="960" w:right="100"/>
        <w:spacing w:after="0" w:line="296" w:lineRule="auto"/>
        <w:rPr>
          <w:sz w:val="20"/>
          <w:szCs w:val="20"/>
          <w:color w:val="auto"/>
        </w:rPr>
      </w:pPr>
      <w:r>
        <w:rPr>
          <w:rFonts w:ascii="Arial" w:cs="Arial" w:eastAsia="Arial" w:hAnsi="Arial"/>
          <w:sz w:val="17"/>
          <w:szCs w:val="17"/>
          <w:color w:val="auto"/>
        </w:rPr>
        <w:t>a net increase of $39.9 million in existing customer revenues, primarily driven by a continued strong, broad-based recovery in demand as compared to the third quarter of 2020 which was negatively impacted by the COVID-19 pandemic, increased revenue growth in key verticals and geographies, and further strengthening in upsell and cross-sell. These existing customer increases were offset by the impact of lost accounts including a large customer re-screening project in 2020 that did not reoccur in 2021,</w:t>
      </w:r>
    </w:p>
    <w:p>
      <w:pPr>
        <w:spacing w:after="0" w:line="116" w:lineRule="exact"/>
        <w:rPr>
          <w:sz w:val="20"/>
          <w:szCs w:val="20"/>
          <w:color w:val="auto"/>
        </w:rPr>
      </w:pPr>
    </w:p>
    <w:p>
      <w:pPr>
        <w:ind w:left="960" w:right="4640"/>
        <w:spacing w:after="0" w:line="510" w:lineRule="auto"/>
        <w:rPr>
          <w:sz w:val="20"/>
          <w:szCs w:val="20"/>
          <w:color w:val="auto"/>
        </w:rPr>
      </w:pPr>
      <w:r>
        <w:rPr>
          <w:rFonts w:ascii="Arial" w:cs="Arial" w:eastAsia="Arial" w:hAnsi="Arial"/>
          <w:sz w:val="16"/>
          <w:szCs w:val="16"/>
          <w:color w:val="auto"/>
        </w:rPr>
        <w:t>increased revenues of $7.4 million attributable to new customers, and revenues of $8.8 million attributable to the UK screening business acquisition.</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Revenues were $499.8 million for the nine months ended September 30, 2021 (Successor), compared to $315.8 million for the period from February 1, 2020 through September 30, 2020 (Successor) and $36.8 million for the period from January 1, 2020 through January 31, 2020 (Predecessor). Revenue for the nine months ended September 30, 2021 (Successor) increased by $147.2 million, or 41.7%, compared to the nine months ended September 30, 2020, on a pro forma basis after giving effect to the Silver Lake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driven by:</w:t>
      </w:r>
    </w:p>
    <w:p>
      <w:pPr>
        <w:spacing w:after="0" w:line="185" w:lineRule="exact"/>
        <w:rPr>
          <w:sz w:val="20"/>
          <w:szCs w:val="20"/>
          <w:color w:val="auto"/>
        </w:rPr>
      </w:pPr>
    </w:p>
    <w:p>
      <w:pPr>
        <w:ind w:left="960" w:right="60"/>
        <w:spacing w:after="0" w:line="329" w:lineRule="auto"/>
        <w:rPr>
          <w:sz w:val="20"/>
          <w:szCs w:val="20"/>
          <w:color w:val="auto"/>
        </w:rPr>
      </w:pPr>
      <w:r>
        <w:rPr>
          <w:rFonts w:ascii="Arial" w:cs="Arial" w:eastAsia="Arial" w:hAnsi="Arial"/>
          <w:sz w:val="16"/>
          <w:szCs w:val="16"/>
          <w:color w:val="auto"/>
        </w:rPr>
        <w:t>a net increase of $99.9 million in existing customer revenues, primarily driven by a strong, broad-based recovery in demand as compared to the second and third quarters of 2020 which were negatively impacted by the COVID-19 pandemic, increased revenue growth in key verticals and geographies, and on-going strength in upsell and cross-sell. These existing customer increases were offset by the impact of lost accounts,</w:t>
      </w:r>
    </w:p>
    <w:p>
      <w:pPr>
        <w:spacing w:after="0" w:line="94" w:lineRule="exact"/>
        <w:rPr>
          <w:sz w:val="20"/>
          <w:szCs w:val="20"/>
          <w:color w:val="auto"/>
        </w:rPr>
      </w:pPr>
    </w:p>
    <w:p>
      <w:pPr>
        <w:ind w:left="960" w:right="4540"/>
        <w:spacing w:after="0" w:line="510" w:lineRule="auto"/>
        <w:rPr>
          <w:sz w:val="20"/>
          <w:szCs w:val="20"/>
          <w:color w:val="auto"/>
        </w:rPr>
      </w:pPr>
      <w:r>
        <w:rPr>
          <w:rFonts w:ascii="Arial" w:cs="Arial" w:eastAsia="Arial" w:hAnsi="Arial"/>
          <w:sz w:val="16"/>
          <w:szCs w:val="16"/>
          <w:color w:val="auto"/>
        </w:rPr>
        <w:t>increased revenues of $31.4 million attributable to new customers, and revenues of $15.9 million attributable to the UK screening business acquisition.</w:t>
      </w:r>
    </w:p>
    <w:p>
      <w:pPr>
        <w:spacing w:after="0" w:line="1"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color w:val="auto"/>
        </w:rPr>
        <w:t>The Company experienced high demand among customers in the essential retail, e-commerce, transportation and home delivery, technology and business services, and flexible workforce / staffing verticals through the first three quarters of 2021. Pricing was relatively stable across all periods.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Cost of Services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3"/>
                <w:szCs w:val="13"/>
                <w:b w:val="1"/>
                <w:bCs w:val="1"/>
                <w:color w:val="auto"/>
              </w:rPr>
              <w:t>Three-Month Period</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w w:val="84"/>
              </w:rPr>
              <w:t>Nine-Month Period</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372"/>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1"/>
              </w:rPr>
              <w:t>Predecessor</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1"/>
        </w:trPr>
        <w:tc>
          <w:tcPr>
            <w:tcW w:w="2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Pro Forma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Period from</w:t>
            </w: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Period from</w:t>
            </w:r>
          </w:p>
        </w:tc>
        <w:tc>
          <w:tcPr>
            <w:tcW w:w="10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Three</w:t>
            </w:r>
          </w:p>
        </w:tc>
        <w:tc>
          <w:tcPr>
            <w:tcW w:w="1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Three</w:t>
            </w:r>
          </w:p>
        </w:tc>
        <w:tc>
          <w:tcPr>
            <w:tcW w:w="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Nine</w:t>
            </w: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February 1,</w:t>
            </w: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January 1,</w:t>
            </w:r>
          </w:p>
        </w:tc>
        <w:tc>
          <w:tcPr>
            <w:tcW w:w="100" w:type="dxa"/>
            <w:vAlign w:val="bottom"/>
          </w:tcPr>
          <w:p>
            <w:pPr>
              <w:spacing w:after="0"/>
              <w:rPr>
                <w:sz w:val="14"/>
                <w:szCs w:val="14"/>
                <w:color w:val="auto"/>
              </w:rPr>
            </w:pPr>
          </w:p>
        </w:tc>
        <w:tc>
          <w:tcPr>
            <w:tcW w:w="960" w:type="dxa"/>
            <w:vAlign w:val="bottom"/>
          </w:tcPr>
          <w:p>
            <w:pPr>
              <w:jc w:val="center"/>
              <w:ind w:right="14"/>
              <w:spacing w:after="0"/>
              <w:rPr>
                <w:sz w:val="20"/>
                <w:szCs w:val="20"/>
                <w:color w:val="auto"/>
              </w:rPr>
            </w:pPr>
            <w:r>
              <w:rPr>
                <w:rFonts w:ascii="Arial" w:cs="Arial" w:eastAsia="Arial" w:hAnsi="Arial"/>
                <w:sz w:val="13"/>
                <w:szCs w:val="13"/>
                <w:b w:val="1"/>
                <w:bCs w:val="1"/>
                <w:color w:val="auto"/>
                <w:w w:val="88"/>
              </w:rPr>
              <w:t>for the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Pro Forma</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Months</w:t>
            </w:r>
          </w:p>
        </w:tc>
        <w:tc>
          <w:tcPr>
            <w:tcW w:w="1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Months</w:t>
            </w:r>
          </w:p>
        </w:tc>
        <w:tc>
          <w:tcPr>
            <w:tcW w:w="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Months</w:t>
            </w: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3"/>
                <w:szCs w:val="13"/>
                <w:b w:val="1"/>
                <w:bCs w:val="1"/>
                <w:color w:val="auto"/>
                <w:w w:val="82"/>
              </w:rPr>
              <w:t>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4"/>
              <w:spacing w:after="0"/>
              <w:rPr>
                <w:sz w:val="20"/>
                <w:szCs w:val="20"/>
                <w:color w:val="auto"/>
              </w:rPr>
            </w:pPr>
            <w:r>
              <w:rPr>
                <w:rFonts w:ascii="Arial" w:cs="Arial" w:eastAsia="Arial" w:hAnsi="Arial"/>
                <w:sz w:val="13"/>
                <w:szCs w:val="13"/>
                <w:b w:val="1"/>
                <w:bCs w:val="1"/>
                <w:color w:val="auto"/>
                <w:w w:val="82"/>
              </w:rPr>
              <w:t>2020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Nine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Nine Months</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through</w:t>
            </w: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through</w:t>
            </w:r>
          </w:p>
        </w:tc>
        <w:tc>
          <w:tcPr>
            <w:tcW w:w="10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3"/>
                <w:szCs w:val="13"/>
                <w:b w:val="1"/>
                <w:bCs w:val="1"/>
                <w:color w:val="auto"/>
                <w:w w:val="85"/>
              </w:rPr>
              <w:t>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Ended</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September 30,</w:t>
            </w:r>
          </w:p>
        </w:tc>
        <w:tc>
          <w:tcPr>
            <w:tcW w:w="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January 31,</w:t>
            </w:r>
          </w:p>
        </w:tc>
        <w:tc>
          <w:tcPr>
            <w:tcW w:w="10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September 30,</w:t>
            </w:r>
          </w:p>
        </w:tc>
      </w:tr>
      <w:tr>
        <w:trPr>
          <w:trHeight w:val="179"/>
        </w:trPr>
        <w:tc>
          <w:tcPr>
            <w:tcW w:w="242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2020</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2"/>
              </w:rPr>
              <w:t>2021</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2020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82"/>
              </w:rPr>
              <w:t>2020</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r>
      <w:tr>
        <w:trPr>
          <w:trHeight w:val="197"/>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192,867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136,778</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499,763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315,825</w:t>
            </w:r>
          </w:p>
        </w:tc>
        <w:tc>
          <w:tcPr>
            <w:tcW w:w="2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36,785</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352,610</w:t>
            </w:r>
          </w:p>
        </w:tc>
        <w:tc>
          <w:tcPr>
            <w:tcW w:w="200" w:type="dxa"/>
            <w:vAlign w:val="bottom"/>
            <w:shd w:val="clear" w:color="auto" w:fill="CFF0FC"/>
          </w:tcPr>
          <w:p>
            <w:pPr>
              <w:spacing w:after="0"/>
              <w:rPr>
                <w:sz w:val="17"/>
                <w:szCs w:val="17"/>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Cost of services</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94,151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67,483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244,964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156,703</w:t>
            </w: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20,265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176,968</w:t>
            </w:r>
          </w:p>
        </w:tc>
        <w:tc>
          <w:tcPr>
            <w:tcW w:w="200" w:type="dxa"/>
            <w:vAlign w:val="bottom"/>
          </w:tcPr>
          <w:p>
            <w:pPr>
              <w:spacing w:after="0"/>
              <w:rPr>
                <w:sz w:val="17"/>
                <w:szCs w:val="17"/>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services as a % of revenue</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48.8 %</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49.3 %</w:t>
            </w: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49.0 %</w:t>
            </w:r>
          </w:p>
        </w:tc>
        <w:tc>
          <w:tcPr>
            <w:tcW w:w="100" w:type="dxa"/>
            <w:vAlign w:val="bottom"/>
            <w:shd w:val="clear" w:color="auto" w:fill="CFF0FC"/>
          </w:tcPr>
          <w:p>
            <w:pPr>
              <w:spacing w:after="0"/>
              <w:rPr>
                <w:sz w:val="18"/>
                <w:szCs w:val="18"/>
                <w:color w:val="auto"/>
              </w:rPr>
            </w:pPr>
          </w:p>
        </w:tc>
        <w:tc>
          <w:tcPr>
            <w:tcW w:w="112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49.6 %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55.1 %</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-1271905</wp:posOffset>
            </wp:positionV>
            <wp:extent cx="34290" cy="8997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899795"/>
                    </a:xfrm>
                    <a:prstGeom prst="rect">
                      <a:avLst/>
                    </a:prstGeom>
                    <a:noFill/>
                  </pic:spPr>
                </pic:pic>
              </a:graphicData>
            </a:graphic>
          </wp:anchor>
        </w:drawing>
      </w:r>
    </w:p>
    <w:p>
      <w:pPr>
        <w:spacing w:after="0" w:line="141" w:lineRule="exact"/>
        <w:rPr>
          <w:sz w:val="20"/>
          <w:szCs w:val="20"/>
          <w:color w:val="auto"/>
        </w:rPr>
      </w:pPr>
    </w:p>
    <w:p>
      <w:pPr>
        <w:ind w:right="420"/>
        <w:spacing w:after="0" w:line="279" w:lineRule="auto"/>
        <w:rPr>
          <w:sz w:val="20"/>
          <w:szCs w:val="20"/>
          <w:color w:val="auto"/>
        </w:rPr>
      </w:pPr>
      <w:r>
        <w:rPr>
          <w:rFonts w:ascii="Arial" w:cs="Arial" w:eastAsia="Arial" w:hAnsi="Arial"/>
          <w:sz w:val="18"/>
          <w:szCs w:val="18"/>
          <w:color w:val="auto"/>
        </w:rPr>
        <w:t>Cost of services was $94.2 million for the three months ended September 30, 2021 (Successor), compared to $67.5 million for the three months ended September 30, 2020 (Successor). Cost of services for the three months ended September 30, 2021 (Successor) increased by $26.7 million, or 39.5%, compared to the three months ended September 30, 2020 (Successor).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increase in variable third-party data expenses of $22.1 million as a direct result of increased revenues, and</w:t>
      </w:r>
    </w:p>
    <w:p>
      <w:pPr>
        <w:spacing w:after="0" w:line="185"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a $3.7 million increase in personnel related expenses in our operations and customer service functions as a result of additional operational support headcount to process and fulfill the Company’s high levels of order volume growth.</w:t>
      </w:r>
    </w:p>
    <w:p>
      <w:pPr>
        <w:spacing w:after="0" w:line="116"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color w:val="auto"/>
        </w:rPr>
        <w:t>Cost of services as a percentage of revenues was 48.8% for the three months ended September 30, 2021 (Successor), compared to 49.3% for the three months ended September 30, 2020 (Successor). The Company was able to continue to improve cost of services leverage in the third quarter of 2021 as a result of operating efficiencies, leveraging of our proprietary data assets, and robotic process automation which helped control personnel expenses.</w:t>
      </w:r>
    </w:p>
    <w:p>
      <w:pPr>
        <w:spacing w:after="0" w:line="9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Cost of services was $245.0 million for the nine months ended September 30, 2021 (Successor), compared to $156.7 million for the period from February 1, 2020 through September 30, 2020 (Successor) and $20.3 million for the period from January 1, 2020 through January 31, 2020 (Predecessor). Cost of services for the nine months ended September 30, 2021 (Successor) increased by $68.0 million, or 38.4%, compared to the nine months ended September 30, 2020, on a pro forma basis after giving effect to the Silver Lake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increase in variable third-party data expenses of $57.4 million as a direct result of increased revenues,</w:t>
      </w:r>
    </w:p>
    <w:p>
      <w:pPr>
        <w:spacing w:after="0" w:line="185" w:lineRule="exact"/>
        <w:rPr>
          <w:sz w:val="20"/>
          <w:szCs w:val="20"/>
          <w:color w:val="auto"/>
        </w:rPr>
      </w:pPr>
    </w:p>
    <w:p>
      <w:pPr>
        <w:jc w:val="both"/>
        <w:ind w:left="960" w:right="280"/>
        <w:spacing w:after="0" w:line="275" w:lineRule="auto"/>
        <w:rPr>
          <w:sz w:val="20"/>
          <w:szCs w:val="20"/>
          <w:color w:val="auto"/>
        </w:rPr>
      </w:pPr>
      <w:r>
        <w:rPr>
          <w:rFonts w:ascii="Arial" w:cs="Arial" w:eastAsia="Arial" w:hAnsi="Arial"/>
          <w:sz w:val="18"/>
          <w:szCs w:val="18"/>
          <w:color w:val="auto"/>
        </w:rPr>
        <w:t>an $8.1 million increase in personnel related expenses in our operations and customer service functions as a result of additional operational support headcount to process and fulfill the Company’s high levels of order volume growth, particularly in the second and third quarters of 2021. This increase is further impacted by the COVID-19 related personnel and benefit expense reduction actions taken in the second and third quarters of 2020 that did not continue into 2021,</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foreign currency exchange losses of $0.8 million due to the impact of foreign exchange rate volatility, and</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 number of cost of services related operating expense increases attributable to the increased revenue volumes experienced in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partially offset by:</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$0.3 million decrease in travel-related expenses due to COVID-19 related restrictions.</w:t>
      </w:r>
    </w:p>
    <w:p>
      <w:pPr>
        <w:spacing w:after="0" w:line="185"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Cost of services as a percentage of revenues was 49.0% for the nine months ended September 30, 2021 (Successor), compared to 49.6% for the period from February 1, 2020 through September 30, 2020 (Successor) and 55.1% for the period from January 1, 2020 through January 31, 2020 (Predecessor). The Company was able to continue to improve cost of services leverage in 2021 as a result of operating efficiencies, leveraging our proprietary data assets, and robotic process automation which helped control personnel expenses. We also had reduced travel costs as a result of COVID-19 related restrictions.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Product and Technology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Three-Month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Nine-Month Period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rPr>
              <w:t>Successor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Pro Forma</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3"/>
                <w:szCs w:val="13"/>
                <w:b w:val="1"/>
                <w:bCs w:val="1"/>
                <w:color w:val="auto"/>
                <w:w w:val="84"/>
              </w:rPr>
              <w:t>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Three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85"/>
              </w:rPr>
              <w:t>Nine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February 1,</w:t>
            </w: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January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3"/>
              </w:rPr>
              <w:t>for the</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Months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86"/>
              </w:rPr>
              <w:t>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Nine Months</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36"/>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3"/>
                <w:szCs w:val="13"/>
                <w:b w:val="1"/>
                <w:bCs w:val="1"/>
                <w:color w:val="auto"/>
                <w:w w:val="89"/>
              </w:rPr>
              <w:t>January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September 30,</w:t>
            </w: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Product and technology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11,313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8,343</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33,546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20,495</w:t>
            </w: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FF0FC"/>
          </w:tcPr>
          <w:p>
            <w:pPr>
              <w:ind w:left="820"/>
              <w:spacing w:after="0"/>
              <w:rPr>
                <w:sz w:val="20"/>
                <w:szCs w:val="20"/>
                <w:color w:val="auto"/>
              </w:rPr>
            </w:pPr>
            <w:r>
              <w:rPr>
                <w:rFonts w:ascii="Arial" w:cs="Arial" w:eastAsia="Arial" w:hAnsi="Arial"/>
                <w:sz w:val="14"/>
                <w:szCs w:val="14"/>
                <w:color w:val="auto"/>
              </w:rPr>
              <w:t>—   $</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-886460</wp:posOffset>
            </wp:positionV>
            <wp:extent cx="33655" cy="7715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771525"/>
                    </a:xfrm>
                    <a:prstGeom prst="rect">
                      <a:avLst/>
                    </a:prstGeom>
                    <a:noFill/>
                  </pic:spPr>
                </pic:pic>
              </a:graphicData>
            </a:graphic>
          </wp:anchor>
        </w:drawing>
      </w:r>
    </w:p>
    <w:p>
      <w:pPr>
        <w:spacing w:after="0" w:line="141"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Product and technology expense was $11.3 million for the three months ended September 30, 2021 (Successor), compared to $8.3 million for the three months ended September 30, 2020 (Successor). Product and technology expense for the three months ended September 30, 2021 (Successor) increased by $3.0 million, or 35.6%, compared to the three months ended September 30, 2020 (Successor).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85" w:lineRule="exact"/>
        <w:rPr>
          <w:sz w:val="20"/>
          <w:szCs w:val="20"/>
          <w:color w:val="auto"/>
        </w:rPr>
      </w:pPr>
    </w:p>
    <w:p>
      <w:pPr>
        <w:ind w:left="960" w:right="620"/>
        <w:spacing w:after="0" w:line="293" w:lineRule="auto"/>
        <w:rPr>
          <w:sz w:val="20"/>
          <w:szCs w:val="20"/>
          <w:color w:val="auto"/>
        </w:rPr>
      </w:pPr>
      <w:r>
        <w:rPr>
          <w:rFonts w:ascii="Arial" w:cs="Arial" w:eastAsia="Arial" w:hAnsi="Arial"/>
          <w:sz w:val="18"/>
          <w:szCs w:val="18"/>
          <w:color w:val="auto"/>
        </w:rPr>
        <w:t>a $1.3 million increase in personnel-related expenses as a result of additional investments made to enhance our product, solutions, and technology platform,</w:t>
      </w:r>
    </w:p>
    <w:p>
      <w:pPr>
        <w:spacing w:after="0" w:line="1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$1.1 million increase in software licensing related expenses, and</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$0.6 million increase in professional service fees.</w:t>
      </w:r>
    </w:p>
    <w:p>
      <w:pPr>
        <w:spacing w:after="0" w:line="185"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Product and technology expense was $33.5 million for the nine months ended September 30, 2021 (Successor), compared to $20.5 million period from February 1, 2020 through September 30, 2020 (Successor) and $3.2 million for the period from January 1, 2020 through January 31, 2020 (Predecessor). Product and technology expense for the nine months ended September 30, 2021 (Successor) increased by $9.9 million, or 41.6%, compared to the nine months ended September 30, 2020, on a pro forma basis after giving effect to the Silver Lake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85" w:lineRule="exact"/>
        <w:rPr>
          <w:sz w:val="20"/>
          <w:szCs w:val="20"/>
          <w:color w:val="auto"/>
        </w:rPr>
      </w:pPr>
    </w:p>
    <w:p>
      <w:pPr>
        <w:ind w:left="960" w:right="620"/>
        <w:spacing w:after="0" w:line="293" w:lineRule="auto"/>
        <w:rPr>
          <w:sz w:val="20"/>
          <w:szCs w:val="20"/>
          <w:color w:val="auto"/>
        </w:rPr>
      </w:pPr>
      <w:r>
        <w:rPr>
          <w:rFonts w:ascii="Arial" w:cs="Arial" w:eastAsia="Arial" w:hAnsi="Arial"/>
          <w:sz w:val="18"/>
          <w:szCs w:val="18"/>
          <w:color w:val="auto"/>
        </w:rPr>
        <w:t>a $5.7 million increase in personnel-related expenses as a result of additional investments made to enhance our product, solutions, and technology platform,</w:t>
      </w:r>
    </w:p>
    <w:p>
      <w:pPr>
        <w:spacing w:after="0" w:line="1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$3.2 million increase in software licensing related expenses, and</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$1.1 million increase in professional service fees.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Three-Month Period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Nine-Month Period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Pro Forma</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Three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3"/>
                <w:szCs w:val="13"/>
                <w:b w:val="1"/>
                <w:bCs w:val="1"/>
                <w:color w:val="auto"/>
                <w:w w:val="92"/>
              </w:rPr>
              <w:t>Nine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1"/>
              </w:rPr>
              <w:t>February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January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3"/>
              </w:rPr>
              <w:t>for the</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Months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Nine Months</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through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85"/>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3"/>
                <w:szCs w:val="13"/>
                <w:b w:val="1"/>
                <w:bCs w:val="1"/>
                <w:color w:val="auto"/>
                <w:w w:val="89"/>
              </w:rPr>
              <w:t>January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September 30,</w:t>
            </w: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r>
      <w:tr>
        <w:trPr>
          <w:trHeight w:val="179"/>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4"/>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27,203</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18,907</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76,256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46,206</w:t>
            </w: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11,235</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FF0FC"/>
          </w:tcPr>
          <w:p>
            <w:pPr>
              <w:ind w:left="820"/>
              <w:spacing w:after="0"/>
              <w:rPr>
                <w:sz w:val="20"/>
                <w:szCs w:val="20"/>
                <w:color w:val="auto"/>
              </w:rPr>
            </w:pPr>
            <w:r>
              <w:rPr>
                <w:rFonts w:ascii="Arial" w:cs="Arial" w:eastAsia="Arial" w:hAnsi="Arial"/>
                <w:sz w:val="14"/>
                <w:szCs w:val="14"/>
                <w:color w:val="auto"/>
              </w:rPr>
              <w:t>—   $</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57,441</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-1126490</wp:posOffset>
            </wp:positionV>
            <wp:extent cx="33655" cy="8997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141"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Selling, general, and administrative expense was $27.2 million for the three months ended September 30, 2021 (Successor), compared to $18.9 million for the three months ended September 30, 2020 (Successor). Selling, general, and administrative expense for the three months ended September 30, 2021 (Successor) increased by $8.3 million, or 43.9%, compared to the three months ended September 30, 2020 (Successor).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85" w:lineRule="exact"/>
        <w:rPr>
          <w:sz w:val="20"/>
          <w:szCs w:val="20"/>
          <w:color w:val="auto"/>
        </w:rPr>
      </w:pPr>
    </w:p>
    <w:p>
      <w:pPr>
        <w:ind w:left="960" w:right="400"/>
        <w:spacing w:after="0" w:line="279" w:lineRule="auto"/>
        <w:rPr>
          <w:sz w:val="20"/>
          <w:szCs w:val="20"/>
          <w:color w:val="auto"/>
        </w:rPr>
      </w:pPr>
      <w:r>
        <w:rPr>
          <w:rFonts w:ascii="Arial" w:cs="Arial" w:eastAsia="Arial" w:hAnsi="Arial"/>
          <w:sz w:val="18"/>
          <w:szCs w:val="18"/>
          <w:color w:val="auto"/>
        </w:rPr>
        <w:t>a $2.4 million increase in personnel related expenses primarily due to additional investments made in the Company's Sales and Customer Success functions, additional headcount related to operating as a public company and COVID-19 related personnel and benefit expense reduction actions taken in 2020 that did not continue into 2021,</w:t>
      </w:r>
    </w:p>
    <w:p>
      <w:pPr>
        <w:spacing w:after="0" w:line="129" w:lineRule="exact"/>
        <w:rPr>
          <w:sz w:val="20"/>
          <w:szCs w:val="20"/>
          <w:color w:val="auto"/>
        </w:rPr>
      </w:pPr>
    </w:p>
    <w:p>
      <w:pPr>
        <w:ind w:left="960" w:right="520"/>
        <w:spacing w:after="0" w:line="293" w:lineRule="auto"/>
        <w:rPr>
          <w:sz w:val="20"/>
          <w:szCs w:val="20"/>
          <w:color w:val="auto"/>
        </w:rPr>
      </w:pPr>
      <w:r>
        <w:rPr>
          <w:rFonts w:ascii="Arial" w:cs="Arial" w:eastAsia="Arial" w:hAnsi="Arial"/>
          <w:sz w:val="18"/>
          <w:szCs w:val="18"/>
          <w:color w:val="auto"/>
        </w:rPr>
        <w:t>a $2.2 million increase in professional service fees and insurance expenses incurred related to the Company becoming a publicly traded company and other transactional activities,</w:t>
      </w:r>
    </w:p>
    <w:p>
      <w:pPr>
        <w:spacing w:after="0" w:line="116"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a $0.8 million increase in stock-based compensation expenses as a result of incremental awards granted in conjunction with the Company’s IPO,</w:t>
      </w:r>
    </w:p>
    <w:p>
      <w:pPr>
        <w:spacing w:after="0" w:line="1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$0.8 million increase in legal expenses (see Note 12 to the condensed consolidated financial statements),</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 $0.6 million increase in commissions and bonus related expenses due to the Company’s improved operating results in 2021, and</w:t>
      </w:r>
    </w:p>
    <w:p>
      <w:pPr>
        <w:spacing w:after="0" w:line="196"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a number of other corporate expenses that increased primarily as a result of the Company now being a publicly traded company and COVID-19 related expense reductions in 2020 that did not continue into 2021.</w:t>
      </w:r>
    </w:p>
    <w:p>
      <w:pPr>
        <w:spacing w:after="0" w:line="116"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Selling, general, and administrative expense was $76.3 million for the nine months ended September 30, 2021 (Successor), compared to $46.2 million for the period from February 1, 2020 through September 30, 2020 (Successor) and $11.2 million for the period from January 1, 2020 through January 31, 2020 (Predecessor). Selling, general, and administrative expense for the nine months ended September 30, 2021 (Successor) increased by $18.8 million, or 32.8%, compared to the nine months ended September 30, 2020, on a pro forma basis after giving effect to the Silver Lake Transaction.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85"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a $6.2 million increase in professional service fees incurred related to the Company’s IPO, related readiness expenses, and insurance expenses incurred related to the Company becoming a publicly traded company,</w:t>
      </w:r>
    </w:p>
    <w:p>
      <w:pPr>
        <w:spacing w:after="0" w:line="1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$5.3 million increase in commissions and bonus related expenses due to the Company’s improved operating results in 2021,</w:t>
      </w:r>
    </w:p>
    <w:p>
      <w:pPr>
        <w:spacing w:after="0" w:line="185" w:lineRule="exact"/>
        <w:rPr>
          <w:sz w:val="20"/>
          <w:szCs w:val="20"/>
          <w:color w:val="auto"/>
        </w:rPr>
      </w:pPr>
    </w:p>
    <w:p>
      <w:pPr>
        <w:ind w:left="960" w:right="400"/>
        <w:spacing w:after="0" w:line="279" w:lineRule="auto"/>
        <w:rPr>
          <w:sz w:val="20"/>
          <w:szCs w:val="20"/>
          <w:color w:val="auto"/>
        </w:rPr>
      </w:pPr>
      <w:r>
        <w:rPr>
          <w:rFonts w:ascii="Arial" w:cs="Arial" w:eastAsia="Arial" w:hAnsi="Arial"/>
          <w:sz w:val="18"/>
          <w:szCs w:val="18"/>
          <w:color w:val="auto"/>
        </w:rPr>
        <w:t>a $4.6 million increase in personnel related expenses primarily due to additional investments made in the Company's Sales and Customer Success functions, additional headcount related to operating as a public company and COVID-19 related personnel and benefit expense reduction actions taken in 2020 that did not continue into 2021,</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$1.9 million increase in legal expenses (see Note 12 to the condensed consolidated financial statements), and</w:t>
      </w:r>
    </w:p>
    <w:p>
      <w:pPr>
        <w:spacing w:after="0" w:line="185"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a number of other corporate expenses that increased primarily as a result of the Company now being a publicly traded company and COVID-19 related expense reductions in 2020 that did not continue into 2021.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85" w:lineRule="exact"/>
        <w:rPr>
          <w:sz w:val="20"/>
          <w:szCs w:val="20"/>
          <w:color w:val="auto"/>
        </w:rPr>
      </w:pPr>
    </w:p>
    <w:p>
      <w:pPr>
        <w:ind w:left="960" w:right="540"/>
        <w:spacing w:after="0" w:line="279" w:lineRule="auto"/>
        <w:rPr>
          <w:sz w:val="20"/>
          <w:szCs w:val="20"/>
          <w:color w:val="auto"/>
        </w:rPr>
      </w:pPr>
      <w:r>
        <w:rPr>
          <w:rFonts w:ascii="Arial" w:cs="Arial" w:eastAsia="Arial" w:hAnsi="Arial"/>
          <w:sz w:val="18"/>
          <w:szCs w:val="18"/>
          <w:color w:val="auto"/>
        </w:rPr>
        <w:t>a $0.6 million decrease in stock-based compensation expenses primarily as a result of accelerated vesting related to the Silver Lake Transaction that did not reoccur in 2021, offset by performance related vesting as a result of the IPO and incremental awards granted in conjunction with the Company’s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Three-Month Period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Nine-Month Period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9"/>
              </w:rPr>
              <w:t>Pro Forma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8"/>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Three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3"/>
                <w:szCs w:val="13"/>
                <w:b w:val="1"/>
                <w:bCs w:val="1"/>
                <w:color w:val="auto"/>
                <w:w w:val="92"/>
              </w:rPr>
              <w:t>Nine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1"/>
              </w:rPr>
              <w:t>February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January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93"/>
              </w:rPr>
              <w:t>for the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Months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9"/>
              </w:rPr>
              <w:t>Nine Months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through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5"/>
              </w:rPr>
              <w:t>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85"/>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3"/>
                <w:szCs w:val="13"/>
                <w:b w:val="1"/>
                <w:bCs w:val="1"/>
                <w:color w:val="auto"/>
                <w:w w:val="89"/>
              </w:rPr>
              <w:t>January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35,812</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36,756</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106,493</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97,815</w:t>
            </w: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2,105</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108,240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-1014730</wp:posOffset>
            </wp:positionV>
            <wp:extent cx="33655" cy="8997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was $35.8 million for the three months ended September 30, 2021 (Successor), compared to $36.8 million for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2020 (Successor). Depreciation and amortization for the three months ended September 30, 2021 (Successor) decreased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$0.9 million, or 2.6%, compared to the three months ended September 30, 2020 (Successor). This decrease was primarily due to the impact of the step up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fair value of property and equipment and intangible assets as a result of the application of purchase accounting related to the Silver Lake Transaction,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the intangible asset amortization is accelerated based on the relative projected discounted cash flows. This decrease was partially offset by increases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depreciation related to assets placed in service during the three months ended September 30, 2021 (Successor).</w:t>
      </w:r>
    </w:p>
    <w:p>
      <w:pPr>
        <w:spacing w:after="0" w:line="184"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Depreciation and amortization was $106.5 million for the nine months ended September 30, 2021 (Successor), compared to $97.8 million for the period from February 1, 2020 through September 30, 2020 (Successor) and $2.1 million for the period from January 1, 2020 through January 31, 2020 (Predecessor). Depreciation and amortization for the nine months ended September 30, 2021 (Successor) decreased by $1.7 million, or 1.6%, compared to the nine months ended September 30, 2020, on a pro forma basis after giving effect to the Silver Lake Transaction. This decrease was primarily due to the impact of the step up in fair value of property and equipment and intangible assets as a result of the application of purchase accounting related to the Silver Lake Transaction, of which the intangible asset amortization is accelerated based on the relative projected discounted cash flows. This decrease was partially offset by increases in depreciation related to assets placed in service during the nine months ended September 30, 2021 (Successor).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Three-Month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Nine-Month Period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Successor</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Pro Forma</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3"/>
                <w:szCs w:val="13"/>
                <w:b w:val="1"/>
                <w:bCs w:val="1"/>
                <w:color w:val="auto"/>
                <w:w w:val="84"/>
              </w:rPr>
              <w:t>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Three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85"/>
              </w:rPr>
              <w:t>Nine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1"/>
              </w:rPr>
              <w:t>February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January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3"/>
              </w:rPr>
              <w:t>for the</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Months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86"/>
              </w:rPr>
              <w:t>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Nine Months</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through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36"/>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3"/>
                <w:szCs w:val="13"/>
                <w:b w:val="1"/>
                <w:bCs w:val="1"/>
                <w:color w:val="auto"/>
                <w:w w:val="89"/>
              </w:rPr>
              <w:t>January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September 30,</w:t>
            </w: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11,706</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22,015</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38,405</w:t>
            </w: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(1,228 )  $</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41,691</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-1014730</wp:posOffset>
            </wp:positionV>
            <wp:extent cx="33655" cy="8997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141"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color w:val="auto"/>
        </w:rPr>
        <w:t>Interest expense was $4.7 million for the three months ended September 30, 2021 (Successor), compared to $11.7 million for the three months ended September 30, 2020 (Successor). Interest expense for the three months ended September 30, 2021 (Successor) decreased by $7.0 million, or 59.6%, compared to the three months ended September 30, 2020 (Successor).</w:t>
      </w:r>
    </w:p>
    <w:p>
      <w:pPr>
        <w:spacing w:after="0" w:line="129" w:lineRule="exact"/>
        <w:rPr>
          <w:sz w:val="20"/>
          <w:szCs w:val="20"/>
          <w:color w:val="auto"/>
        </w:rPr>
      </w:pPr>
    </w:p>
    <w:p>
      <w:pPr>
        <w:ind w:right="100"/>
        <w:spacing w:after="0" w:line="359" w:lineRule="auto"/>
        <w:rPr>
          <w:sz w:val="20"/>
          <w:szCs w:val="20"/>
          <w:color w:val="auto"/>
        </w:rPr>
      </w:pPr>
      <w:r>
        <w:rPr>
          <w:rFonts w:ascii="Arial" w:cs="Arial" w:eastAsia="Arial" w:hAnsi="Arial"/>
          <w:sz w:val="16"/>
          <w:szCs w:val="16"/>
          <w:color w:val="auto"/>
        </w:rPr>
        <w:t>The decrease was primarily due to the impact of the Company’s February 2021 refinancing of the Successor First Lien Credit Facility and early repayment of the Successor Second Lien Credit Facility, resulting in interest rate savings due to lower principal and more favorable interest rate margins.</w:t>
      </w:r>
    </w:p>
    <w:p>
      <w:pPr>
        <w:spacing w:after="0" w:line="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Interest expense was $22.0 million for the nine months ended September 30, 2021 (Successor), compared to $38.4 million for the period from February 1, 2020 through September 30, 2020 (Successor) and $4.5 million for the period from January 1, 2020 through January 31, 2020 (Predecessor). Interest expense for the nine months ended September 30, 2021 (Successor) decreased by $19.7 million, or 47.2%, compared to the nine months ended September 30, 2020, on a pro forma basis after giving effect to the Silver Lake Transaction.</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This decrease in interest expense for the nine months ended September 30, 2021 (Successor), compared to the period from February 1, 2020 through September 30, 2020 (Successor) and for the period from January 1, 2020 through January 31, 2020 (Predecessor) was primarily due to the impact of the Company’s February 2021 refinancing of the Successor First Lien Credit Facility and early repayment of the Successor Second Lien Credit Facility, resulting in interest rate savings due to lower principal and more favorable interest rate margins. This decrease was partially offset by a one-time increase in interest expense associated with the repayment of $200.0 million of the Successor First Lien Credit Facility, in conjunction with the Company’s IPO, resulting in accelerated amortization of the related deferred financing costs.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Interest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Three-Month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91"/>
              </w:rPr>
              <w:t>Nine-Month Period</w:t>
            </w: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800"/>
              <w:spacing w:after="0"/>
              <w:rPr>
                <w:sz w:val="20"/>
                <w:szCs w:val="20"/>
                <w:color w:val="auto"/>
              </w:rPr>
            </w:pPr>
            <w:r>
              <w:rPr>
                <w:rFonts w:ascii="Arial" w:cs="Arial" w:eastAsia="Arial" w:hAnsi="Arial"/>
                <w:sz w:val="13"/>
                <w:szCs w:val="13"/>
                <w:b w:val="1"/>
                <w:bCs w:val="1"/>
                <w:color w:val="auto"/>
                <w:w w:val="79"/>
              </w:rPr>
              <w:t>Successor</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1"/>
              </w:rPr>
              <w:t>Predecessor</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Pro Forma</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Period from</w:t>
            </w: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4"/>
              </w:rPr>
              <w:t>Three</w:t>
            </w:r>
          </w:p>
        </w:tc>
        <w:tc>
          <w:tcPr>
            <w:tcW w:w="134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0"/>
              </w:rPr>
              <w:t>Three</w:t>
            </w:r>
          </w:p>
        </w:tc>
        <w:tc>
          <w:tcPr>
            <w:tcW w:w="12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5"/>
              </w:rPr>
              <w:t>Nine</w:t>
            </w: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February 1,</w:t>
            </w:r>
          </w:p>
        </w:tc>
        <w:tc>
          <w:tcPr>
            <w:tcW w:w="16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January 1,</w:t>
            </w: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3"/>
              </w:rPr>
              <w:t>for the</w:t>
            </w: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Pro Forma</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Months</w:t>
            </w:r>
          </w:p>
        </w:tc>
        <w:tc>
          <w:tcPr>
            <w:tcW w:w="134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6"/>
              </w:rPr>
              <w:t>Months</w:t>
            </w:r>
          </w:p>
        </w:tc>
        <w:tc>
          <w:tcPr>
            <w:tcW w:w="12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6"/>
              </w:rPr>
              <w:t>Months</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Nine Months</w:t>
            </w: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Nine Months</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5"/>
              </w:rPr>
              <w:t>Ended</w:t>
            </w:r>
          </w:p>
        </w:tc>
        <w:tc>
          <w:tcPr>
            <w:tcW w:w="134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0"/>
              </w:rPr>
              <w:t>Ended</w:t>
            </w:r>
          </w:p>
        </w:tc>
        <w:tc>
          <w:tcPr>
            <w:tcW w:w="12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Ended</w:t>
            </w: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5"/>
              </w:rPr>
              <w:t>through</w:t>
            </w: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Ended</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7"/>
              </w:rPr>
              <w:t>September 30,</w:t>
            </w:r>
          </w:p>
        </w:tc>
        <w:tc>
          <w:tcPr>
            <w:tcW w:w="134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September 30,</w:t>
            </w:r>
          </w:p>
        </w:tc>
        <w:tc>
          <w:tcPr>
            <w:tcW w:w="12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5"/>
              </w:rPr>
              <w:t>September 30,</w:t>
            </w: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9"/>
              </w:rPr>
              <w:t>January 31,</w:t>
            </w: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September 30,</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(28 )  $</w:t>
            </w:r>
          </w:p>
        </w:tc>
        <w:tc>
          <w:tcPr>
            <w:tcW w:w="1340" w:type="dxa"/>
            <w:vAlign w:val="bottom"/>
            <w:gridSpan w:val="3"/>
            <w:shd w:val="clear" w:color="auto" w:fill="CFF0FC"/>
          </w:tcPr>
          <w:p>
            <w:pPr>
              <w:ind w:left="780"/>
              <w:spacing w:after="0"/>
              <w:rPr>
                <w:sz w:val="20"/>
                <w:szCs w:val="20"/>
                <w:color w:val="auto"/>
              </w:rPr>
            </w:pPr>
            <w:r>
              <w:rPr>
                <w:rFonts w:ascii="Arial" w:cs="Arial" w:eastAsia="Arial" w:hAnsi="Arial"/>
                <w:sz w:val="14"/>
                <w:szCs w:val="14"/>
                <w:color w:val="auto"/>
              </w:rPr>
              <w:t>(76 )  $</w:t>
            </w: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(140 )  $</w:t>
            </w:r>
          </w:p>
        </w:tc>
        <w:tc>
          <w:tcPr>
            <w:tcW w:w="11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(282 )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(25 )  $</w:t>
            </w:r>
          </w:p>
        </w:tc>
        <w:tc>
          <w:tcPr>
            <w:tcW w:w="1240" w:type="dxa"/>
            <w:vAlign w:val="bottom"/>
            <w:gridSpan w:val="3"/>
            <w:shd w:val="clear" w:color="auto" w:fill="CFF0FC"/>
          </w:tcPr>
          <w:p>
            <w:pPr>
              <w:ind w:left="820"/>
              <w:spacing w:after="0"/>
              <w:rPr>
                <w:sz w:val="20"/>
                <w:szCs w:val="20"/>
                <w:color w:val="auto"/>
              </w:rPr>
            </w:pPr>
            <w:r>
              <w:rPr>
                <w:rFonts w:ascii="Arial" w:cs="Arial" w:eastAsia="Arial" w:hAnsi="Arial"/>
                <w:sz w:val="14"/>
                <w:szCs w:val="14"/>
                <w:color w:val="auto"/>
              </w:rPr>
              <w:t>—   $</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-1014730</wp:posOffset>
            </wp:positionV>
            <wp:extent cx="33655" cy="8997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141"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Interest income was $0.0 million for the three months ended September 30, 2021 (Successor), compared to $0.1 million for the three months ended September 30, 2020 (Successor). Interest income for the three months ended September 30, 2021 (Successor) decreased by a nominal amount, compared to the three months ended September 30, 2020 (Successor).</w:t>
      </w:r>
    </w:p>
    <w:p>
      <w:pPr>
        <w:spacing w:after="0" w:line="12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Interest income was $(0.1) million for the nine months ended September 30, 2021 (Successor), compared to $(0.3) million for the period from February 1, 2020 through September 30, 2020 (Successor) and $0.0 million for the period from January 1, 2020 through January 31, 2020 (Predecessor). Interest income for the nine months ended September 30, 2021 (Successor) decreased by $0.2 million, or 54.4%, compared to the nine months ended September 30, 2020, on a pro forma basis after giving effect to the Silver Lake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decreases were primarily due to general decreases in interest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40"/>
              <w:spacing w:after="0"/>
              <w:rPr>
                <w:sz w:val="20"/>
                <w:szCs w:val="20"/>
                <w:color w:val="auto"/>
              </w:rPr>
            </w:pPr>
            <w:r>
              <w:rPr>
                <w:rFonts w:ascii="Arial" w:cs="Arial" w:eastAsia="Arial" w:hAnsi="Arial"/>
                <w:sz w:val="13"/>
                <w:szCs w:val="13"/>
                <w:b w:val="1"/>
                <w:bCs w:val="1"/>
                <w:color w:val="auto"/>
              </w:rPr>
              <w:t>Three-Month Period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Nine-Month Period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Pro Forma</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left="97"/>
              <w:spacing w:after="0"/>
              <w:rPr>
                <w:sz w:val="20"/>
                <w:szCs w:val="20"/>
                <w:color w:val="auto"/>
              </w:rPr>
            </w:pPr>
            <w:r>
              <w:rPr>
                <w:rFonts w:ascii="Arial" w:cs="Arial" w:eastAsia="Arial" w:hAnsi="Arial"/>
                <w:sz w:val="13"/>
                <w:szCs w:val="13"/>
                <w:b w:val="1"/>
                <w:bCs w:val="1"/>
                <w:color w:val="auto"/>
                <w:w w:val="90"/>
              </w:rPr>
              <w:t>Period from</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Three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3"/>
                <w:szCs w:val="13"/>
                <w:b w:val="1"/>
                <w:bCs w:val="1"/>
                <w:color w:val="auto"/>
                <w:w w:val="92"/>
              </w:rPr>
              <w:t>Nine</w:t>
            </w:r>
          </w:p>
        </w:tc>
        <w:tc>
          <w:tcPr>
            <w:tcW w:w="160" w:type="dxa"/>
            <w:vAlign w:val="bottom"/>
          </w:tcPr>
          <w:p>
            <w:pPr>
              <w:spacing w:after="0"/>
              <w:rPr>
                <w:sz w:val="14"/>
                <w:szCs w:val="14"/>
                <w:color w:val="auto"/>
              </w:rPr>
            </w:pPr>
          </w:p>
        </w:tc>
        <w:tc>
          <w:tcPr>
            <w:tcW w:w="900" w:type="dxa"/>
            <w:vAlign w:val="bottom"/>
          </w:tcPr>
          <w:p>
            <w:pPr>
              <w:jc w:val="center"/>
              <w:ind w:left="117"/>
              <w:spacing w:after="0"/>
              <w:rPr>
                <w:sz w:val="20"/>
                <w:szCs w:val="20"/>
                <w:color w:val="auto"/>
              </w:rPr>
            </w:pPr>
            <w:r>
              <w:rPr>
                <w:rFonts w:ascii="Arial" w:cs="Arial" w:eastAsia="Arial" w:hAnsi="Arial"/>
                <w:sz w:val="13"/>
                <w:szCs w:val="13"/>
                <w:b w:val="1"/>
                <w:bCs w:val="1"/>
                <w:color w:val="auto"/>
                <w:w w:val="91"/>
              </w:rPr>
              <w:t>February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January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3"/>
              </w:rPr>
              <w:t>for the</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Months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Months</w:t>
            </w:r>
          </w:p>
        </w:tc>
        <w:tc>
          <w:tcPr>
            <w:tcW w:w="1060" w:type="dxa"/>
            <w:vAlign w:val="bottom"/>
            <w:gridSpan w:val="2"/>
          </w:tcPr>
          <w:p>
            <w:pPr>
              <w:jc w:val="center"/>
              <w:ind w:left="253"/>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Nine Months</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900" w:type="dxa"/>
            <w:vAlign w:val="bottom"/>
          </w:tcPr>
          <w:p>
            <w:pPr>
              <w:jc w:val="center"/>
              <w:ind w:left="97"/>
              <w:spacing w:after="0"/>
              <w:rPr>
                <w:sz w:val="20"/>
                <w:szCs w:val="20"/>
                <w:color w:val="auto"/>
              </w:rPr>
            </w:pPr>
            <w:r>
              <w:rPr>
                <w:rFonts w:ascii="Arial" w:cs="Arial" w:eastAsia="Arial" w:hAnsi="Arial"/>
                <w:sz w:val="13"/>
                <w:szCs w:val="13"/>
                <w:b w:val="1"/>
                <w:bCs w:val="1"/>
                <w:color w:val="auto"/>
                <w:w w:val="85"/>
              </w:rPr>
              <w:t>through</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85"/>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4"/>
                <w:szCs w:val="14"/>
                <w:color w:val="auto"/>
              </w:rPr>
            </w:pPr>
          </w:p>
        </w:tc>
        <w:tc>
          <w:tcPr>
            <w:tcW w:w="900" w:type="dxa"/>
            <w:vAlign w:val="bottom"/>
          </w:tcPr>
          <w:p>
            <w:pPr>
              <w:jc w:val="center"/>
              <w:ind w:left="77"/>
              <w:spacing w:after="0"/>
              <w:rPr>
                <w:sz w:val="20"/>
                <w:szCs w:val="20"/>
                <w:color w:val="auto"/>
              </w:rPr>
            </w:pPr>
            <w:r>
              <w:rPr>
                <w:rFonts w:ascii="Arial" w:cs="Arial" w:eastAsia="Arial" w:hAnsi="Arial"/>
                <w:sz w:val="13"/>
                <w:szCs w:val="13"/>
                <w:b w:val="1"/>
                <w:bCs w:val="1"/>
                <w:color w:val="auto"/>
                <w:w w:val="85"/>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3"/>
                <w:szCs w:val="13"/>
                <w:b w:val="1"/>
                <w:bCs w:val="1"/>
                <w:color w:val="auto"/>
                <w:w w:val="89"/>
              </w:rPr>
              <w:t>January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September 30,</w:t>
            </w: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on extinguishment of debt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ind w:left="84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ind w:left="840"/>
              <w:spacing w:after="0"/>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13,938</w:t>
            </w:r>
          </w:p>
        </w:tc>
        <w:tc>
          <w:tcPr>
            <w:tcW w:w="1060" w:type="dxa"/>
            <w:vAlign w:val="bottom"/>
            <w:gridSpan w:val="2"/>
            <w:shd w:val="clear" w:color="auto" w:fill="CFF0FC"/>
          </w:tcPr>
          <w:p>
            <w:pPr>
              <w:jc w:val="right"/>
              <w:ind w:right="757"/>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(10,533 )  $</w:t>
            </w:r>
          </w:p>
        </w:tc>
        <w:tc>
          <w:tcPr>
            <w:tcW w:w="980" w:type="dxa"/>
            <w:vAlign w:val="bottom"/>
            <w:shd w:val="clear" w:color="auto" w:fill="CFF0FC"/>
          </w:tcPr>
          <w:p>
            <w:pPr>
              <w:ind w:left="8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-1014730</wp:posOffset>
            </wp:positionV>
            <wp:extent cx="33655" cy="8997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141"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Loss on extinguishment of debt for the nine months ended September 30, 2021 (Successor) relates to expenses stemming from the write-off of debt issuance costs associated with the February 2021 refinancing of the Successor First Lien Credit Facility and early repayment of the Successor Second Lien Credit Facility.</w:t>
      </w:r>
    </w:p>
    <w:p>
      <w:pPr>
        <w:spacing w:after="0" w:line="129"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Loss on extinguishment of debt for the period from January 1, 2020 through January 31, 2020 (Predecessor), relates to expenses stemming from the write-off of debt issuance costs as a result of prepayment of the Company’s outstanding debt obligations in connection with the Silver Lake Transaction.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Expenses, Change in Control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Three-Month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Nine-Month Period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Successor</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Pro Forma</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3"/>
                <w:szCs w:val="13"/>
                <w:b w:val="1"/>
                <w:bCs w:val="1"/>
                <w:color w:val="auto"/>
                <w:w w:val="84"/>
              </w:rPr>
              <w:t>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Three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5"/>
              </w:rPr>
              <w:t>Nine</w:t>
            </w: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1"/>
              </w:rPr>
              <w:t>February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January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3"/>
              </w:rPr>
              <w:t>for the</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Months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6"/>
              </w:rPr>
              <w:t>Months</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Nine Months</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Ended</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through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5"/>
              </w:rPr>
              <w:t>September 30,</w:t>
            </w: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3"/>
                <w:szCs w:val="13"/>
                <w:b w:val="1"/>
                <w:bCs w:val="1"/>
                <w:color w:val="auto"/>
                <w:w w:val="89"/>
              </w:rPr>
              <w:t>January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September 30,</w:t>
            </w: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r>
      <w:tr>
        <w:trPr>
          <w:trHeight w:val="197"/>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5"/>
              </w:rPr>
              <w:t>Transaction expenses, change in control   $</w:t>
            </w:r>
          </w:p>
        </w:tc>
        <w:tc>
          <w:tcPr>
            <w:tcW w:w="980" w:type="dxa"/>
            <w:vAlign w:val="bottom"/>
            <w:shd w:val="clear" w:color="auto" w:fill="CFF0FC"/>
          </w:tcPr>
          <w:p>
            <w:pPr>
              <w:ind w:left="82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ind w:left="840"/>
              <w:spacing w:after="0"/>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rPr>
              <w:t>—   $</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9,423</w:t>
            </w: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22,370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(22,370 )  $</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9,423</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-1014730</wp:posOffset>
            </wp:positionV>
            <wp:extent cx="33655" cy="8997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141"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Transaction expenses, change in control relate solely to costs relating to the Silver Lake Transaction that are recorded on our books and are therefore only included in our results of operations for the period from February 1, 2020 through September 30, 2020 (Successor) and for the period from January 1, 2020 through January 31, 2020 (Predecessor).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Provision for Income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Three-Month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91"/>
              </w:rPr>
              <w:t>Nine-Month Period</w:t>
            </w: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Successor</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1"/>
              </w:rPr>
              <w:t>Predecessor</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9"/>
              </w:rPr>
              <w:t>Pro Forma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Period from</w:t>
            </w: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8"/>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3"/>
                <w:szCs w:val="13"/>
                <w:b w:val="1"/>
                <w:bCs w:val="1"/>
                <w:color w:val="auto"/>
                <w:w w:val="84"/>
              </w:rPr>
              <w:t>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0"/>
              </w:rPr>
              <w:t>Three</w:t>
            </w: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85"/>
              </w:rPr>
              <w:t>Nine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February 1,</w:t>
            </w:r>
          </w:p>
        </w:tc>
        <w:tc>
          <w:tcPr>
            <w:tcW w:w="16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January 1,</w:t>
            </w: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93"/>
              </w:rPr>
              <w:t>for the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Pro Forma</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6"/>
              </w:rPr>
              <w:t>Months</w:t>
            </w: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86"/>
              </w:rPr>
              <w:t>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9"/>
              </w:rPr>
              <w:t>Nine Months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Nine Months</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0"/>
              </w:rPr>
              <w:t>Ended</w:t>
            </w:r>
          </w:p>
        </w:tc>
        <w:tc>
          <w:tcPr>
            <w:tcW w:w="96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5"/>
              </w:rPr>
              <w:t>through</w:t>
            </w: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5"/>
              </w:rPr>
              <w:t>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Ended</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September 30,</w:t>
            </w:r>
          </w:p>
        </w:tc>
        <w:tc>
          <w:tcPr>
            <w:tcW w:w="960" w:type="dxa"/>
            <w:vAlign w:val="bottom"/>
          </w:tcPr>
          <w:p>
            <w:pPr>
              <w:jc w:val="center"/>
              <w:ind w:right="136"/>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9"/>
              </w:rPr>
              <w:t>January 31,</w:t>
            </w:r>
          </w:p>
        </w:tc>
        <w:tc>
          <w:tcPr>
            <w:tcW w:w="960" w:type="dxa"/>
            <w:vAlign w:val="bottom"/>
          </w:tcPr>
          <w:p>
            <w:pPr>
              <w:jc w:val="center"/>
              <w:ind w:right="76"/>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(benefit) for income taxes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(2,889 )  $</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2,025</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(11,308 )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(871 )  $</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(5,545 )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-1014730</wp:posOffset>
            </wp:positionV>
            <wp:extent cx="33655" cy="8997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141" w:lineRule="exact"/>
        <w:rPr>
          <w:sz w:val="20"/>
          <w:szCs w:val="20"/>
          <w:color w:val="auto"/>
        </w:rPr>
      </w:pPr>
    </w:p>
    <w:p>
      <w:pPr>
        <w:jc w:val="both"/>
        <w:ind w:right="80"/>
        <w:spacing w:after="0" w:line="303" w:lineRule="auto"/>
        <w:rPr>
          <w:sz w:val="20"/>
          <w:szCs w:val="20"/>
          <w:color w:val="auto"/>
        </w:rPr>
      </w:pPr>
      <w:r>
        <w:rPr>
          <w:rFonts w:ascii="Arial" w:cs="Arial" w:eastAsia="Arial" w:hAnsi="Arial"/>
          <w:sz w:val="17"/>
          <w:szCs w:val="17"/>
          <w:color w:val="auto"/>
        </w:rPr>
        <w:t>Our provision for income taxes was $3.4 million for the three months ended September 30, 2021 (Successor), compared to a (benefit) for income taxes of $(2.9) million for the three months ended September 30, 2020 (Successor). Our provision for income taxes for the three months ended September 30, 2021 (Successor) increased by $6.3 million, or 217.6%, compared to the three months ended September 30, 2020 (Successor).</w:t>
      </w:r>
    </w:p>
    <w:p>
      <w:pPr>
        <w:spacing w:after="0" w:line="110"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increase in our provision for income taxes was primarily due to the increase of the foreign tax expense during the three months ended September 30, 2021 (Successor) as a result of an increase in taxable income in various jurisdictions.</w:t>
      </w:r>
    </w:p>
    <w:p>
      <w:pPr>
        <w:spacing w:after="0" w:line="102"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Our provision (benefit) for income taxes was $2.0 million for the nine months ended September 30, 2021 (Successor), compared to $(11.3) million for the period from February 1, 2020 through September 30, 2020 (Successor) and $(0.9) million for the period from January 1, 2020 through January 31, 2020 (Predecessor). Our provision for income taxes for the nine months ended September 30, 2021 (Successor) increased by $7.6 million, or 136.5%, compared to the nine months ended September 30, 2020, on a pro forma basis after giving effect to the Silver Lake Transaction.</w:t>
      </w:r>
    </w:p>
    <w:p>
      <w:pPr>
        <w:spacing w:after="0" w:line="116"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The increase in our provision for income taxes was primarily due to the reversal of our valuation allowance after the Silver Lake Transaction during the period from February 1, 2020 through September 30, 2020 (Successor), the additional tax expense incurred associated with an increase to UK deferred tax liabilities due to an increase in the UK corporate tax rate and increased foreign tax expense incurred as a result of taxable income increase in certain jurisdictions during the nine months ended September 30, 2021 (Successor). These increases were partially offset by benefits from research and development tax credits and a favorable discrete adjustment from the finalization of the 2020 income tax returns.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Net Income (Loss) and Net Income (Loss) Margin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Three-Month Period</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3"/>
                <w:szCs w:val="13"/>
                <w:b w:val="1"/>
                <w:bCs w:val="1"/>
                <w:color w:val="auto"/>
                <w:w w:val="91"/>
              </w:rPr>
              <w:t>Nine-Month Period</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371"/>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1"/>
              </w:rPr>
              <w:t>Predecessor</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1"/>
        </w:trPr>
        <w:tc>
          <w:tcPr>
            <w:tcW w:w="2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Period from</w:t>
            </w:r>
          </w:p>
        </w:tc>
        <w:tc>
          <w:tcPr>
            <w:tcW w:w="10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Three</w:t>
            </w:r>
          </w:p>
        </w:tc>
        <w:tc>
          <w:tcPr>
            <w:tcW w:w="18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0"/>
              </w:rPr>
              <w:t>Three</w:t>
            </w:r>
          </w:p>
        </w:tc>
        <w:tc>
          <w:tcPr>
            <w:tcW w:w="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Nine</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February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January 1,</w:t>
            </w:r>
          </w:p>
        </w:tc>
        <w:tc>
          <w:tcPr>
            <w:tcW w:w="10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3"/>
                <w:szCs w:val="13"/>
                <w:b w:val="1"/>
                <w:bCs w:val="1"/>
                <w:color w:val="auto"/>
                <w:w w:val="88"/>
              </w:rPr>
              <w:t>for the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Pro Forma</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0"/>
              </w:rPr>
              <w:t>Months</w:t>
            </w:r>
          </w:p>
        </w:tc>
        <w:tc>
          <w:tcPr>
            <w:tcW w:w="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Months</w:t>
            </w: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3"/>
                <w:szCs w:val="13"/>
                <w:b w:val="1"/>
                <w:bCs w:val="1"/>
                <w:color w:val="auto"/>
                <w:w w:val="82"/>
              </w:rPr>
              <w:t>2020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Nine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Nine Months</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18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5"/>
              </w:rPr>
              <w:t>Ended</w:t>
            </w:r>
          </w:p>
        </w:tc>
        <w:tc>
          <w:tcPr>
            <w:tcW w:w="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through</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9"/>
              </w:rPr>
              <w:t>through</w:t>
            </w:r>
          </w:p>
        </w:tc>
        <w:tc>
          <w:tcPr>
            <w:tcW w:w="10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Ended</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September 30,</w:t>
            </w:r>
          </w:p>
        </w:tc>
        <w:tc>
          <w:tcPr>
            <w:tcW w:w="13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September 30,</w:t>
            </w:r>
          </w:p>
        </w:tc>
        <w:tc>
          <w:tcPr>
            <w:tcW w:w="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September 30,</w:t>
            </w: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9"/>
              </w:rPr>
              <w:t>January 31,</w:t>
            </w:r>
          </w:p>
        </w:tc>
        <w:tc>
          <w:tcPr>
            <w:tcW w:w="10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September 30,</w:t>
            </w:r>
          </w:p>
        </w:tc>
      </w:tr>
      <w:tr>
        <w:trPr>
          <w:trHeight w:val="179"/>
        </w:trPr>
        <w:tc>
          <w:tcPr>
            <w:tcW w:w="242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9"/>
              </w:rPr>
              <w:t>2021</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89"/>
              </w:rPr>
              <w:t>2020</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2"/>
              </w:rPr>
              <w:t>2020</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2"/>
              </w:rPr>
              <w:t>2020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2020</w:t>
            </w:r>
          </w:p>
        </w:tc>
        <w:tc>
          <w:tcPr>
            <w:tcW w:w="280" w:type="dxa"/>
            <w:vAlign w:val="bottom"/>
          </w:tcPr>
          <w:p>
            <w:pPr>
              <w:spacing w:after="0"/>
              <w:rPr>
                <w:sz w:val="15"/>
                <w:szCs w:val="15"/>
                <w:color w:val="auto"/>
              </w:rPr>
            </w:pPr>
          </w:p>
        </w:tc>
      </w:tr>
      <w:tr>
        <w:trPr>
          <w:trHeight w:val="197"/>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(3,452 )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(41,632 )</w:t>
            </w: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(36,530 )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(58,985 )</w:t>
            </w: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8.4 %</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(13.2 )%</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(99.3 )%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-1143635</wp:posOffset>
            </wp:positionV>
            <wp:extent cx="34290" cy="8997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99795"/>
                    </a:xfrm>
                    <a:prstGeom prst="rect">
                      <a:avLst/>
                    </a:prstGeom>
                    <a:noFill/>
                  </pic:spPr>
                </pic:pic>
              </a:graphicData>
            </a:graphic>
          </wp:anchor>
        </w:drawing>
      </w:r>
    </w:p>
    <w:p>
      <w:pPr>
        <w:spacing w:after="0" w:line="14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Net income was $16.3 million for the three months ended September 30, 2021 (Successor), compared to a net (loss) of $(3.5) million for the three months ended September 30, 2020 (Successor). Net income for the three months ended September 30, 2021 (Successor) increased by $19.7 million compared to the three months ended September 30, 2020 (Successor).</w:t>
      </w:r>
    </w:p>
    <w:p>
      <w:pPr>
        <w:spacing w:after="0" w:line="129"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Net income (loss) margin was 8.4% for the three months ended September 30, 2021 (Successor), compared to (2.5)% the three months ended September 30, 2020 (Successor).</w:t>
      </w:r>
    </w:p>
    <w:p>
      <w:pPr>
        <w:spacing w:after="0" w:line="116"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The improvement in our net income (loss) margin is attributable to our ability to leverage operating efficiencies to control our overall expenses while increasing revenue and our reduction in interest expense as a result of the February 2021 refinancing.</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Net income was $0.7 million for the nine months ended September 30, 2021 (Successor), compared to a net (loss) of $(41.6) million for the period from February 1, 2020 through September 30, 2020 (Successor) and $(36.5) million for the period from January 1, 2020 through January 31, 2020 (Predecessor). Net income for the nine months ended September 30, 2021 (Successor) increased by $59.7 million, or 101.1%, compared to the nine months ended September 30, 2020, on a pro forma basis after giving effect to the Silver Lake Transaction, due to the factors described above.</w:t>
      </w:r>
    </w:p>
    <w:p>
      <w:pPr>
        <w:spacing w:after="0" w:line="116"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color w:val="auto"/>
        </w:rPr>
        <w:t>Net income (loss) margin was 0.1% for the nine months ended September 30, 2021 (Successor), compared to (13.2)% for the period from February 1, 2020 through September 30, 2020 (Successor) and (99.3)% for the period from January 1, 2020 through January 31, 2020 (Predecessor). Net income (loss) margin for the nine months ended September 30, 2020, on a pro forma basis after giving effect to the Silver Lake Transaction, was (16.7)%.</w:t>
      </w:r>
    </w:p>
    <w:p>
      <w:pPr>
        <w:spacing w:after="0" w:line="94"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The improvement in our net income (loss) margin is attributable to our ability to leverage operating efficiencies to control our overall expenses while increasing revenue and our reduction in interest expense as a result of the February 2021 refinancing.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89"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42"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85"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10" w:lineRule="exact"/>
        <w:rPr>
          <w:sz w:val="20"/>
          <w:szCs w:val="20"/>
          <w:color w:val="auto"/>
        </w:rPr>
      </w:pPr>
    </w:p>
    <w:p>
      <w:pPr>
        <w:jc w:val="both"/>
        <w:ind w:right="200"/>
        <w:spacing w:after="0" w:line="275" w:lineRule="auto"/>
        <w:rPr>
          <w:sz w:val="20"/>
          <w:szCs w:val="20"/>
          <w:color w:val="auto"/>
        </w:rPr>
      </w:pPr>
      <w:r>
        <w:rPr>
          <w:rFonts w:ascii="Arial" w:cs="Arial" w:eastAsia="Arial" w:hAnsi="Arial"/>
          <w:sz w:val="18"/>
          <w:szCs w:val="18"/>
          <w:color w:val="auto"/>
        </w:rPr>
        <w:t>Adjusted EBITDA was $63.9 million for the three months ended September 30, 2021 (Successor) and represented an Adjusted EBITDA Margin of 33%. Adjusted EBITDA was $43.3 million for the three months ended September 30, 2020 (Successor) and represented an Adjusted EBITDA Margin of 32%. Adjusted EBITDA for the three months ended September 30, 2021 (Successor) increased by $20.7 million, or 48%, compared to the three months ended September 30, 2020 (Successor).</w:t>
      </w:r>
    </w:p>
    <w:p>
      <w:pPr>
        <w:spacing w:after="0" w:line="131"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Adjusted EBITDA was $156.9 million for the nine months ended September 30, 2021 (Successor) and represented an Adjusted EBITDA Margin of 31%. Adjusted EBITDA was $95.1 million and $7.0 million for the period from February 1, 2020 through September 30, 2020 (Successor) and the period January 1, 2020 through January 31, 2020 (Predecessor), respectively. This represented an Adjusted EBITDA Margin of 30% and 19% for the period from February 1, 2020 through September 30, 2020 (Successor) and the period January 1, 2020 through January 31, 2020 (Predecessor), respectively. On a pro forma basis after giving effect to the Silver Lake Transaction, Adjusted EBITDA was $102.2 million for the nine months ended September 30, 2020 and represented an Adjusted EBITDA Margin of 29%. Adjusted EBITDA for the nine months ended September 30, 2021 (Successor) increased by $54.7 million, or 54%, compared to the nine months ended September 30, 2020, on a pro forma basis after giving effect to the Silver Lake Transaction.</w:t>
      </w:r>
    </w:p>
    <w:p>
      <w:pPr>
        <w:spacing w:after="0" w:line="110"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Growth in Adjusted EBITDA was driven primarily from revenue growth attributed to new and existing customers and margin expansion attributed to increased automation, cost discipline, and operating leverage.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3" w:name="page44"/>
    <w:bookmarkEnd w:id="43"/>
    <w:p>
      <w:pPr>
        <w:ind w:right="160"/>
        <w:spacing w:after="0" w:line="279" w:lineRule="auto"/>
        <w:rPr>
          <w:sz w:val="20"/>
          <w:szCs w:val="20"/>
          <w:color w:val="auto"/>
        </w:rPr>
      </w:pPr>
      <w:r>
        <w:rPr>
          <w:rFonts w:ascii="Arial" w:cs="Arial" w:eastAsia="Arial" w:hAnsi="Arial"/>
          <w:sz w:val="18"/>
          <w:szCs w:val="18"/>
          <w:color w:val="auto"/>
        </w:rPr>
        <w:t>The following table presents a reconciliation of Adjusted EBITDA for the periods presented. For a discussion of pro forma adjustments, see “Notes to the Unaudited Supplemental Pro Forma Financial Information Presented in Management’s Discussion and Analysis of Financial Condition and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3"/>
                <w:szCs w:val="13"/>
                <w:b w:val="1"/>
                <w:bCs w:val="1"/>
                <w:color w:val="auto"/>
              </w:rPr>
              <w:t>Three-Month Period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9"/>
              </w:rPr>
              <w:t>Nine-Month Period</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Pro Forma</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Period from</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Adjustments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1"/>
              <w:spacing w:after="0"/>
              <w:rPr>
                <w:sz w:val="20"/>
                <w:szCs w:val="20"/>
                <w:color w:val="auto"/>
              </w:rPr>
            </w:pPr>
            <w:r>
              <w:rPr>
                <w:rFonts w:ascii="Arial" w:cs="Arial" w:eastAsia="Arial" w:hAnsi="Arial"/>
                <w:sz w:val="13"/>
                <w:szCs w:val="13"/>
                <w:b w:val="1"/>
                <w:bCs w:val="1"/>
                <w:color w:val="auto"/>
                <w:w w:val="90"/>
              </w:rPr>
              <w:t>Three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Three</w:t>
            </w:r>
          </w:p>
        </w:tc>
        <w:tc>
          <w:tcPr>
            <w:tcW w:w="160" w:type="dxa"/>
            <w:vAlign w:val="bottom"/>
          </w:tcPr>
          <w:p>
            <w:pPr>
              <w:spacing w:after="0"/>
              <w:rPr>
                <w:sz w:val="14"/>
                <w:szCs w:val="14"/>
                <w:color w:val="auto"/>
              </w:rPr>
            </w:pPr>
          </w:p>
        </w:tc>
        <w:tc>
          <w:tcPr>
            <w:tcW w:w="980" w:type="dxa"/>
            <w:vAlign w:val="bottom"/>
          </w:tcPr>
          <w:p>
            <w:pPr>
              <w:jc w:val="center"/>
              <w:ind w:right="91"/>
              <w:spacing w:after="0"/>
              <w:rPr>
                <w:sz w:val="20"/>
                <w:szCs w:val="20"/>
                <w:color w:val="auto"/>
              </w:rPr>
            </w:pPr>
            <w:r>
              <w:rPr>
                <w:rFonts w:ascii="Arial" w:cs="Arial" w:eastAsia="Arial" w:hAnsi="Arial"/>
                <w:sz w:val="13"/>
                <w:szCs w:val="13"/>
                <w:b w:val="1"/>
                <w:bCs w:val="1"/>
                <w:color w:val="auto"/>
                <w:w w:val="92"/>
              </w:rPr>
              <w:t>Nine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February 1,</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January 1,</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for the</w:t>
            </w: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Pro Forma</w:t>
            </w: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1"/>
              <w:spacing w:after="0"/>
              <w:rPr>
                <w:sz w:val="20"/>
                <w:szCs w:val="20"/>
                <w:color w:val="auto"/>
              </w:rPr>
            </w:pPr>
            <w:r>
              <w:rPr>
                <w:rFonts w:ascii="Arial" w:cs="Arial" w:eastAsia="Arial" w:hAnsi="Arial"/>
                <w:sz w:val="13"/>
                <w:szCs w:val="13"/>
                <w:b w:val="1"/>
                <w:bCs w:val="1"/>
                <w:color w:val="auto"/>
                <w:w w:val="90"/>
              </w:rPr>
              <w:t>Months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4"/>
                <w:szCs w:val="14"/>
                <w:color w:val="auto"/>
              </w:rPr>
            </w:pPr>
          </w:p>
        </w:tc>
        <w:tc>
          <w:tcPr>
            <w:tcW w:w="980" w:type="dxa"/>
            <w:vAlign w:val="bottom"/>
          </w:tcPr>
          <w:p>
            <w:pPr>
              <w:jc w:val="center"/>
              <w:ind w:right="91"/>
              <w:spacing w:after="0"/>
              <w:rPr>
                <w:sz w:val="20"/>
                <w:szCs w:val="20"/>
                <w:color w:val="auto"/>
              </w:rPr>
            </w:pPr>
            <w:r>
              <w:rPr>
                <w:rFonts w:ascii="Arial" w:cs="Arial" w:eastAsia="Arial" w:hAnsi="Arial"/>
                <w:sz w:val="13"/>
                <w:szCs w:val="13"/>
                <w:b w:val="1"/>
                <w:bCs w:val="1"/>
                <w:color w:val="auto"/>
                <w:w w:val="90"/>
              </w:rPr>
              <w:t>Months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2"/>
              <w:spacing w:after="0"/>
              <w:rPr>
                <w:sz w:val="20"/>
                <w:szCs w:val="20"/>
                <w:color w:val="auto"/>
              </w:rPr>
            </w:pPr>
            <w:r>
              <w:rPr>
                <w:rFonts w:ascii="Arial" w:cs="Arial" w:eastAsia="Arial" w:hAnsi="Arial"/>
                <w:sz w:val="13"/>
                <w:szCs w:val="13"/>
                <w:b w:val="1"/>
                <w:bCs w:val="1"/>
                <w:color w:val="auto"/>
                <w:w w:val="82"/>
              </w:rPr>
              <w:t>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Nine Months</w:t>
            </w: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Nine Months</w:t>
            </w: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1"/>
              <w:spacing w:after="0"/>
              <w:rPr>
                <w:sz w:val="20"/>
                <w:szCs w:val="20"/>
                <w:color w:val="auto"/>
              </w:rPr>
            </w:pPr>
            <w:r>
              <w:rPr>
                <w:rFonts w:ascii="Arial" w:cs="Arial" w:eastAsia="Arial" w:hAnsi="Arial"/>
                <w:sz w:val="13"/>
                <w:szCs w:val="13"/>
                <w:b w:val="1"/>
                <w:bCs w:val="1"/>
                <w:color w:val="auto"/>
                <w:w w:val="85"/>
              </w:rPr>
              <w:t>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980" w:type="dxa"/>
            <w:vAlign w:val="bottom"/>
          </w:tcPr>
          <w:p>
            <w:pPr>
              <w:jc w:val="center"/>
              <w:ind w:right="91"/>
              <w:spacing w:after="0"/>
              <w:rPr>
                <w:sz w:val="20"/>
                <w:szCs w:val="20"/>
                <w:color w:val="auto"/>
              </w:rPr>
            </w:pPr>
            <w:r>
              <w:rPr>
                <w:rFonts w:ascii="Arial" w:cs="Arial" w:eastAsia="Arial" w:hAnsi="Arial"/>
                <w:sz w:val="13"/>
                <w:szCs w:val="13"/>
                <w:b w:val="1"/>
                <w:bCs w:val="1"/>
                <w:color w:val="auto"/>
                <w:w w:val="85"/>
              </w:rPr>
              <w:t>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through</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Ended</w:t>
            </w: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1"/>
              <w:spacing w:after="0"/>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980" w:type="dxa"/>
            <w:vAlign w:val="bottom"/>
          </w:tcPr>
          <w:p>
            <w:pPr>
              <w:jc w:val="center"/>
              <w:ind w:right="111"/>
              <w:spacing w:after="0"/>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January 31,</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September 30,</w:t>
            </w: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82"/>
              </w:rPr>
              <w:t>2020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5"/>
                <w:szCs w:val="15"/>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16,285</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(3,452 )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(41,632 )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(36,530 )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(58,985 )</w:t>
            </w: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38,123</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(1,228 )</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41,384</w:t>
            </w:r>
          </w:p>
        </w:tc>
        <w:tc>
          <w:tcPr>
            <w:tcW w:w="80" w:type="dxa"/>
            <w:vAlign w:val="bottom"/>
          </w:tcPr>
          <w:p>
            <w:pPr>
              <w:spacing w:after="0"/>
              <w:rPr>
                <w:sz w:val="17"/>
                <w:szCs w:val="17"/>
                <w:color w:val="auto"/>
              </w:rPr>
            </w:pPr>
          </w:p>
        </w:tc>
      </w:tr>
      <w:tr>
        <w:trPr>
          <w:trHeight w:val="208"/>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(2,889 )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(11,308 )</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(871 )</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(5,545 )</w:t>
            </w: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35,812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36,756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106,493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97,815</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108,240</w:t>
            </w:r>
          </w:p>
        </w:tc>
        <w:tc>
          <w:tcPr>
            <w:tcW w:w="80" w:type="dxa"/>
            <w:vAlign w:val="bottom"/>
          </w:tcPr>
          <w:p>
            <w:pPr>
              <w:spacing w:after="0"/>
              <w:rPr>
                <w:sz w:val="17"/>
                <w:szCs w:val="17"/>
                <w:color w:val="auto"/>
              </w:rPr>
            </w:pPr>
          </w:p>
        </w:tc>
      </w:tr>
      <w:tr>
        <w:trPr>
          <w:trHeight w:val="208"/>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13,938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(10,533 )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2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4,569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5,307</w:t>
            </w:r>
          </w:p>
        </w:tc>
        <w:tc>
          <w:tcPr>
            <w:tcW w:w="80" w:type="dxa"/>
            <w:vAlign w:val="bottom"/>
          </w:tcPr>
          <w:p>
            <w:pPr>
              <w:spacing w:after="0"/>
              <w:rPr>
                <w:sz w:val="17"/>
                <w:szCs w:val="17"/>
                <w:color w:val="auto"/>
              </w:rPr>
            </w:pPr>
          </w:p>
        </w:tc>
      </w:tr>
      <w:tr>
        <w:trPr>
          <w:trHeight w:val="169"/>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and acquisition-related</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5"/>
        </w:trPr>
        <w:tc>
          <w:tcPr>
            <w:tcW w:w="2500" w:type="dxa"/>
            <w:vAlign w:val="bottom"/>
            <w:shd w:val="clear" w:color="auto" w:fill="CFF0FC"/>
          </w:tcPr>
          <w:p>
            <w:pPr>
              <w:ind w:left="20"/>
              <w:spacing w:after="0" w:line="215" w:lineRule="exact"/>
              <w:rPr>
                <w:sz w:val="20"/>
                <w:szCs w:val="20"/>
                <w:color w:val="auto"/>
              </w:rPr>
            </w:pPr>
            <w:r>
              <w:rPr>
                <w:rFonts w:ascii="Arial" w:cs="Arial" w:eastAsia="Arial" w:hAnsi="Arial"/>
                <w:sz w:val="14"/>
                <w:szCs w:val="14"/>
                <w:color w:val="auto"/>
              </w:rPr>
              <w:t xml:space="preserve">charges </w:t>
            </w:r>
            <w:r>
              <w:rPr>
                <w:rFonts w:ascii="Arial" w:cs="Arial" w:eastAsia="Arial" w:hAnsi="Arial"/>
                <w:sz w:val="19"/>
                <w:szCs w:val="19"/>
                <w:color w:val="auto"/>
                <w:vertAlign w:val="superscript"/>
              </w:rPr>
              <w:t>(a)</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9,578</w:t>
            </w:r>
          </w:p>
        </w:tc>
        <w:tc>
          <w:tcPr>
            <w:tcW w:w="1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(22,370 )</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10,048</w:t>
            </w:r>
          </w:p>
        </w:tc>
        <w:tc>
          <w:tcPr>
            <w:tcW w:w="80" w:type="dxa"/>
            <w:vAlign w:val="bottom"/>
            <w:shd w:val="clear" w:color="auto" w:fill="CFF0FC"/>
          </w:tcPr>
          <w:p>
            <w:pPr>
              <w:spacing w:after="0"/>
              <w:rPr>
                <w:sz w:val="18"/>
                <w:szCs w:val="18"/>
                <w:color w:val="auto"/>
              </w:rPr>
            </w:pPr>
          </w:p>
        </w:tc>
      </w:tr>
      <w:tr>
        <w:trPr>
          <w:trHeight w:val="203"/>
        </w:trPr>
        <w:tc>
          <w:tcPr>
            <w:tcW w:w="2500" w:type="dxa"/>
            <w:vAlign w:val="bottom"/>
          </w:tcPr>
          <w:p>
            <w:pPr>
              <w:ind w:left="20"/>
              <w:spacing w:after="0" w:line="203" w:lineRule="exact"/>
              <w:rPr>
                <w:sz w:val="20"/>
                <w:szCs w:val="20"/>
                <w:color w:val="auto"/>
              </w:rPr>
            </w:pPr>
            <w:r>
              <w:rPr>
                <w:rFonts w:ascii="Arial" w:cs="Arial" w:eastAsia="Arial" w:hAnsi="Arial"/>
                <w:sz w:val="14"/>
                <w:szCs w:val="14"/>
                <w:color w:val="auto"/>
              </w:rPr>
              <w:t>Integration and restructuring charges</w:t>
            </w:r>
            <w:r>
              <w:rPr>
                <w:rFonts w:ascii="Arial" w:cs="Arial" w:eastAsia="Arial" w:hAnsi="Arial"/>
                <w:sz w:val="19"/>
                <w:szCs w:val="19"/>
                <w:color w:val="auto"/>
                <w:vertAlign w:val="superscript"/>
              </w:rPr>
              <w:t>(b)</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7"/>
                <w:szCs w:val="17"/>
                <w:color w:val="auto"/>
              </w:rPr>
            </w:pPr>
          </w:p>
        </w:tc>
      </w:tr>
      <w:tr>
        <w:trPr>
          <w:trHeight w:val="203"/>
        </w:trPr>
        <w:tc>
          <w:tcPr>
            <w:tcW w:w="250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4"/>
                <w:szCs w:val="14"/>
                <w:color w:val="auto"/>
              </w:rPr>
              <w:t>Other</w:t>
            </w:r>
            <w:r>
              <w:rPr>
                <w:rFonts w:ascii="Arial" w:cs="Arial" w:eastAsia="Arial" w:hAnsi="Arial"/>
                <w:sz w:val="19"/>
                <w:szCs w:val="19"/>
                <w:color w:val="auto"/>
                <w:vertAlign w:val="superscript"/>
              </w:rPr>
              <w:t>(c)</w:t>
            </w: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630</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0"/>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63,944</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43,287</w:t>
            </w:r>
          </w:p>
        </w:tc>
        <w:tc>
          <w:tcPr>
            <w:tcW w:w="1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156,856</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95,131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7,022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102,153</w:t>
            </w:r>
          </w:p>
        </w:tc>
        <w:tc>
          <w:tcPr>
            <w:tcW w:w="8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-2318385</wp:posOffset>
            </wp:positionV>
            <wp:extent cx="33655" cy="8997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89979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-159385</wp:posOffset>
            </wp:positionV>
            <wp:extent cx="946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-159385</wp:posOffset>
            </wp:positionV>
            <wp:extent cx="10287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-159385</wp:posOffset>
            </wp:positionV>
            <wp:extent cx="8572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-159385</wp:posOffset>
            </wp:positionV>
            <wp:extent cx="8572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-159385</wp:posOffset>
            </wp:positionV>
            <wp:extent cx="857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-303530</wp:posOffset>
            </wp:positionV>
            <wp:extent cx="72390" cy="316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390" cy="316865"/>
                    </a:xfrm>
                    <a:prstGeom prst="rect">
                      <a:avLst/>
                    </a:prstGeom>
                    <a:noFill/>
                  </pic:spPr>
                </pic:pic>
              </a:graphicData>
            </a:graphic>
          </wp:anchor>
        </w:drawing>
      </w:r>
    </w:p>
    <w:p>
      <w:pPr>
        <w:spacing w:after="0" w:line="204" w:lineRule="exact"/>
        <w:rPr>
          <w:sz w:val="20"/>
          <w:szCs w:val="20"/>
          <w:color w:val="auto"/>
        </w:rPr>
      </w:pPr>
    </w:p>
    <w:p>
      <w:pPr>
        <w:ind w:left="440" w:right="180" w:hanging="432"/>
        <w:spacing w:after="0" w:line="287" w:lineRule="auto"/>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charges incurred related to acquisitions and similar transactions, primarily consisting of change in control-related costs, professional service fees, and other third-party costs. Additionally, the three and nine months ended September 30, 2021 (Successor) includes incremental professional service fees incurred related to the initial public offering.</w:t>
      </w:r>
    </w:p>
    <w:p>
      <w:pPr>
        <w:ind w:left="440" w:hanging="432"/>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outside of the ordinary course of business.</w:t>
      </w:r>
    </w:p>
    <w:p>
      <w:pPr>
        <w:spacing w:after="0" w:line="14" w:lineRule="exact"/>
        <w:rPr>
          <w:rFonts w:ascii="Arial" w:cs="Arial" w:eastAsia="Arial" w:hAnsi="Arial"/>
          <w:sz w:val="14"/>
          <w:szCs w:val="14"/>
          <w:color w:val="auto"/>
        </w:rPr>
      </w:pPr>
    </w:p>
    <w:p>
      <w:pPr>
        <w:ind w:left="440" w:hanging="432"/>
        <w:spacing w:after="0"/>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and other charges primarily related to legal exposures inherited from legacy acquisitions, foreign currency (gains) losses, and (gains) losses on the sale of assets.</w:t>
      </w:r>
    </w:p>
    <w:p>
      <w:pPr>
        <w:spacing w:after="0" w:line="18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We define Adjusted EBITDA Margin as Adjusted EBITDA divided by total revenues. The following table presents the calculation of Adjusted EBITDA Margin for the periods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3"/>
                <w:szCs w:val="13"/>
                <w:b w:val="1"/>
                <w:bCs w:val="1"/>
                <w:color w:val="auto"/>
              </w:rPr>
              <w:t>Three-Month Period</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w w:val="86"/>
              </w:rPr>
              <w:t>Nine-Month Period</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371"/>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1"/>
        </w:trPr>
        <w:tc>
          <w:tcPr>
            <w:tcW w:w="2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Period from</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Three</w:t>
            </w: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Three</w:t>
            </w: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Nine</w:t>
            </w: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February 1,</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January 1,</w:t>
            </w: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Arial" w:cs="Arial" w:eastAsia="Arial" w:hAnsi="Arial"/>
                <w:sz w:val="13"/>
                <w:szCs w:val="13"/>
                <w:b w:val="1"/>
                <w:bCs w:val="1"/>
                <w:color w:val="auto"/>
                <w:w w:val="88"/>
              </w:rPr>
              <w:t>for the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Pro Forma</w:t>
            </w:r>
          </w:p>
        </w:tc>
      </w:t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Months</w:t>
            </w:r>
          </w:p>
        </w:tc>
        <w:tc>
          <w:tcPr>
            <w:tcW w:w="1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Months</w:t>
            </w: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Months</w:t>
            </w: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3"/>
                <w:szCs w:val="13"/>
                <w:b w:val="1"/>
                <w:bCs w:val="1"/>
                <w:color w:val="auto"/>
                <w:w w:val="82"/>
              </w:rPr>
              <w:t>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3"/>
                <w:szCs w:val="13"/>
                <w:b w:val="1"/>
                <w:bCs w:val="1"/>
                <w:color w:val="auto"/>
                <w:w w:val="89"/>
              </w:rPr>
              <w:t>Nine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Nine Months</w:t>
            </w:r>
          </w:p>
        </w:tc>
      </w:t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through</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through</w:t>
            </w: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Ended</w:t>
            </w:r>
          </w:p>
        </w:tc>
      </w:t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September 30,</w:t>
            </w: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January 31,</w:t>
            </w:r>
          </w:p>
        </w:tc>
        <w:tc>
          <w:tcPr>
            <w:tcW w:w="12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September 30,</w:t>
            </w:r>
          </w:p>
        </w:tc>
      </w:tr>
      <w:tr>
        <w:trPr>
          <w:trHeight w:val="179"/>
        </w:trPr>
        <w:tc>
          <w:tcPr>
            <w:tcW w:w="24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2020</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2021</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2020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2020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2020</w:t>
            </w:r>
          </w:p>
        </w:tc>
        <w:tc>
          <w:tcPr>
            <w:tcW w:w="200" w:type="dxa"/>
            <w:vAlign w:val="bottom"/>
          </w:tcPr>
          <w:p>
            <w:pPr>
              <w:spacing w:after="0"/>
              <w:rPr>
                <w:sz w:val="15"/>
                <w:szCs w:val="15"/>
                <w:color w:val="auto"/>
              </w:rPr>
            </w:pPr>
          </w:p>
        </w:tc>
      </w:tr>
      <w:tr>
        <w:trPr>
          <w:trHeight w:val="197"/>
        </w:trPr>
        <w:tc>
          <w:tcPr>
            <w:tcW w:w="2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63,944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43,287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156,856</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95,131</w:t>
            </w:r>
          </w:p>
        </w:tc>
        <w:tc>
          <w:tcPr>
            <w:tcW w:w="2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ind w:left="80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102,153</w:t>
            </w:r>
          </w:p>
        </w:tc>
        <w:tc>
          <w:tcPr>
            <w:tcW w:w="200" w:type="dxa"/>
            <w:vAlign w:val="bottom"/>
            <w:shd w:val="clear" w:color="auto" w:fill="CFF0FC"/>
          </w:tcPr>
          <w:p>
            <w:pPr>
              <w:spacing w:after="0"/>
              <w:rPr>
                <w:sz w:val="17"/>
                <w:szCs w:val="17"/>
                <w:color w:val="auto"/>
              </w:rPr>
            </w:pPr>
          </w:p>
        </w:tc>
      </w:tr>
      <w:tr>
        <w:trPr>
          <w:trHeight w:val="197"/>
        </w:trPr>
        <w:tc>
          <w:tcPr>
            <w:tcW w:w="2440" w:type="dxa"/>
            <w:vAlign w:val="bottom"/>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192,867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136,778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499,763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315,825</w:t>
            </w: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36,785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8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352,610</w:t>
            </w:r>
          </w:p>
        </w:tc>
        <w:tc>
          <w:tcPr>
            <w:tcW w:w="200" w:type="dxa"/>
            <w:vAlign w:val="bottom"/>
          </w:tcPr>
          <w:p>
            <w:pPr>
              <w:spacing w:after="0"/>
              <w:rPr>
                <w:sz w:val="17"/>
                <w:szCs w:val="17"/>
                <w:color w:val="auto"/>
              </w:rPr>
            </w:pPr>
          </w:p>
        </w:tc>
      </w:tr>
      <w:tr>
        <w:trPr>
          <w:trHeight w:val="208"/>
        </w:trPr>
        <w:tc>
          <w:tcPr>
            <w:tcW w:w="2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Adjusted EBITDA Margin</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33 %</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32 %</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31 %</w:t>
            </w:r>
          </w:p>
        </w:tc>
        <w:tc>
          <w:tcPr>
            <w:tcW w:w="100" w:type="dxa"/>
            <w:vAlign w:val="bottom"/>
            <w:shd w:val="clear" w:color="auto" w:fill="CFF0FC"/>
          </w:tcPr>
          <w:p>
            <w:pPr>
              <w:spacing w:after="0"/>
              <w:rPr>
                <w:sz w:val="18"/>
                <w:szCs w:val="18"/>
                <w:color w:val="auto"/>
              </w:rPr>
            </w:pPr>
          </w:p>
        </w:tc>
        <w:tc>
          <w:tcPr>
            <w:tcW w:w="112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30 %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19 %</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ind w:left="800"/>
              <w:spacing w:after="0"/>
              <w:rPr>
                <w:sz w:val="20"/>
                <w:szCs w:val="20"/>
                <w:color w:val="auto"/>
              </w:rPr>
            </w:pPr>
            <w:r>
              <w:rPr>
                <w:rFonts w:ascii="Arial" w:cs="Arial" w:eastAsia="Arial" w:hAnsi="Arial"/>
                <w:sz w:val="14"/>
                <w:szCs w:val="14"/>
                <w:b w:val="1"/>
                <w:bCs w:val="1"/>
                <w:color w:val="auto"/>
                <w:w w:val="85"/>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-1272540</wp:posOffset>
            </wp:positionV>
            <wp:extent cx="33655" cy="8997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8997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85"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auto"/>
        </w:rPr>
        <w:t>Similar to Adjusted EBITDA, management believes that Adjusted Net Income is a strong indicator of our overall operating performance and is useful to our management and investors as a measure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06"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Adjusted Net Income was $42.2 million for the three months ended September 30, 2021 (Successor), compared to $22.3 million for the three months ended September 30, 2020 (Successor). Adjusted Net Income for the three months ended September 30, 2021 (Successor) increased by $19.9 million, or 89%, compared to the three months ended September 30, 2020 (Successor).</w:t>
      </w:r>
    </w:p>
    <w:p>
      <w:pPr>
        <w:spacing w:after="0" w:line="129"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Adjusted Diluted Earnings Per Share was $0.28 for the three months ended September 30, 2021 (Successor), compared to $0.17 for three months ended September 30, 2020 (Successor). Adjusted Diluted Earnings Per Share for the three months ended September 30, 2021 (Successor) increased by $0.11, or 65%, compared to the three months ended September 30, 2020 (Successor).</w:t>
      </w:r>
    </w:p>
    <w:p>
      <w:pPr>
        <w:spacing w:after="0" w:line="129"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Adjusted Net Income was $95.9 million for the nine months ended September 30, 2021 (Successor), compared to $39.1 million for the period from February 1, 2020 through September 30, 2020 (Successor) and $1.4 million for the period from January 1, 2020 through January 31, 2020 (Predecessor). On a pro forma basis giving effect to the Silver Lake Transaction, Adjusted Net Income was $41.2 million for the nine months ended September 30, 2020. Adjusted Net Income for the nine months ended September 30, 2021 (Successor) increased by $54.6 million, or 133%, compared to the nine months ended September 30, 2020, on a pro forma basis after giving effect to the Silver Lake Transaction.</w:t>
      </w:r>
    </w:p>
    <w:p>
      <w:pPr>
        <w:spacing w:after="0" w:line="120"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Adjusted Diluted Earnings Per Share was $0.69 for the nine months ended September 30, 2021 (Successor), compared to $0.30 for the period from February 1, 2020 through September 30, 2020 (Successor) and $0.01 for the period from January 1, 2020 through January 31, 2020 (Predecessor). On a pro forma basis giving effect to the Silver Lake Transaction, Adjusted Diluted Earnings Per Share was $0.32 for the nine months ended September 30, 2020. Adjusted Diluted Earnings Per Share for the nine months ended September 30, 2021 (Successor) increased by $0.37, or 116%, compared to the nine months ended September 30, 2020, on a pro forma basis after giving effect to the Silver Lake Transaction.</w:t>
      </w:r>
    </w:p>
    <w:p>
      <w:pPr>
        <w:spacing w:after="0" w:line="12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This growth was driven primarily by the same factors contributing to Adjusted EBITDA growth, though Adjusted Net Income and Adjusted Diluted Earnings Per Share are also impacted by changes in our capital structure that are captured in interest expense. The purchase accounting from the Silver Lake Transaction and our debt refinancing at the beginning of 2020 and 2021 impacts the comparability of Adjusted Net Income and Adjusted Diluted Earnings Per Share across historical periods.</w:t>
      </w:r>
    </w:p>
    <w:p>
      <w:pPr>
        <w:spacing w:after="0" w:line="185"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color w:val="auto"/>
        </w:rPr>
        <w:t>The following tables present a reconciliation of Adjusted Net Income for the periods presented. For a discussion of pro forma adjustments, see “Notes to the Unaudited Supplemental Pro Forma Financial Information Presented in Management’s Discussion and Analysis of Financial Condition and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3"/>
                <w:szCs w:val="13"/>
                <w:b w:val="1"/>
                <w:bCs w:val="1"/>
                <w:color w:val="auto"/>
              </w:rPr>
              <w:t>Three-Month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1"/>
              </w:rPr>
              <w:t>Nine-Month Period</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72"/>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1"/>
              <w:spacing w:after="0"/>
              <w:rPr>
                <w:sz w:val="20"/>
                <w:szCs w:val="20"/>
                <w:color w:val="auto"/>
              </w:rPr>
            </w:pPr>
            <w:r>
              <w:rPr>
                <w:rFonts w:ascii="Arial" w:cs="Arial" w:eastAsia="Arial" w:hAnsi="Arial"/>
                <w:sz w:val="13"/>
                <w:szCs w:val="13"/>
                <w:b w:val="1"/>
                <w:bCs w:val="1"/>
                <w:color w:val="auto"/>
                <w:w w:val="84"/>
              </w:rPr>
              <w:t>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Three</w:t>
            </w:r>
          </w:p>
        </w:tc>
        <w:tc>
          <w:tcPr>
            <w:tcW w:w="160" w:type="dxa"/>
            <w:vAlign w:val="bottom"/>
          </w:tcPr>
          <w:p>
            <w:pPr>
              <w:spacing w:after="0"/>
              <w:rPr>
                <w:sz w:val="14"/>
                <w:szCs w:val="14"/>
                <w:color w:val="auto"/>
              </w:rPr>
            </w:pPr>
          </w:p>
        </w:tc>
        <w:tc>
          <w:tcPr>
            <w:tcW w:w="960" w:type="dxa"/>
            <w:vAlign w:val="bottom"/>
          </w:tcPr>
          <w:p>
            <w:pPr>
              <w:jc w:val="center"/>
              <w:ind w:right="91"/>
              <w:spacing w:after="0"/>
              <w:rPr>
                <w:sz w:val="20"/>
                <w:szCs w:val="20"/>
                <w:color w:val="auto"/>
              </w:rPr>
            </w:pPr>
            <w:r>
              <w:rPr>
                <w:rFonts w:ascii="Arial" w:cs="Arial" w:eastAsia="Arial" w:hAnsi="Arial"/>
                <w:sz w:val="13"/>
                <w:szCs w:val="13"/>
                <w:b w:val="1"/>
                <w:bCs w:val="1"/>
                <w:color w:val="auto"/>
                <w:w w:val="85"/>
              </w:rPr>
              <w:t>Nine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February 1,</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January 1,</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Pro Forma</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1"/>
              <w:spacing w:after="0"/>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Months</w:t>
            </w:r>
          </w:p>
        </w:tc>
        <w:tc>
          <w:tcPr>
            <w:tcW w:w="160" w:type="dxa"/>
            <w:vAlign w:val="bottom"/>
          </w:tcPr>
          <w:p>
            <w:pPr>
              <w:spacing w:after="0"/>
              <w:rPr>
                <w:sz w:val="14"/>
                <w:szCs w:val="14"/>
                <w:color w:val="auto"/>
              </w:rPr>
            </w:pPr>
          </w:p>
        </w:tc>
        <w:tc>
          <w:tcPr>
            <w:tcW w:w="960" w:type="dxa"/>
            <w:vAlign w:val="bottom"/>
          </w:tcPr>
          <w:p>
            <w:pPr>
              <w:jc w:val="center"/>
              <w:ind w:right="91"/>
              <w:spacing w:after="0"/>
              <w:rPr>
                <w:sz w:val="20"/>
                <w:szCs w:val="20"/>
                <w:color w:val="auto"/>
              </w:rPr>
            </w:pPr>
            <w:r>
              <w:rPr>
                <w:rFonts w:ascii="Arial" w:cs="Arial" w:eastAsia="Arial" w:hAnsi="Arial"/>
                <w:sz w:val="13"/>
                <w:szCs w:val="13"/>
                <w:b w:val="1"/>
                <w:bCs w:val="1"/>
                <w:color w:val="auto"/>
                <w:w w:val="86"/>
              </w:rPr>
              <w:t>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Nine Months</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1"/>
              <w:spacing w:after="0"/>
              <w:rPr>
                <w:sz w:val="20"/>
                <w:szCs w:val="20"/>
                <w:color w:val="auto"/>
              </w:rPr>
            </w:pPr>
            <w:r>
              <w:rPr>
                <w:rFonts w:ascii="Arial" w:cs="Arial" w:eastAsia="Arial" w:hAnsi="Arial"/>
                <w:sz w:val="13"/>
                <w:szCs w:val="13"/>
                <w:b w:val="1"/>
                <w:bCs w:val="1"/>
                <w:color w:val="auto"/>
                <w:w w:val="85"/>
              </w:rPr>
              <w:t>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960" w:type="dxa"/>
            <w:vAlign w:val="bottom"/>
          </w:tcPr>
          <w:p>
            <w:pPr>
              <w:jc w:val="center"/>
              <w:ind w:right="91"/>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through</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Ended</w:t>
            </w: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1"/>
              <w:spacing w:after="0"/>
              <w:rPr>
                <w:sz w:val="20"/>
                <w:szCs w:val="20"/>
                <w:color w:val="auto"/>
              </w:rPr>
            </w:pPr>
            <w:r>
              <w:rPr>
                <w:rFonts w:ascii="Arial" w:cs="Arial" w:eastAsia="Arial" w:hAnsi="Arial"/>
                <w:sz w:val="13"/>
                <w:szCs w:val="13"/>
                <w:b w:val="1"/>
                <w:bCs w:val="1"/>
                <w:color w:val="auto"/>
                <w:w w:val="87"/>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4"/>
                <w:szCs w:val="14"/>
                <w:color w:val="auto"/>
              </w:rPr>
            </w:pPr>
          </w:p>
        </w:tc>
        <w:tc>
          <w:tcPr>
            <w:tcW w:w="960" w:type="dxa"/>
            <w:vAlign w:val="bottom"/>
          </w:tcPr>
          <w:p>
            <w:pPr>
              <w:jc w:val="center"/>
              <w:ind w:right="131"/>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January 31,</w:t>
            </w:r>
          </w:p>
        </w:tc>
        <w:tc>
          <w:tcPr>
            <w:tcW w:w="1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September 30,</w:t>
            </w: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r>
      <w:tr>
        <w:trPr>
          <w:trHeight w:val="179"/>
        </w:trPr>
        <w:tc>
          <w:tcPr>
            <w:tcW w:w="2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(3,452 )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(41,632 )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(36,530 )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(58,985 )</w:t>
            </w: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3,397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(2,889 )</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(11,308 )</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(871 )</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(5,545 )</w:t>
            </w:r>
          </w:p>
        </w:tc>
      </w:tr>
      <w:tr>
        <w:trPr>
          <w:trHeight w:val="183"/>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before provision for</w:t>
            </w: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4"/>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19,682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(6,341 )</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(52,940 )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(37,401 )</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25,811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(64,530 )</w:t>
            </w:r>
          </w:p>
        </w:tc>
      </w:tr>
      <w:tr>
        <w:trPr>
          <w:trHeight w:val="203"/>
        </w:trPr>
        <w:tc>
          <w:tcPr>
            <w:tcW w:w="2500" w:type="dxa"/>
            <w:vAlign w:val="bottom"/>
          </w:tcPr>
          <w:p>
            <w:pPr>
              <w:ind w:left="20"/>
              <w:spacing w:after="0" w:line="203" w:lineRule="exact"/>
              <w:rPr>
                <w:sz w:val="20"/>
                <w:szCs w:val="20"/>
                <w:color w:val="auto"/>
              </w:rPr>
            </w:pPr>
            <w:r>
              <w:rPr>
                <w:rFonts w:ascii="Arial" w:cs="Arial" w:eastAsia="Arial" w:hAnsi="Arial"/>
                <w:sz w:val="14"/>
                <w:szCs w:val="14"/>
                <w:color w:val="auto"/>
              </w:rPr>
              <w:t>Debt-related costs</w:t>
            </w:r>
            <w:r>
              <w:rPr>
                <w:rFonts w:ascii="Arial" w:cs="Arial" w:eastAsia="Arial" w:hAnsi="Arial"/>
                <w:sz w:val="19"/>
                <w:szCs w:val="19"/>
                <w:color w:val="auto"/>
                <w:vertAlign w:val="superscript"/>
              </w:rPr>
              <w:t>(a)</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2,344</w:t>
            </w: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(10,803 )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7"/>
                <w:szCs w:val="17"/>
                <w:color w:val="auto"/>
              </w:rPr>
            </w:pPr>
          </w:p>
        </w:tc>
      </w:tr>
      <w:tr>
        <w:trPr>
          <w:trHeight w:val="163"/>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Acquisition-related depreciation and</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5"/>
        </w:trPr>
        <w:tc>
          <w:tcPr>
            <w:tcW w:w="2500" w:type="dxa"/>
            <w:vAlign w:val="bottom"/>
            <w:shd w:val="clear" w:color="auto" w:fill="CFF0FC"/>
          </w:tcPr>
          <w:p>
            <w:pPr>
              <w:ind w:left="20"/>
              <w:spacing w:after="0" w:line="215" w:lineRule="exact"/>
              <w:rPr>
                <w:sz w:val="20"/>
                <w:szCs w:val="20"/>
                <w:color w:val="auto"/>
              </w:rPr>
            </w:pPr>
            <w:r>
              <w:rPr>
                <w:rFonts w:ascii="Arial" w:cs="Arial" w:eastAsia="Arial" w:hAnsi="Arial"/>
                <w:sz w:val="14"/>
                <w:szCs w:val="14"/>
                <w:color w:val="auto"/>
              </w:rPr>
              <w:t>amortization</w:t>
            </w:r>
            <w:r>
              <w:rPr>
                <w:rFonts w:ascii="Arial" w:cs="Arial" w:eastAsia="Arial" w:hAnsi="Arial"/>
                <w:sz w:val="19"/>
                <w:szCs w:val="19"/>
                <w:color w:val="auto"/>
                <w:vertAlign w:val="superscript"/>
              </w:rPr>
              <w:t>(b)</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34,223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91,149</w:t>
            </w: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100,317</w:t>
            </w:r>
          </w:p>
        </w:tc>
        <w:tc>
          <w:tcPr>
            <w:tcW w:w="100" w:type="dxa"/>
            <w:vAlign w:val="bottom"/>
            <w:shd w:val="clear" w:color="auto" w:fill="CFF0FC"/>
          </w:tcPr>
          <w:p>
            <w:pPr>
              <w:spacing w:after="0"/>
              <w:rPr>
                <w:sz w:val="18"/>
                <w:szCs w:val="18"/>
                <w:color w:val="auto"/>
              </w:rPr>
            </w:pPr>
          </w:p>
        </w:tc>
      </w:tr>
      <w:tr>
        <w:trPr>
          <w:trHeight w:val="196"/>
        </w:trPr>
        <w:tc>
          <w:tcPr>
            <w:tcW w:w="2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1,331</w:t>
            </w: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5,307</w:t>
            </w:r>
          </w:p>
        </w:tc>
        <w:tc>
          <w:tcPr>
            <w:tcW w:w="100" w:type="dxa"/>
            <w:vAlign w:val="bottom"/>
          </w:tcPr>
          <w:p>
            <w:pPr>
              <w:spacing w:after="0"/>
              <w:rPr>
                <w:sz w:val="17"/>
                <w:szCs w:val="17"/>
                <w:color w:val="auto"/>
              </w:rPr>
            </w:pPr>
          </w:p>
        </w:tc>
      </w:tr>
      <w:tr>
        <w:trPr>
          <w:trHeight w:val="169"/>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and acquisition-related</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5"/>
        </w:trPr>
        <w:tc>
          <w:tcPr>
            <w:tcW w:w="2500" w:type="dxa"/>
            <w:vAlign w:val="bottom"/>
            <w:shd w:val="clear" w:color="auto" w:fill="CFF0FC"/>
          </w:tcPr>
          <w:p>
            <w:pPr>
              <w:ind w:left="20"/>
              <w:spacing w:after="0" w:line="215" w:lineRule="exact"/>
              <w:rPr>
                <w:sz w:val="20"/>
                <w:szCs w:val="20"/>
                <w:color w:val="auto"/>
              </w:rPr>
            </w:pPr>
            <w:r>
              <w:rPr>
                <w:rFonts w:ascii="Arial" w:cs="Arial" w:eastAsia="Arial" w:hAnsi="Arial"/>
                <w:sz w:val="14"/>
                <w:szCs w:val="14"/>
                <w:color w:val="auto"/>
              </w:rPr>
              <w:t>charges</w:t>
            </w:r>
            <w:r>
              <w:rPr>
                <w:rFonts w:ascii="Arial" w:cs="Arial" w:eastAsia="Arial" w:hAnsi="Arial"/>
                <w:sz w:val="19"/>
                <w:szCs w:val="19"/>
                <w:color w:val="auto"/>
                <w:vertAlign w:val="superscript"/>
              </w:rPr>
              <w:t>(c)</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9,578</w:t>
            </w: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(22,370 )</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10,048</w:t>
            </w:r>
          </w:p>
        </w:tc>
        <w:tc>
          <w:tcPr>
            <w:tcW w:w="100" w:type="dxa"/>
            <w:vAlign w:val="bottom"/>
            <w:shd w:val="clear" w:color="auto" w:fill="CFF0FC"/>
          </w:tcPr>
          <w:p>
            <w:pPr>
              <w:spacing w:after="0"/>
              <w:rPr>
                <w:sz w:val="18"/>
                <w:szCs w:val="18"/>
                <w:color w:val="auto"/>
              </w:rPr>
            </w:pPr>
          </w:p>
        </w:tc>
      </w:tr>
      <w:tr>
        <w:trPr>
          <w:trHeight w:val="203"/>
        </w:trPr>
        <w:tc>
          <w:tcPr>
            <w:tcW w:w="2500" w:type="dxa"/>
            <w:vAlign w:val="bottom"/>
          </w:tcPr>
          <w:p>
            <w:pPr>
              <w:ind w:left="20"/>
              <w:spacing w:after="0" w:line="203" w:lineRule="exact"/>
              <w:rPr>
                <w:sz w:val="20"/>
                <w:szCs w:val="20"/>
                <w:color w:val="auto"/>
              </w:rPr>
            </w:pPr>
            <w:r>
              <w:rPr>
                <w:rFonts w:ascii="Arial" w:cs="Arial" w:eastAsia="Arial" w:hAnsi="Arial"/>
                <w:sz w:val="14"/>
                <w:szCs w:val="14"/>
                <w:color w:val="auto"/>
              </w:rPr>
              <w:t>Integration and restructuring charges</w:t>
            </w:r>
            <w:r>
              <w:rPr>
                <w:rFonts w:ascii="Arial" w:cs="Arial" w:eastAsia="Arial" w:hAnsi="Arial"/>
                <w:sz w:val="19"/>
                <w:szCs w:val="19"/>
                <w:color w:val="auto"/>
                <w:vertAlign w:val="superscript"/>
              </w:rPr>
              <w:t>(d)</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7"/>
                <w:szCs w:val="17"/>
                <w:color w:val="auto"/>
              </w:rPr>
            </w:pPr>
          </w:p>
        </w:tc>
      </w:tr>
      <w:tr>
        <w:trPr>
          <w:trHeight w:val="203"/>
        </w:trPr>
        <w:tc>
          <w:tcPr>
            <w:tcW w:w="2500" w:type="dxa"/>
            <w:vAlign w:val="bottom"/>
            <w:shd w:val="clear" w:color="auto" w:fill="CFF0FC"/>
          </w:tcPr>
          <w:p>
            <w:pPr>
              <w:ind w:left="20"/>
              <w:spacing w:after="0" w:line="203" w:lineRule="exact"/>
              <w:rPr>
                <w:sz w:val="20"/>
                <w:szCs w:val="20"/>
                <w:color w:val="auto"/>
              </w:rPr>
            </w:pPr>
            <w:r>
              <w:rPr>
                <w:rFonts w:ascii="Arial" w:cs="Arial" w:eastAsia="Arial" w:hAnsi="Arial"/>
                <w:sz w:val="14"/>
                <w:szCs w:val="14"/>
                <w:color w:val="auto"/>
              </w:rPr>
              <w:t>Other</w:t>
            </w:r>
            <w:r>
              <w:rPr>
                <w:rFonts w:ascii="Arial" w:cs="Arial" w:eastAsia="Arial" w:hAnsi="Arial"/>
                <w:sz w:val="19"/>
                <w:szCs w:val="19"/>
                <w:color w:val="auto"/>
                <w:vertAlign w:val="superscript"/>
              </w:rPr>
              <w:t>(e)</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w:t>
            </w:r>
          </w:p>
        </w:tc>
        <w:tc>
          <w:tcPr>
            <w:tcW w:w="100" w:type="dxa"/>
            <w:vAlign w:val="bottom"/>
            <w:shd w:val="clear" w:color="auto" w:fill="CFF0FC"/>
          </w:tcPr>
          <w:p>
            <w:pPr>
              <w:spacing w:after="0"/>
              <w:rPr>
                <w:sz w:val="17"/>
                <w:szCs w:val="17"/>
                <w:color w:val="auto"/>
              </w:rPr>
            </w:pPr>
          </w:p>
        </w:tc>
      </w:tr>
      <w:tr>
        <w:trPr>
          <w:trHeight w:val="177"/>
        </w:trPr>
        <w:tc>
          <w:tcPr>
            <w:tcW w:w="25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Adjusted Net Income before income tax</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FF0FC"/>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effect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55,612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30,013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129,300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52,686</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55,489</w:t>
            </w:r>
          </w:p>
        </w:tc>
        <w:tc>
          <w:tcPr>
            <w:tcW w:w="100" w:type="dxa"/>
            <w:vAlign w:val="bottom"/>
          </w:tcPr>
          <w:p>
            <w:pPr>
              <w:spacing w:after="0"/>
              <w:rPr>
                <w:sz w:val="16"/>
                <w:szCs w:val="16"/>
                <w:color w:val="auto"/>
              </w:rPr>
            </w:pPr>
          </w:p>
        </w:tc>
      </w:tr>
      <w:tr>
        <w:trPr>
          <w:trHeight w:val="203"/>
        </w:trPr>
        <w:tc>
          <w:tcPr>
            <w:tcW w:w="250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4"/>
                <w:szCs w:val="14"/>
                <w:color w:val="auto"/>
              </w:rPr>
              <w:t>Less: Income tax effect</w:t>
            </w:r>
            <w:r>
              <w:rPr>
                <w:rFonts w:ascii="Arial" w:cs="Arial" w:eastAsia="Arial" w:hAnsi="Arial"/>
                <w:sz w:val="19"/>
                <w:szCs w:val="19"/>
                <w:color w:val="auto"/>
                <w:vertAlign w:val="superscript"/>
              </w:rPr>
              <w:t>(f)</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13,443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7,713</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33,431</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13,540</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0"/>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42,169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22,300</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95,869</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39,146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1,371</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712</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41,229</w:t>
            </w:r>
          </w:p>
        </w:tc>
        <w:tc>
          <w:tcPr>
            <w:tcW w:w="10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-2926715</wp:posOffset>
            </wp:positionV>
            <wp:extent cx="33655" cy="11652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116522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-536575</wp:posOffset>
            </wp:positionV>
            <wp:extent cx="1200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-536575</wp:posOffset>
            </wp:positionV>
            <wp:extent cx="1200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-536575</wp:posOffset>
            </wp:positionV>
            <wp:extent cx="10287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-680720</wp:posOffset>
            </wp:positionV>
            <wp:extent cx="89535" cy="162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9535" cy="16256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-536575</wp:posOffset>
            </wp:positionV>
            <wp:extent cx="10287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-536575</wp:posOffset>
            </wp:positionV>
            <wp:extent cx="10287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-159385</wp:posOffset>
            </wp:positionV>
            <wp:extent cx="1200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-159385</wp:posOffset>
            </wp:positionV>
            <wp:extent cx="12001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-159385</wp:posOffset>
            </wp:positionV>
            <wp:extent cx="10287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-159385</wp:posOffset>
            </wp:positionV>
            <wp:extent cx="10287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10287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-303530</wp:posOffset>
            </wp:positionV>
            <wp:extent cx="89535" cy="316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9535" cy="31686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5" w:name="page46"/>
    <w:bookmarkEnd w:id="45"/>
    <w:p>
      <w:pPr>
        <w:ind w:right="180"/>
        <w:spacing w:after="0" w:line="272" w:lineRule="auto"/>
        <w:rPr>
          <w:sz w:val="20"/>
          <w:szCs w:val="20"/>
          <w:color w:val="auto"/>
        </w:rPr>
      </w:pPr>
      <w:r>
        <w:rPr>
          <w:rFonts w:ascii="Arial" w:cs="Arial" w:eastAsia="Arial" w:hAnsi="Arial"/>
          <w:sz w:val="18"/>
          <w:szCs w:val="18"/>
          <w:color w:val="auto"/>
        </w:rPr>
        <w:t>The following table presents the calculation of Adjusted Diluted Earnings Per Share for the periods presented. For a discussion of pro forma adjustments, see “Notes to the Unaudited Supplemental Pro Forma Financial Information Presented in Management’s Discussion and Analysis of Financial Condition and Results of Operations.” Prior to the IPO, the equity awards under the Successor Plan were issued by the Company’s Parent. As a result, these awards are not considered equity awards issued by the Company, and therefore not included in the calculation of adjusted weighted average number of shares outstanding—diluted.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3"/>
                <w:szCs w:val="13"/>
                <w:b w:val="1"/>
                <w:bCs w:val="1"/>
                <w:color w:val="auto"/>
              </w:rPr>
              <w:t>Three-Month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1"/>
              </w:rPr>
              <w:t>Nine-Month Period</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Pro Forma</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Period from</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Period from</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Three</w:t>
            </w: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Three</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Nine</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February 1,</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January 1,</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Months</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Months</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Months</w:t>
            </w:r>
          </w:p>
        </w:tc>
        <w:tc>
          <w:tcPr>
            <w:tcW w:w="100" w:type="dxa"/>
            <w:vAlign w:val="bottom"/>
          </w:tcPr>
          <w:p>
            <w:pPr>
              <w:spacing w:after="0"/>
              <w:rPr>
                <w:sz w:val="14"/>
                <w:szCs w:val="14"/>
                <w:color w:val="auto"/>
              </w:rPr>
            </w:pPr>
          </w:p>
        </w:tc>
        <w:tc>
          <w:tcPr>
            <w:tcW w:w="98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Nine Months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Nine Months</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Ended</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through</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through</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Ended</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Ended</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January 31,</w:t>
            </w:r>
          </w:p>
        </w:tc>
        <w:tc>
          <w:tcPr>
            <w:tcW w:w="1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September 30,</w:t>
            </w: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Diluted net income (loss) per share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(GAAP)</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(0.03 )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(0.32 )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(0.24 )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(0.45 )</w:t>
            </w:r>
          </w:p>
        </w:tc>
        <w:tc>
          <w:tcPr>
            <w:tcW w:w="0" w:type="dxa"/>
            <w:vAlign w:val="bottom"/>
          </w:tcPr>
          <w:p>
            <w:pPr>
              <w:spacing w:after="0"/>
              <w:rPr>
                <w:sz w:val="1"/>
                <w:szCs w:val="1"/>
                <w:color w:val="auto"/>
              </w:rPr>
            </w:pPr>
          </w:p>
        </w:tc>
      </w:tr>
      <w:tr>
        <w:trPr>
          <w:trHeight w:val="184"/>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rPr>
              <w:t>Adjusted Net Income adjustments per</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rPr>
              <w:t>share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(0.02 )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(0.09 )</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(0.01 )</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(0.04 )</w:t>
            </w:r>
          </w:p>
        </w:tc>
        <w:tc>
          <w:tcPr>
            <w:tcW w:w="0" w:type="dxa"/>
            <w:vAlign w:val="bottom"/>
          </w:tcPr>
          <w:p>
            <w:pPr>
              <w:spacing w:after="0"/>
              <w:rPr>
                <w:sz w:val="1"/>
                <w:szCs w:val="1"/>
                <w:color w:val="auto"/>
              </w:rPr>
            </w:pPr>
          </w:p>
        </w:tc>
      </w:tr>
      <w:tr>
        <w:trPr>
          <w:trHeight w:val="203"/>
        </w:trPr>
        <w:tc>
          <w:tcPr>
            <w:tcW w:w="2500" w:type="dxa"/>
            <w:vAlign w:val="bottom"/>
          </w:tcPr>
          <w:p>
            <w:pPr>
              <w:ind w:left="200"/>
              <w:spacing w:after="0" w:line="203" w:lineRule="exact"/>
              <w:rPr>
                <w:sz w:val="20"/>
                <w:szCs w:val="20"/>
                <w:color w:val="auto"/>
              </w:rPr>
            </w:pPr>
            <w:r>
              <w:rPr>
                <w:rFonts w:ascii="Arial" w:cs="Arial" w:eastAsia="Arial" w:hAnsi="Arial"/>
                <w:sz w:val="14"/>
                <w:szCs w:val="14"/>
                <w:color w:val="auto"/>
              </w:rPr>
              <w:t xml:space="preserve">Debt-related costs </w:t>
            </w:r>
            <w:r>
              <w:rPr>
                <w:rFonts w:ascii="Arial" w:cs="Arial" w:eastAsia="Arial" w:hAnsi="Arial"/>
                <w:sz w:val="19"/>
                <w:szCs w:val="19"/>
                <w:color w:val="auto"/>
                <w:vertAlign w:val="superscript"/>
              </w:rPr>
              <w:t>(a)</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(0.08 )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Acquisition-related depreciation and</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200"/>
              <w:spacing w:after="0" w:line="21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19"/>
                <w:szCs w:val="19"/>
                <w:color w:val="auto"/>
                <w:vertAlign w:val="superscript"/>
              </w:rPr>
              <w:t>(b)</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0.70</w:t>
            </w: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0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Transaction and acquisition related</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200"/>
              <w:spacing w:after="0" w:line="215" w:lineRule="exact"/>
              <w:rPr>
                <w:sz w:val="20"/>
                <w:szCs w:val="20"/>
                <w:color w:val="auto"/>
              </w:rPr>
            </w:pPr>
            <w:r>
              <w:rPr>
                <w:rFonts w:ascii="Arial" w:cs="Arial" w:eastAsia="Arial" w:hAnsi="Arial"/>
                <w:sz w:val="14"/>
                <w:szCs w:val="14"/>
                <w:color w:val="auto"/>
              </w:rPr>
              <w:t xml:space="preserve">charges </w:t>
            </w:r>
            <w:r>
              <w:rPr>
                <w:rFonts w:ascii="Arial" w:cs="Arial" w:eastAsia="Arial" w:hAnsi="Arial"/>
                <w:sz w:val="19"/>
                <w:szCs w:val="19"/>
                <w:color w:val="auto"/>
                <w:vertAlign w:val="superscript"/>
              </w:rPr>
              <w:t>(c)</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(0.17 )</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200"/>
              <w:spacing w:after="0" w:line="149" w:lineRule="exact"/>
              <w:rPr>
                <w:sz w:val="20"/>
                <w:szCs w:val="20"/>
                <w:color w:val="auto"/>
              </w:rPr>
            </w:pPr>
            <w:r>
              <w:rPr>
                <w:rFonts w:ascii="Arial" w:cs="Arial" w:eastAsia="Arial" w:hAnsi="Arial"/>
                <w:sz w:val="14"/>
                <w:szCs w:val="14"/>
                <w:color w:val="auto"/>
                <w:w w:val="99"/>
              </w:rPr>
              <w:t>Integration and restructuring charges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0"/>
              <w:spacing w:after="0"/>
              <w:rPr>
                <w:sz w:val="20"/>
                <w:szCs w:val="20"/>
                <w:color w:val="auto"/>
              </w:rPr>
            </w:pPr>
            <w:r>
              <w:rPr>
                <w:rFonts w:ascii="Arial" w:cs="Arial" w:eastAsia="Arial" w:hAnsi="Arial"/>
                <w:sz w:val="10"/>
                <w:szCs w:val="10"/>
                <w:color w:val="auto"/>
              </w:rPr>
              <w:t>(d)</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0.00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0.00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0.00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0.00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ind w:left="200"/>
              <w:spacing w:after="0" w:line="203"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9"/>
                <w:szCs w:val="19"/>
                <w:color w:val="auto"/>
                <w:vertAlign w:val="superscript"/>
              </w:rPr>
              <w:t>(e)</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200"/>
              <w:spacing w:after="0" w:line="203" w:lineRule="exact"/>
              <w:rPr>
                <w:sz w:val="20"/>
                <w:szCs w:val="20"/>
                <w:color w:val="auto"/>
              </w:rPr>
            </w:pPr>
            <w:r>
              <w:rPr>
                <w:rFonts w:ascii="Arial" w:cs="Arial" w:eastAsia="Arial" w:hAnsi="Arial"/>
                <w:sz w:val="14"/>
                <w:szCs w:val="14"/>
                <w:color w:val="auto"/>
              </w:rPr>
              <w:t xml:space="preserve">Adjusted income taxes </w:t>
            </w:r>
            <w:r>
              <w:rPr>
                <w:rFonts w:ascii="Arial" w:cs="Arial" w:eastAsia="Arial" w:hAnsi="Arial"/>
                <w:sz w:val="19"/>
                <w:szCs w:val="19"/>
                <w:color w:val="auto"/>
                <w:vertAlign w:val="superscript"/>
              </w:rPr>
              <w:t>(f)</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(0.09 )</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(0.06 )</w:t>
            </w:r>
          </w:p>
        </w:tc>
        <w:tc>
          <w:tcPr>
            <w:tcW w:w="1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(0.24 )</w:t>
            </w: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(0.10 )</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(0.00 )</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(0.00 )</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(0.11 )</w:t>
            </w:r>
          </w:p>
        </w:tc>
        <w:tc>
          <w:tcPr>
            <w:tcW w:w="0" w:type="dxa"/>
            <w:vAlign w:val="bottom"/>
          </w:tcPr>
          <w:p>
            <w:pPr>
              <w:spacing w:after="0"/>
              <w:rPr>
                <w:sz w:val="1"/>
                <w:szCs w:val="1"/>
                <w:color w:val="auto"/>
              </w:rPr>
            </w:pPr>
          </w:p>
        </w:tc>
      </w:tr>
      <w:tr>
        <w:trPr>
          <w:trHeight w:val="177"/>
        </w:trPr>
        <w:tc>
          <w:tcPr>
            <w:tcW w:w="25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Adjusted Diluted Earnings Per</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0.28</w:t>
            </w: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0.17</w:t>
            </w: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160" w:type="dxa"/>
            <w:vAlign w:val="bottom"/>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00" w:type="dxa"/>
            <w:vAlign w:val="bottom"/>
            <w:tcBorders>
              <w:bottom w:val="single" w:sz="8" w:color="CFF0FC"/>
            </w:tcBorders>
            <w:shd w:val="clear" w:color="auto" w:fill="CFF0FC"/>
          </w:tcPr>
          <w:p>
            <w:pPr>
              <w:ind w:left="380"/>
              <w:spacing w:after="0" w:line="154" w:lineRule="exact"/>
              <w:rPr>
                <w:sz w:val="20"/>
                <w:szCs w:val="20"/>
                <w:color w:val="auto"/>
              </w:rPr>
            </w:pPr>
            <w:r>
              <w:rPr>
                <w:rFonts w:ascii="Arial" w:cs="Arial" w:eastAsia="Arial" w:hAnsi="Arial"/>
                <w:sz w:val="14"/>
                <w:szCs w:val="14"/>
                <w:color w:val="auto"/>
              </w:rPr>
              <w:t>Share (Non-GAAP)</w:t>
            </w: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2500" w:type="dxa"/>
            <w:vAlign w:val="bottom"/>
          </w:tcPr>
          <w:p>
            <w:pPr>
              <w:ind w:left="20"/>
              <w:spacing w:after="0"/>
              <w:rPr>
                <w:sz w:val="20"/>
                <w:szCs w:val="20"/>
                <w:color w:val="auto"/>
              </w:rPr>
            </w:pPr>
            <w:r>
              <w:rPr>
                <w:rFonts w:ascii="Arial" w:cs="Arial" w:eastAsia="Arial" w:hAnsi="Arial"/>
                <w:sz w:val="14"/>
                <w:szCs w:val="14"/>
                <w:color w:val="auto"/>
              </w:rPr>
              <w:t>Weighted average number of shares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Arial" w:cs="Arial" w:eastAsia="Arial" w:hAnsi="Arial"/>
                <w:sz w:val="14"/>
                <w:szCs w:val="14"/>
                <w:color w:val="auto"/>
              </w:rPr>
              <w:t>outstanding used in computation of</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Arial" w:cs="Arial" w:eastAsia="Arial" w:hAnsi="Arial"/>
                <w:sz w:val="14"/>
                <w:szCs w:val="14"/>
                <w:color w:val="auto"/>
              </w:rPr>
              <w:t>Adjusted Diluted Earnings Per Share: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Weighted average number of shares</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outstanding—diluted (GAAP)</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152,400,419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130,000,000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138,170,488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130,000,000</w:t>
            </w: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149,686,460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130,000,000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200"/>
              <w:spacing w:after="0"/>
              <w:rPr>
                <w:sz w:val="20"/>
                <w:szCs w:val="20"/>
                <w:color w:val="auto"/>
              </w:rPr>
            </w:pPr>
            <w:r>
              <w:rPr>
                <w:rFonts w:ascii="Arial" w:cs="Arial" w:eastAsia="Arial" w:hAnsi="Arial"/>
                <w:sz w:val="14"/>
                <w:szCs w:val="14"/>
                <w:color w:val="auto"/>
              </w:rPr>
              <w:t>Options and restricted stock not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0"/>
              <w:spacing w:after="0"/>
              <w:rPr>
                <w:sz w:val="20"/>
                <w:szCs w:val="20"/>
                <w:color w:val="auto"/>
              </w:rPr>
            </w:pPr>
            <w:r>
              <w:rPr>
                <w:rFonts w:ascii="Arial" w:cs="Arial" w:eastAsia="Arial" w:hAnsi="Arial"/>
                <w:sz w:val="14"/>
                <w:szCs w:val="14"/>
                <w:color w:val="auto"/>
                <w:w w:val="97"/>
              </w:rPr>
              <w:t>included in weighted average number</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0"/>
              <w:spacing w:after="0"/>
              <w:rPr>
                <w:sz w:val="20"/>
                <w:szCs w:val="20"/>
                <w:color w:val="auto"/>
              </w:rPr>
            </w:pPr>
            <w:r>
              <w:rPr>
                <w:rFonts w:ascii="Arial" w:cs="Arial" w:eastAsia="Arial" w:hAnsi="Arial"/>
                <w:sz w:val="14"/>
                <w:szCs w:val="14"/>
                <w:color w:val="auto"/>
              </w:rPr>
              <w:t>of shares outstanding—diluted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0"/>
              <w:spacing w:after="0"/>
              <w:rPr>
                <w:sz w:val="20"/>
                <w:szCs w:val="20"/>
                <w:color w:val="auto"/>
              </w:rPr>
            </w:pPr>
            <w:r>
              <w:rPr>
                <w:rFonts w:ascii="Arial" w:cs="Arial" w:eastAsia="Arial" w:hAnsi="Arial"/>
                <w:sz w:val="14"/>
                <w:szCs w:val="14"/>
                <w:color w:val="auto"/>
              </w:rPr>
              <w:t>(GAAP) (using treasury stock</w:t>
            </w:r>
          </w:p>
        </w:tc>
        <w:tc>
          <w:tcPr>
            <w:tcW w:w="12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500" w:type="dxa"/>
            <w:vAlign w:val="bottom"/>
          </w:tcPr>
          <w:p>
            <w:pPr>
              <w:ind w:left="200"/>
              <w:spacing w:after="0"/>
              <w:rPr>
                <w:sz w:val="20"/>
                <w:szCs w:val="20"/>
                <w:color w:val="auto"/>
              </w:rPr>
            </w:pPr>
            <w:r>
              <w:rPr>
                <w:rFonts w:ascii="Arial" w:cs="Arial" w:eastAsia="Arial" w:hAnsi="Arial"/>
                <w:sz w:val="14"/>
                <w:szCs w:val="14"/>
                <w:color w:val="auto"/>
              </w:rPr>
              <w:t>method)</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6"/>
              </w:rPr>
              <w:t>Adjusted weighted average number of</w:t>
            </w: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shares outstanding—diluted (Non-</w:t>
            </w:r>
          </w:p>
        </w:tc>
        <w:tc>
          <w:tcPr>
            <w:tcW w:w="12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152,400,419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130,000,000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138,170,488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130,000,000</w:t>
            </w: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149,686,460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130,000,000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130,000,000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00" w:type="dxa"/>
            <w:vAlign w:val="bottom"/>
            <w:tcBorders>
              <w:bottom w:val="single" w:sz="8" w:color="CFF0FC"/>
            </w:tcBorders>
            <w:shd w:val="clear" w:color="auto" w:fill="CFF0FC"/>
          </w:tcPr>
          <w:p>
            <w:pPr>
              <w:ind w:left="200"/>
              <w:spacing w:after="0" w:line="154" w:lineRule="exact"/>
              <w:rPr>
                <w:sz w:val="20"/>
                <w:szCs w:val="20"/>
                <w:color w:val="auto"/>
              </w:rPr>
            </w:pPr>
            <w:r>
              <w:rPr>
                <w:rFonts w:ascii="Arial" w:cs="Arial" w:eastAsia="Arial" w:hAnsi="Arial"/>
                <w:sz w:val="14"/>
                <w:szCs w:val="14"/>
                <w:color w:val="auto"/>
              </w:rPr>
              <w:t>GAAP)</w:t>
            </w:r>
          </w:p>
        </w:tc>
        <w:tc>
          <w:tcPr>
            <w:tcW w:w="1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-4589780</wp:posOffset>
            </wp:positionV>
            <wp:extent cx="33655" cy="8997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89979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-1671320</wp:posOffset>
            </wp:positionV>
            <wp:extent cx="1200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-1653540</wp:posOffset>
            </wp:positionV>
            <wp:extent cx="1200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-1671320</wp:posOffset>
            </wp:positionV>
            <wp:extent cx="1200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-1653540</wp:posOffset>
            </wp:positionV>
            <wp:extent cx="1200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-1671320</wp:posOffset>
            </wp:positionV>
            <wp:extent cx="102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-1653540</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-2035175</wp:posOffset>
            </wp:positionV>
            <wp:extent cx="89535" cy="402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9535" cy="402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-1671320</wp:posOffset>
            </wp:positionV>
            <wp:extent cx="102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-1653540</wp:posOffset>
            </wp:positionV>
            <wp:extent cx="1028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-1671320</wp:posOffset>
            </wp:positionV>
            <wp:extent cx="102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-1653540</wp:posOffset>
            </wp:positionV>
            <wp:extent cx="1028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-24765</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-7620</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1028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1028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-937895</wp:posOffset>
            </wp:positionV>
            <wp:extent cx="89535" cy="9512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9535" cy="95123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102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02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the loss on extinguishment of debt and non-cash interest expense related to the amortization of debt issuance costs for the financing for the Silver Lake Transaction.</w:t>
      </w:r>
    </w:p>
    <w:p>
      <w:pPr>
        <w:spacing w:after="0" w:line="32" w:lineRule="exact"/>
        <w:rPr>
          <w:rFonts w:ascii="Arial" w:cs="Arial" w:eastAsia="Arial" w:hAnsi="Arial"/>
          <w:sz w:val="13"/>
          <w:szCs w:val="13"/>
          <w:color w:val="auto"/>
        </w:rPr>
      </w:pPr>
    </w:p>
    <w:p>
      <w:pPr>
        <w:ind w:left="440" w:hanging="432"/>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Represents the depreciation and amortization expense related to intangible assets and developed technology assets recorded due to the application of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w:t>
      </w:r>
    </w:p>
    <w:p>
      <w:pPr>
        <w:spacing w:after="0" w:line="26" w:lineRule="exact"/>
        <w:rPr>
          <w:rFonts w:ascii="Arial" w:cs="Arial" w:eastAsia="Arial" w:hAnsi="Arial"/>
          <w:sz w:val="13"/>
          <w:szCs w:val="13"/>
          <w:color w:val="auto"/>
        </w:rPr>
      </w:pPr>
    </w:p>
    <w:p>
      <w:pPr>
        <w:ind w:left="440" w:right="180" w:hanging="432"/>
        <w:spacing w:after="0" w:line="281" w:lineRule="auto"/>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charges incurred related to acquisitions and similar transactions, primarily consisting of change in control-related costs, professional service fees, and other third-party costs. Additionally, the three and nine months ended September 30, 2021 (Successor) includes incremental professional service fees incurred related to the initial public offering.</w:t>
      </w:r>
    </w:p>
    <w:p>
      <w:pPr>
        <w:ind w:left="440" w:hanging="432"/>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outside of the ordinary course of business.</w:t>
      </w:r>
    </w:p>
    <w:p>
      <w:pPr>
        <w:spacing w:after="0" w:line="14" w:lineRule="exact"/>
        <w:rPr>
          <w:rFonts w:ascii="Arial" w:cs="Arial" w:eastAsia="Arial" w:hAnsi="Arial"/>
          <w:sz w:val="14"/>
          <w:szCs w:val="14"/>
          <w:color w:val="auto"/>
        </w:rPr>
      </w:pPr>
    </w:p>
    <w:p>
      <w:pPr>
        <w:ind w:left="440" w:hanging="432"/>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and other charges primarily related to legal exposures inherited from legacy acquisitions, foreign currency (gains) losses, and (gains) losses on the sale of assets.</w:t>
      </w:r>
    </w:p>
    <w:p>
      <w:pPr>
        <w:spacing w:after="0" w:line="26" w:lineRule="exact"/>
        <w:rPr>
          <w:rFonts w:ascii="Arial" w:cs="Arial" w:eastAsia="Arial" w:hAnsi="Arial"/>
          <w:sz w:val="13"/>
          <w:szCs w:val="13"/>
          <w:color w:val="auto"/>
        </w:rPr>
      </w:pPr>
    </w:p>
    <w:p>
      <w:pPr>
        <w:ind w:left="440" w:right="140" w:hanging="432"/>
        <w:spacing w:after="0" w:line="267" w:lineRule="auto"/>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tax rates of 25.7%, 24.2%, and 25.9% have been used to compute Adjusted Net Income and Adjusted Diluted Earnings Per Share for the 2020 periods, the three months ended September 30, 2021, and the nine months ended September 30, 2021, respectively. As of December 31, 2020, we had net operating loss carryforwards of approximately $197.6 million, $166.2 million, and $36.0 million for federal, state, and foreign income tax purposes, respectively, available to reduce future income subject to income taxes. As a result, the amount of actual cash taxes we pay for federal, state and foreign income taxes differs significantly from the effective income tax rate computed in accordance with GAAP, and from the normalized rate shown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Company’s primary liquidity requirements are for working capital, continued investments in software development and other capital expenditures, and other strategic investments. Income taxes are currently not a significant use of funds but after the benefits of our net operating loss carryforwards are fully recognized, could become a material use of funds, depending on our future profitability and future tax rates. The Company’s liquidity needs are met primarily through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p>
    <w:p>
      <w:pPr>
        <w:spacing w:after="0" w:line="137"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As of September 30, 2021, we had $275.5 million in cash and cash equivalents and $100.0 million available under our revolving credit facility. As of September 30, 2021, we had $564.7 million of total debt outstanding. We believe our cash on hand, together with amounts available under our revolving credit facility, and cash provided by (used in)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On January 31, 2020, our previously outstanding indebtedness was repaid in full as part of the Silver Lake Transaction. As part of the Silver Lake Transaction,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(“Successor First Lien Credit Facility”) and a $75.0 million new revolving credit facility due January 31, 2025 (“Successor Revolver”). The Successor Second Lien Agreement provided financing in the form of a $145.0 million term loan due January 31, 2028 (“Successor Second Lien Credit Facility”).</w:t>
      </w:r>
    </w:p>
    <w:p>
      <w:pPr>
        <w:spacing w:after="0" w:line="122"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On February 1, 2021, we amended the Successor First Lien Agreement to fund $100.0 million of additional first lien term loans and reduce the applicable margins by 0.25%. The refinancing resulted in a loss on extinguishment of debt of $5.1 million, composed of the write-off of $4.5 million of unamortized deferred financing costs and $0.6 million of accrued interest and miscellaneous fees. In addition, we fully repaid the outstanding Successor Second Lien Agreement and recorded a loss on extinguishment of debt of $8.9 million, composed of the write-off of $7.3 million of unamortized deferred financing costs plus a $1.5 million prepayment premium, and $0.1 million of accrued interest and other miscellaneous fees.</w:t>
      </w:r>
    </w:p>
    <w:p>
      <w:pPr>
        <w:spacing w:after="0" w:line="12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 connection with the IPO, the Company entered into an amendment to increase the borrowing capacity under the Successor Revolver from $75.0 million to $100.0 million and extend the maturity date from January 31, 2025 to July 31, 2026.</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Borrowings under the Successor First Lien Agreement bear interest at a rate per annum equal to an applicable margin plus, at our option, either (a) a base rate or (b) LIBOR, which is subject to a floor of 0.00% per annum. The applicable margins under the Successor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2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Successor First Lien Credit Facility amortizes in equal quarterly installments in aggregate annual amounts equal to 1.00% of the principal amount. The Successor Revolver has no amortization. The Successor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will be subject to a 1.00% prepayment premium. Otherwise, the borrower may voluntarily repay outstanding loans without premium or penalty, other than customary “breakage” costs.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both"/>
        <w:ind w:right="60"/>
        <w:spacing w:after="0" w:line="296" w:lineRule="auto"/>
        <w:rPr>
          <w:sz w:val="20"/>
          <w:szCs w:val="20"/>
          <w:color w:val="auto"/>
        </w:rPr>
      </w:pPr>
      <w:r>
        <w:rPr>
          <w:rFonts w:ascii="Arial" w:cs="Arial" w:eastAsia="Arial" w:hAnsi="Arial"/>
          <w:sz w:val="17"/>
          <w:szCs w:val="17"/>
          <w:color w:val="auto"/>
        </w:rPr>
        <w:t>In connection with the closing of the IPO, on June 30, 2021 the Company repaid $200.0 million of the Successor First Lien Credit Facility outstanding, of which $44.3 million was applied to the remaining quarterly amortizing principal payments due under the Successor First Lien Agreement.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The Successor First Lien Agreement is unconditionally guaranteed by Fastball Parent, Inc., a wholly-owned subsidiary of the Company and the direct parent of the borrower, and material wholly owned domestic restricted subsidiaries of Fastball Parent, Inc. The Successor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include more than 65% of the voting stock of such non-U.S. subsidiary).</w:t>
      </w:r>
    </w:p>
    <w:p>
      <w:pPr>
        <w:spacing w:after="0" w:line="122"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auto"/>
        </w:rPr>
        <w:t>The credit agreement contains customary affirmative covenants, negative covenants and events of default (including upon a change of control). The credit agreement also includes a “springing” first lien net leverage ratio test, applicable only to the revolving credit facility, that requires such ratio to be no greater than 7.75:1.00 on the last day of any fiscal quarter if more than 35.0% of the revolving credit facility is utilized on such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w:t>
      </w:r>
    </w:p>
    <w:p>
      <w:pPr>
        <w:spacing w:after="0" w:line="189" w:lineRule="exact"/>
        <w:rPr>
          <w:sz w:val="20"/>
          <w:szCs w:val="20"/>
          <w:color w:val="auto"/>
        </w:rPr>
      </w:pPr>
    </w:p>
    <w:p>
      <w:pPr>
        <w:ind w:right="580"/>
        <w:spacing w:after="0" w:line="324" w:lineRule="auto"/>
        <w:rPr>
          <w:sz w:val="20"/>
          <w:szCs w:val="20"/>
          <w:color w:val="auto"/>
        </w:rPr>
      </w:pPr>
      <w:r>
        <w:rPr>
          <w:rFonts w:ascii="Arial" w:cs="Arial" w:eastAsia="Arial" w:hAnsi="Arial"/>
          <w:sz w:val="17"/>
          <w:szCs w:val="17"/>
          <w:b w:val="1"/>
          <w:bCs w:val="1"/>
          <w:i w:val="1"/>
          <w:iCs w:val="1"/>
          <w:color w:val="auto"/>
        </w:rPr>
        <w:t>Comparison of Cash Flows for the nine months ended September 30, 2021 (Successor) compared to the Period from February 1, 2020 through September 30, 2020 (Successor) and for the Period from January 1, 2020 through January 31, 2020 (Predecessor)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cash flow activity for the periods presented: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0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7"/>
              </w:rPr>
              <w:t>Predecessor</w:t>
            </w:r>
          </w:p>
        </w:tc>
      </w:tr>
      <w:tr>
        <w:trPr>
          <w:trHeight w:val="179"/>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Arial" w:cs="Arial" w:eastAsia="Arial" w:hAnsi="Arial"/>
                <w:sz w:val="14"/>
                <w:szCs w:val="14"/>
                <w:b w:val="1"/>
                <w:bCs w:val="1"/>
                <w:color w:val="auto"/>
                <w:w w:val="94"/>
              </w:rPr>
              <w:t>Period from</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4"/>
              </w:rPr>
              <w:t>Period from</w:t>
            </w:r>
          </w:p>
        </w:tc>
      </w:tr>
      <w:tr>
        <w:trPr>
          <w:trHeight w:val="175"/>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241"/>
              <w:spacing w:after="0"/>
              <w:rPr>
                <w:sz w:val="20"/>
                <w:szCs w:val="20"/>
                <w:color w:val="auto"/>
              </w:rPr>
            </w:pPr>
            <w:r>
              <w:rPr>
                <w:rFonts w:ascii="Arial" w:cs="Arial" w:eastAsia="Arial" w:hAnsi="Arial"/>
                <w:sz w:val="14"/>
                <w:szCs w:val="14"/>
                <w:b w:val="1"/>
                <w:bCs w:val="1"/>
                <w:color w:val="auto"/>
                <w:w w:val="98"/>
              </w:rPr>
              <w:t>Nine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Arial" w:cs="Arial" w:eastAsia="Arial" w:hAnsi="Arial"/>
                <w:sz w:val="14"/>
                <w:szCs w:val="14"/>
                <w:b w:val="1"/>
                <w:bCs w:val="1"/>
                <w:color w:val="auto"/>
                <w:w w:val="95"/>
              </w:rPr>
              <w:t>February 1,</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5"/>
              </w:rPr>
              <w:t>January 1,</w:t>
            </w:r>
          </w:p>
        </w:tc>
      </w:tr>
      <w:tr>
        <w:trPr>
          <w:trHeight w:val="176"/>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241"/>
              <w:spacing w:after="0"/>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83"/>
              <w:spacing w:after="0"/>
              <w:rPr>
                <w:sz w:val="20"/>
                <w:szCs w:val="20"/>
                <w:color w:val="auto"/>
              </w:rPr>
            </w:pPr>
            <w:r>
              <w:rPr>
                <w:rFonts w:ascii="Arial" w:cs="Arial" w:eastAsia="Arial" w:hAnsi="Arial"/>
                <w:sz w:val="14"/>
                <w:szCs w:val="14"/>
                <w:b w:val="1"/>
                <w:bCs w:val="1"/>
                <w:color w:val="auto"/>
                <w:w w:val="89"/>
              </w:rPr>
              <w:t>2020</w:t>
            </w:r>
          </w:p>
        </w:tc>
      </w:tr>
      <w:tr>
        <w:trPr>
          <w:trHeight w:val="176"/>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261"/>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through</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4"/>
              </w:rPr>
              <w:t>through</w:t>
            </w:r>
          </w:p>
        </w:tc>
      </w:tr>
      <w:tr>
        <w:trPr>
          <w:trHeight w:val="175"/>
        </w:trPr>
        <w:tc>
          <w:tcPr>
            <w:tcW w:w="5240" w:type="dxa"/>
            <w:vAlign w:val="bottom"/>
          </w:tcPr>
          <w:p>
            <w:pPr>
              <w:spacing w:after="0"/>
              <w:rPr>
                <w:sz w:val="15"/>
                <w:szCs w:val="15"/>
                <w:color w:val="auto"/>
              </w:rPr>
            </w:pPr>
          </w:p>
        </w:tc>
        <w:tc>
          <w:tcPr>
            <w:tcW w:w="122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120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83"/>
              <w:spacing w:after="0"/>
              <w:rPr>
                <w:sz w:val="20"/>
                <w:szCs w:val="20"/>
                <w:color w:val="auto"/>
              </w:rPr>
            </w:pPr>
            <w:r>
              <w:rPr>
                <w:rFonts w:ascii="Arial" w:cs="Arial" w:eastAsia="Arial" w:hAnsi="Arial"/>
                <w:sz w:val="14"/>
                <w:szCs w:val="14"/>
                <w:b w:val="1"/>
                <w:bCs w:val="1"/>
                <w:color w:val="auto"/>
                <w:w w:val="93"/>
              </w:rPr>
              <w:t>January 31,</w:t>
            </w:r>
          </w:p>
        </w:tc>
      </w:tr>
      <w:tr>
        <w:trPr>
          <w:trHeight w:val="198"/>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9"/>
              </w:rPr>
              <w:t>2020</w:t>
            </w:r>
          </w:p>
        </w:tc>
      </w:tr>
      <w:tr>
        <w:trPr>
          <w:trHeight w:val="25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83,860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37,626</w:t>
            </w:r>
          </w:p>
        </w:tc>
        <w:tc>
          <w:tcPr>
            <w:tcW w:w="560" w:type="dxa"/>
            <w:vAlign w:val="bottom"/>
            <w:tcBorders>
              <w:right w:val="single" w:sz="8" w:color="auto"/>
            </w:tcBorders>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(19,216 )</w:t>
            </w:r>
          </w:p>
        </w:tc>
      </w:tr>
      <w:tr>
        <w:trPr>
          <w:trHeight w:val="250"/>
        </w:trPr>
        <w:tc>
          <w:tcPr>
            <w:tcW w:w="5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(24,992 )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(10,798 )</w:t>
            </w:r>
          </w:p>
        </w:tc>
        <w:tc>
          <w:tcPr>
            <w:tcW w:w="56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(2,043 )</w:t>
            </w:r>
          </w:p>
        </w:tc>
      </w:tr>
      <w:tr>
        <w:trPr>
          <w:trHeight w:val="26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64,372</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50,356</w:t>
            </w:r>
          </w:p>
        </w:tc>
        <w:tc>
          <w:tcPr>
            <w:tcW w:w="560" w:type="dxa"/>
            <w:vAlign w:val="bottom"/>
            <w:tcBorders>
              <w:right w:val="single" w:sz="8" w:color="auto"/>
            </w:tcBorders>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-1195070</wp:posOffset>
            </wp:positionV>
            <wp:extent cx="33655" cy="7194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7194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For the nine months ended September 30, 2021 (Successor), for the period from February 1, 2020 through September 30, 2020 (Successor), and for the period from January 1, 2020 through January 31, 2020 (Predecessor), net cash provided by (used in) operating activities was $83.9 million, $37.6 million, and $(19.2) million, respectively. The cash flows from operating activities for the period from February 1, 2020 through September 30, 2020 (Successor) and for the period from January 1, 2020 through January 31, 2020 (Predecessor) are impacted by $9.4 million and $22.4 million of transaction expenses from the Silver Lake Transaction, respectively. The remaining increase in cash flows from operating activities was driven primarily by increased profitability related to the Company’s revenue growth from existing customers, new customer go-lives and the UK Acquisition. This was offset in part by an increase in cash used for working capital primarily due to the high level of third quarter revenue growth acceleration that remained in receivables at September 30, 2021, consistent with normal payment terms offered to our customers.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For the nine months ended September 30, 2021 (Successor), for the period from February 1, 2020 through September 30, 2020 (Successor), and the period from January 1, 2020 through January 31, 2020 (Predecessor), net cash used in investing activities was $(25.0) million, $(10.8) million, and $(2.0) million, respectively. The cash flows used in investing activities for the nine months ended September 30, 2021 (Successor) were impacted by the $7.6 million UK Acquisition in March 2021. The remaining investing cash flows are driven primarily by capitalized software development costs and purchases of property and equipment, which increased in 2021 as we continue to make incremental investments in our technology platform.</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2021 (Successor), for the period from February 1, 2020 through September 30, 2020 (Successor), and the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January 1, 2020 through January 31, 2020 (Predecessor), net cash provided by (used in) financing activities was $64.4 million, $50.4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$(11.1) million, respectively. Net cash provided by financing activities for the nine months ended September 30, 2021 (Successor) was primarily driven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completion of its IPO on June 25, 2021. Cash inflows related to the IPO were $320.6 million, partially offset by the use of proceeds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consisted of a $200.0 million repayment of the Company’s Successor First Lien Credit Facility and $3.9 million of offering cost payments.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Net cash provided by financing activities for the nine months ended September 30, 2021 (Successor) was incrementally driven by the Company’s February 2021 debt refinancing which consisted of a refinancing of the Successor First Lien Credit Facility and the full repayment of the Successor Second Lien Credit Facility. Cash outflows related to this refinancing were $308.5 million, partially offset by cash inflows of $261.4 million. As part of the refinancing, the Company paid $1.3 million related to new debt issuance costs. The remaining outflows primarily consisted of amortizing principal payments due under the first lien term loan facility.</w:t>
      </w:r>
    </w:p>
    <w:p>
      <w:pPr>
        <w:spacing w:after="0" w:line="137"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Net cash provided by financing activities for the period from February 1, 2020 through September 30, 2020 (Successor) was driven by a $50.0 million strategic investment in the Company’s equity by Workday, Inc. and $9.4 million of capital contributions related to the transaction expenses from the Silver Lake Transaction. In March 2020, we made a $25.0 million precautionary draw on our revolving credit facility in light of the COVID-19 pandemic, which we fully repaid in June 2020. These inflows were primarily offset by debt issuance costs paid, principal payments on the Successor First Lien Facility, and distributions to Predecessor’s members and optionholders in connection with the Silver Lake Transaction.</w:t>
      </w:r>
    </w:p>
    <w:p>
      <w:pPr>
        <w:spacing w:after="0" w:line="12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Net cash used in financing activities for the period from January 1, 2020 through January 31, 2020 (Predecessor) were driven by a $34.0 million repayment of our previous credit facility in place at the time of the Silver Lake Transaction and distributions of $18.0 million to Predecessor’s members and optionholders in connection with the Silver Lake Transaction. These were partially offset by additional capital contributions of $41.1 million related to payment and settlement of existing options issued by Predecessor and transaction expenses from the Silver Lake Transaction.</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 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off-balance sheet arrangements as of September 30, 2021.</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9" w:name="page50"/>
    <w:bookmarkEnd w:id="49"/>
    <w:p>
      <w:pPr>
        <w:ind w:right="720"/>
        <w:spacing w:after="0" w:line="297" w:lineRule="auto"/>
        <w:rPr>
          <w:sz w:val="20"/>
          <w:szCs w:val="20"/>
          <w:color w:val="auto"/>
        </w:rPr>
      </w:pPr>
      <w:r>
        <w:rPr>
          <w:rFonts w:ascii="Arial" w:cs="Arial" w:eastAsia="Arial" w:hAnsi="Arial"/>
          <w:sz w:val="18"/>
          <w:szCs w:val="18"/>
          <w:b w:val="1"/>
          <w:bCs w:val="1"/>
          <w:color w:val="auto"/>
        </w:rPr>
        <w:t>Notes to the Unaudited Supplemental Pro Forma Financial Information Presented in Management's Discussion and Analysis of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&amp; Description of the Transactions</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unaudited pro forma consolidated statement of operations for the nine months ended September 30, 2020 gives effect to the Silver Lake Transaction and the Silver Lake Transaction Refinancing as if they had occurred on January 1, 2020. The unaudited pro forma condensed consolidated statement of operations for the nine months ended September 30, 2021 does not give effect to either the Silver Lake Transaction or the Silver Lake Transaction Refinancing as if they had occurred on January 1, 2020 because these events are already reflected for the full period presented in the historical statement of operations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Silver Lake Transaction and Silver Lake Transaction Refinancing</w:t>
      </w:r>
    </w:p>
    <w:p>
      <w:pPr>
        <w:spacing w:after="0" w:line="185" w:lineRule="exact"/>
        <w:rPr>
          <w:sz w:val="20"/>
          <w:szCs w:val="20"/>
          <w:color w:val="auto"/>
        </w:rPr>
      </w:pPr>
    </w:p>
    <w:p>
      <w:pPr>
        <w:ind w:right="280"/>
        <w:spacing w:after="0" w:line="303" w:lineRule="auto"/>
        <w:rPr>
          <w:sz w:val="20"/>
          <w:szCs w:val="20"/>
          <w:color w:val="auto"/>
        </w:rPr>
      </w:pPr>
      <w:r>
        <w:rPr>
          <w:rFonts w:ascii="Arial" w:cs="Arial" w:eastAsia="Arial" w:hAnsi="Arial"/>
          <w:sz w:val="17"/>
          <w:szCs w:val="17"/>
          <w:color w:val="auto"/>
        </w:rPr>
        <w:t xml:space="preserve">On January 31, 2020, Silver Lake acquired substantially all of the Company’s equity interests for approximately $1,576.0 million. A portion of the consideration was derived from members of the management team contributing an allocation of their Silver Lake Transaction proceeds. The Silver Lake Transaction was accounted for under the acquisition method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10"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allocation of the purchase price is based on the fair value of assets acquired and liabilities assumed as of the acquisition date, less transaction expenses funded by transaction proceeds. The following table summarizes the consideration paid and the amounts recognized for the assets acquired and liabilities assumed (in thousands):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257"/>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5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Cash, net of cash acquired</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1,556,810</w:t>
            </w:r>
          </w:p>
        </w:tc>
      </w:tr>
      <w:tr>
        <w:trPr>
          <w:trHeight w:val="257"/>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Rollover management equity interests</w:t>
            </w:r>
          </w:p>
        </w:tc>
        <w:tc>
          <w:tcPr>
            <w:tcW w:w="5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19,148</w:t>
            </w:r>
          </w:p>
        </w:tc>
      </w:tr>
      <w:tr>
        <w:trPr>
          <w:trHeight w:val="250"/>
        </w:trPr>
        <w:tc>
          <w:tcPr>
            <w:tcW w:w="7220" w:type="dxa"/>
            <w:vAlign w:val="bottom"/>
          </w:tcPr>
          <w:p>
            <w:pPr>
              <w:spacing w:after="0"/>
              <w:rPr>
                <w:sz w:val="20"/>
                <w:szCs w:val="20"/>
                <w:color w:val="auto"/>
              </w:rPr>
            </w:pPr>
            <w:r>
              <w:rPr>
                <w:rFonts w:ascii="Arial" w:cs="Arial" w:eastAsia="Arial" w:hAnsi="Arial"/>
                <w:sz w:val="18"/>
                <w:szCs w:val="18"/>
                <w:b w:val="1"/>
                <w:bCs w:val="1"/>
                <w:color w:val="auto"/>
              </w:rPr>
              <w:t>Total fair value of consideration transferred</w:t>
            </w: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1,575,958</w:t>
            </w:r>
          </w:p>
        </w:tc>
      </w:tr>
      <w:tr>
        <w:trPr>
          <w:trHeight w:val="257"/>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145,277</w:t>
            </w: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Property and equipment, including software developed for internal use</w:t>
            </w:r>
          </w:p>
        </w:tc>
        <w:tc>
          <w:tcPr>
            <w:tcW w:w="5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236,775</w:t>
            </w:r>
          </w:p>
        </w:tc>
      </w:tr>
      <w:tr>
        <w:trPr>
          <w:trHeight w:val="263"/>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5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95,000</w:t>
            </w: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Customer lists</w:t>
            </w:r>
          </w:p>
        </w:tc>
        <w:tc>
          <w:tcPr>
            <w:tcW w:w="5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500,000</w:t>
            </w:r>
          </w:p>
        </w:tc>
      </w:tr>
      <w:tr>
        <w:trPr>
          <w:trHeight w:val="263"/>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w:t>
            </w:r>
          </w:p>
        </w:tc>
        <w:tc>
          <w:tcPr>
            <w:tcW w:w="5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106,327</w:t>
            </w: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1,429</w:t>
            </w:r>
          </w:p>
        </w:tc>
      </w:tr>
      <w:tr>
        <w:trPr>
          <w:trHeight w:val="263"/>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(71,496 )</w:t>
            </w: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(198,535 )</w:t>
            </w:r>
          </w:p>
        </w:tc>
      </w:tr>
      <w:tr>
        <w:trPr>
          <w:trHeight w:val="257"/>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(6,616 )</w:t>
            </w:r>
          </w:p>
        </w:tc>
      </w:tr>
      <w:tr>
        <w:trPr>
          <w:trHeight w:val="250"/>
        </w:trPr>
        <w:tc>
          <w:tcPr>
            <w:tcW w:w="7220" w:type="dxa"/>
            <w:vAlign w:val="bottom"/>
          </w:tcPr>
          <w:p>
            <w:pPr>
              <w:spacing w:after="0"/>
              <w:rPr>
                <w:sz w:val="20"/>
                <w:szCs w:val="20"/>
                <w:color w:val="auto"/>
              </w:rPr>
            </w:pPr>
            <w:r>
              <w:rPr>
                <w:rFonts w:ascii="Arial" w:cs="Arial" w:eastAsia="Arial" w:hAnsi="Arial"/>
                <w:sz w:val="18"/>
                <w:szCs w:val="18"/>
                <w:b w:val="1"/>
                <w:bCs w:val="1"/>
                <w:color w:val="auto"/>
              </w:rPr>
              <w:t>Total identifiable net assets</w:t>
            </w: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808,161</w:t>
            </w:r>
          </w:p>
        </w:tc>
      </w:tr>
      <w:tr>
        <w:trPr>
          <w:trHeight w:val="290"/>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767,797</w:t>
            </w:r>
          </w:p>
        </w:tc>
      </w:tr>
    </w:tbl>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connection with the Silver Lake Transaction, on January 31, 2020, the existing credit facilities of the Predecessor were repaid in full with the proceeds of a new first lien term loan facility and a new second lien term loan facility. The first lien term loan facility provides financing in the form of a $670.0 million term loan due January 31, 2027, carrying an interest rate of 3.25% to 3.50%, based on the first lien leverage ratio, plus LIBOR and a $75.0 million new revolving facility due January 31, 2025. The first lien term loan facility requires mandatory quarterly repayments of 0.25% of the original loan balance commencing September 30, 2020. The second lien term loan facility provided financing in the form of a $145.0 million term loan due January 31, 2028, carrying an interest rate of 8.50% plus LIBOR.</w:t>
      </w:r>
    </w:p>
    <w:p>
      <w:pPr>
        <w:spacing w:after="0" w:line="137"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In February 2021, the Company refinanced the Successor First Lien Credit Facility term loan and fully repaid the outstanding balance on the Successor Second Lien Agreement term loan (the “2021 Debt Refinancing”). The effects of the 2021 Debt Refinancing are fully reflected in the historical statement of operations of the Company for the nine months ended September 30, 2021. Because the Company does not consider the effects of the 2021 Debt Refinancing to be material, no pro forma adjustments have been made to the unaudited pro forma statement of operations for the nine months ended September 30, 2020 to reflect the 2021 Debt Refinancing as if it had occurred on January 1, 2020.</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2. Notes to Unaudited Pro Forma Condensed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adjustments were made related to the unaudited pro forma condensed consolidated statement of operations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 Accounting Adjustments</w:t>
      </w:r>
    </w:p>
    <w:p>
      <w:pPr>
        <w:spacing w:after="0" w:line="185" w:lineRule="exact"/>
        <w:rPr>
          <w:sz w:val="20"/>
          <w:szCs w:val="20"/>
          <w:color w:val="auto"/>
        </w:rPr>
      </w:pPr>
    </w:p>
    <w:p>
      <w:pPr>
        <w:ind w:left="960" w:hanging="443"/>
        <w:spacing w:after="0" w:line="303"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Reflects the incremental amortization expense related to certain definite-lived intangible assets, reflected in the purchase price allocation at the date of the Silver Lake Transaction, as if those certain definite-lived intangible assets were put into place on January 1, 2020. The following table shows the pro forma adjustment to estimated amortization expense for the nine months ended September 30, 2020:</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235"/>
              <w:spacing w:after="0"/>
              <w:rPr>
                <w:sz w:val="20"/>
                <w:szCs w:val="20"/>
                <w:color w:val="auto"/>
              </w:rPr>
            </w:pPr>
            <w:r>
              <w:rPr>
                <w:rFonts w:ascii="Arial" w:cs="Arial" w:eastAsia="Arial" w:hAnsi="Arial"/>
                <w:sz w:val="14"/>
                <w:szCs w:val="14"/>
                <w:b w:val="1"/>
                <w:bCs w:val="1"/>
                <w:color w:val="auto"/>
                <w:w w:val="97"/>
              </w:rPr>
              <w:t>Estimated Fair</w:t>
            </w:r>
          </w:p>
        </w:tc>
        <w:tc>
          <w:tcPr>
            <w:tcW w:w="14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255"/>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Value at Acquisition</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4"/>
              </w:rPr>
              <w:t>September 30, 2020</w:t>
            </w:r>
          </w:p>
        </w:tc>
      </w:tr>
      <w:tr>
        <w:trPr>
          <w:trHeight w:val="25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for internal use</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220,000</w:t>
            </w:r>
          </w:p>
        </w:tc>
        <w:tc>
          <w:tcPr>
            <w:tcW w:w="11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43,101</w:t>
            </w:r>
          </w:p>
        </w:tc>
      </w:tr>
      <w:tr>
        <w:trPr>
          <w:trHeight w:val="250"/>
        </w:trPr>
        <w:tc>
          <w:tcPr>
            <w:tcW w:w="4480" w:type="dxa"/>
            <w:vAlign w:val="bottom"/>
          </w:tcPr>
          <w:p>
            <w:pPr>
              <w:spacing w:after="0"/>
              <w:rPr>
                <w:sz w:val="20"/>
                <w:szCs w:val="20"/>
                <w:color w:val="auto"/>
              </w:rPr>
            </w:pPr>
            <w:r>
              <w:rPr>
                <w:rFonts w:ascii="Arial" w:cs="Arial" w:eastAsia="Arial" w:hAnsi="Arial"/>
                <w:sz w:val="18"/>
                <w:szCs w:val="18"/>
                <w:color w:val="auto"/>
              </w:rPr>
              <w:t>Trade name</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95,000</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6,145</w:t>
            </w:r>
          </w:p>
        </w:tc>
      </w:tr>
      <w:tr>
        <w:trPr>
          <w:trHeight w:val="26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500,000</w:t>
            </w:r>
          </w:p>
        </w:tc>
        <w:tc>
          <w:tcPr>
            <w:tcW w:w="116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53,501</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Pro forma amortization expense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102,747</w:t>
            </w:r>
          </w:p>
        </w:tc>
      </w:tr>
      <w:tr>
        <w:trPr>
          <w:trHeight w:val="257"/>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historical amortization expense recorded</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(94,427 )</w:t>
            </w:r>
          </w:p>
        </w:tc>
      </w:tr>
      <w:tr>
        <w:trPr>
          <w:trHeight w:val="250"/>
        </w:trPr>
        <w:tc>
          <w:tcPr>
            <w:tcW w:w="4480" w:type="dxa"/>
            <w:vAlign w:val="bottom"/>
          </w:tcPr>
          <w:p>
            <w:pPr>
              <w:spacing w:after="0"/>
              <w:rPr>
                <w:sz w:val="20"/>
                <w:szCs w:val="20"/>
                <w:color w:val="auto"/>
              </w:rPr>
            </w:pPr>
            <w:r>
              <w:rPr>
                <w:rFonts w:ascii="Arial" w:cs="Arial" w:eastAsia="Arial" w:hAnsi="Arial"/>
                <w:sz w:val="18"/>
                <w:szCs w:val="18"/>
                <w:color w:val="auto"/>
              </w:rPr>
              <w:t>Pro forma adjustment for amortization expense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8,320</w:t>
            </w: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960" w:right="240" w:hanging="443"/>
        <w:spacing w:after="0" w:line="324"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the adjustment to remove Predecessor transaction expenses related to the Silver Lake Transaction which would have been incurred and recorded during the year ended December 31, 2019 if the Silver Lake Transaction had occurred on January 1, 2020.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 Refinancing Accounting Adjustments</w:t>
      </w:r>
    </w:p>
    <w:p>
      <w:pPr>
        <w:spacing w:after="0" w:line="185" w:lineRule="exact"/>
        <w:rPr>
          <w:sz w:val="20"/>
          <w:szCs w:val="20"/>
          <w:color w:val="auto"/>
        </w:rPr>
      </w:pPr>
    </w:p>
    <w:p>
      <w:pPr>
        <w:ind w:left="960" w:right="220" w:hanging="443"/>
        <w:spacing w:after="0" w:line="275"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adjustment to interest expense resulting from (i) the elimination of interest expense related to the debt financing in place during the Predecessor period, and (ii) the incremental interest expense and amortization of deferred financing costs associated with the Successor First Lien Credit Agreement and Successor Second Lien Credit Agreement to give effect to the Silver Lake Transaction Refinancing as if it had occurred on January 1, 2020, calculated as follows:</w:t>
      </w:r>
    </w:p>
    <w:p>
      <w:pPr>
        <w:spacing w:after="0" w:line="136" w:lineRule="exact"/>
        <w:rPr>
          <w:sz w:val="20"/>
          <w:szCs w:val="20"/>
          <w:color w:val="auto"/>
        </w:rPr>
      </w:pPr>
    </w:p>
    <w:tbl>
      <w:tblPr>
        <w:tblLayout w:type="fixed"/>
        <w:tblInd w:w="120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w w:val="93"/>
              </w:rPr>
              <w:t>Nine Months September 30,</w:t>
            </w:r>
          </w:p>
        </w:tc>
      </w:tr>
      <w:tr>
        <w:trPr>
          <w:trHeight w:val="192"/>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r>
      <w:tr>
        <w:trPr>
          <w:trHeight w:val="25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Successor First Lien Agreement</w:t>
            </w:r>
          </w:p>
        </w:tc>
        <w:tc>
          <w:tcPr>
            <w:tcW w:w="58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23,505</w:t>
            </w:r>
          </w:p>
        </w:tc>
      </w:tr>
      <w:tr>
        <w:trPr>
          <w:trHeight w:val="250"/>
        </w:trPr>
        <w:tc>
          <w:tcPr>
            <w:tcW w:w="6740" w:type="dxa"/>
            <w:vAlign w:val="bottom"/>
          </w:tcPr>
          <w:p>
            <w:pPr>
              <w:spacing w:after="0"/>
              <w:rPr>
                <w:sz w:val="20"/>
                <w:szCs w:val="20"/>
                <w:color w:val="auto"/>
              </w:rPr>
            </w:pPr>
            <w:r>
              <w:rPr>
                <w:rFonts w:ascii="Arial" w:cs="Arial" w:eastAsia="Arial" w:hAnsi="Arial"/>
                <w:sz w:val="18"/>
                <w:szCs w:val="18"/>
                <w:color w:val="auto"/>
              </w:rPr>
              <w:t>Interest Expense on Successor Second Lien Agreement</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10,526</w:t>
            </w:r>
          </w:p>
        </w:tc>
      </w:tr>
      <w:tr>
        <w:trPr>
          <w:trHeight w:val="257"/>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2,643</w:t>
            </w:r>
          </w:p>
        </w:tc>
      </w:tr>
      <w:tr>
        <w:trPr>
          <w:trHeight w:val="250"/>
        </w:trPr>
        <w:tc>
          <w:tcPr>
            <w:tcW w:w="6740" w:type="dxa"/>
            <w:vAlign w:val="bottom"/>
          </w:tcPr>
          <w:p>
            <w:pPr>
              <w:spacing w:after="0"/>
              <w:rPr>
                <w:sz w:val="20"/>
                <w:szCs w:val="20"/>
                <w:color w:val="auto"/>
              </w:rPr>
            </w:pPr>
            <w:r>
              <w:rPr>
                <w:rFonts w:ascii="Arial" w:cs="Arial" w:eastAsia="Arial" w:hAnsi="Arial"/>
                <w:sz w:val="18"/>
                <w:szCs w:val="18"/>
                <w:color w:val="auto"/>
              </w:rPr>
              <w:t>Pro forma interest expense</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36,674</w:t>
            </w:r>
          </w:p>
        </w:tc>
      </w:tr>
      <w:tr>
        <w:trPr>
          <w:trHeight w:val="257"/>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historical interest expense recorded</w:t>
            </w:r>
          </w:p>
        </w:tc>
        <w:tc>
          <w:tcPr>
            <w:tcW w:w="1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(37,902 )</w:t>
            </w:r>
          </w:p>
        </w:tc>
      </w:tr>
      <w:tr>
        <w:trPr>
          <w:trHeight w:val="250"/>
        </w:trPr>
        <w:tc>
          <w:tcPr>
            <w:tcW w:w="6740" w:type="dxa"/>
            <w:vAlign w:val="bottom"/>
          </w:tcPr>
          <w:p>
            <w:pPr>
              <w:spacing w:after="0"/>
              <w:rPr>
                <w:sz w:val="20"/>
                <w:szCs w:val="20"/>
                <w:color w:val="auto"/>
              </w:rPr>
            </w:pPr>
            <w:r>
              <w:rPr>
                <w:rFonts w:ascii="Arial" w:cs="Arial" w:eastAsia="Arial" w:hAnsi="Arial"/>
                <w:sz w:val="18"/>
                <w:szCs w:val="18"/>
                <w:color w:val="auto"/>
              </w:rPr>
              <w:t>Pro forma adjustment for interest expense</w:t>
            </w:r>
          </w:p>
        </w:tc>
        <w:tc>
          <w:tcPr>
            <w:tcW w:w="5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(1,228 )</w:t>
            </w: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1020" w:right="200"/>
        <w:spacing w:after="0" w:line="279" w:lineRule="auto"/>
        <w:rPr>
          <w:sz w:val="20"/>
          <w:szCs w:val="20"/>
          <w:color w:val="auto"/>
        </w:rPr>
      </w:pPr>
      <w:r>
        <w:rPr>
          <w:rFonts w:ascii="Arial" w:cs="Arial" w:eastAsia="Arial" w:hAnsi="Arial"/>
          <w:sz w:val="18"/>
          <w:szCs w:val="18"/>
          <w:color w:val="auto"/>
        </w:rPr>
        <w:t>No adjustment has been made to the unaudited pro forma statement of operations for the nine months ended September 30, 2020 to reflect changes in interest expense as a result of the 2021 Debt Refinancing because the Company does not consider the 2021 Debt Refinancing to be material.</w:t>
      </w:r>
    </w:p>
    <w:p>
      <w:pPr>
        <w:spacing w:after="0" w:line="129" w:lineRule="exact"/>
        <w:rPr>
          <w:sz w:val="20"/>
          <w:szCs w:val="20"/>
          <w:color w:val="auto"/>
        </w:rPr>
      </w:pPr>
    </w:p>
    <w:p>
      <w:pPr>
        <w:ind w:left="960" w:right="80" w:hanging="443"/>
        <w:spacing w:after="0" w:line="27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an adjustment to the historical loss on extinguishment of Predecessor debt for the unaudited pro forma condensed consolidated statements of operations for the nine months ended September 30, 2020 as if the Silver Lake Transaction Refinancing had been consummated on January 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Transactions Accounting Adjustments</w:t>
      </w:r>
    </w:p>
    <w:p>
      <w:pPr>
        <w:spacing w:after="0" w:line="185" w:lineRule="exact"/>
        <w:rPr>
          <w:sz w:val="20"/>
          <w:szCs w:val="20"/>
          <w:color w:val="auto"/>
        </w:rPr>
      </w:pPr>
    </w:p>
    <w:p>
      <w:pPr>
        <w:ind w:left="960" w:right="700" w:hanging="443"/>
        <w:spacing w:after="0" w:line="29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the adjustment to the provision for income taxes attributable to the tax impacts of the preceding Silver Lake Transaction and Refinancing Accounting Adjustments, assuming an effective tax rate of 25.7%.</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As of September 30, 2021, no material change had occurred in our market risks, compared with the disclosure in our Registration Statement on Form S-1, originally filed with the SEC on May 28, 2021, as amended (Reg. No. 333-256622).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8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During the quarter covered by this report, there were no changes in our internal control over financial reporting that materially affected, or are reasonably likely to materially affect, our internal control over financial reporting.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Information in response to this Item is included in “Part I — Item 1. — Note 12 — Commitments and Contingencies” and is incorporated by reference into Part II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As of September 30, 2021, no material changes had occurred in our risk factors, compared with the disclosure in our Registration Statement on Form S-1, originally filed with the SEC on May 28, 2021, as amended (Reg. No. 333-256622).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("IPO")</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On June 25, 2021, we completed our IPO, in which we issued and sold 22,856,250 shares of our common stock, including 2,981,250 shares sold in connection with the exercise of the underwriters’ option to purchase additional shares, at a price to the public of $15.00 per share. We raised net proceeds to us of $316.5 million, after deducting the underwriting discount of $22.3 million and offering expenses of $4.0 million. Additionally, certain existing stockholders sold an aggregate of 6,468,750 shares, including 843,750 shares sold in connection with the exercise of the underwriters' option to purchase additional shares, at the same price, resulting in net proceeds to the selling stockholders of $90.7 million. All shares sold were registered pursuant to a registration statement on Form S-1 (File No. 333-256622), as amended (the “Registration Statement”), declared effective by the SEC on June 22, 2021. Barclays Capital Inc., BofA Securities Inc., and J.P. Morgan Securities LLC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137"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The Company used the net proceeds from the IPO to prepay $200.0 million in aggregate principal amount of the outstanding indebtedness under its first-lien term loan facility and intends to use the balance for general corporate purposes. There has been no material change in the expected use of the net proceeds from our initial public offering as described in our prospectus for the IPO.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Furnish the exhibits required by Item 601 of Regulation S-K (§ 229.601 of this chapter).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80" w:type="dxa"/>
            <w:vAlign w:val="bottom"/>
            <w:tcBorders>
              <w:bottom w:val="single" w:sz="8" w:color="auto"/>
            </w:tcBorders>
            <w:gridSpan w:val="7"/>
          </w:tcPr>
          <w:p>
            <w:pPr>
              <w:ind w:left="1580"/>
              <w:spacing w:after="0"/>
              <w:rPr>
                <w:sz w:val="20"/>
                <w:szCs w:val="20"/>
                <w:color w:val="auto"/>
              </w:rPr>
            </w:pPr>
            <w:r>
              <w:rPr>
                <w:rFonts w:ascii="Arial" w:cs="Arial" w:eastAsia="Arial" w:hAnsi="Arial"/>
                <w:sz w:val="16"/>
                <w:szCs w:val="16"/>
                <w:b w:val="1"/>
                <w:bCs w:val="1"/>
                <w:color w:val="auto"/>
              </w:rPr>
              <w:t>Description</w:t>
            </w:r>
          </w:p>
        </w:tc>
      </w:tr>
      <w:tr>
        <w:trPr>
          <w:trHeight w:val="158"/>
        </w:trPr>
        <w:tc>
          <w:tcPr>
            <w:tcW w:w="920" w:type="dxa"/>
            <w:vAlign w:val="bottom"/>
          </w:tcPr>
          <w:p>
            <w:pPr>
              <w:ind w:left="20"/>
              <w:spacing w:after="0" w:line="158"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bottom w:val="single" w:sz="8" w:color="0000FF"/>
            </w:tcBorders>
            <w:gridSpan w:val="6"/>
          </w:tcPr>
          <w:p>
            <w:pPr>
              <w:spacing w:after="0" w:line="158" w:lineRule="exact"/>
              <w:rPr>
                <w:rFonts w:ascii="Arial" w:cs="Arial" w:eastAsia="Arial" w:hAnsi="Arial"/>
                <w:sz w:val="16"/>
                <w:szCs w:val="16"/>
                <w:color w:val="0000FF"/>
                <w:w w:val="93"/>
              </w:rPr>
            </w:pPr>
            <w:hyperlink r:id="rId278">
              <w:r>
                <w:rPr>
                  <w:rFonts w:ascii="Arial" w:cs="Arial" w:eastAsia="Arial" w:hAnsi="Arial"/>
                  <w:sz w:val="16"/>
                  <w:szCs w:val="16"/>
                  <w:color w:val="0000FF"/>
                  <w:w w:val="93"/>
                </w:rPr>
                <w:t>Amended and Restated Certificate of Incorporation of First Advantage Corporation (incorporated herein by reference to Exhibit 3.1 of First Advantage’s</w:t>
              </w:r>
            </w:hyperlink>
          </w:p>
        </w:tc>
        <w:tc>
          <w:tcPr>
            <w:tcW w:w="260" w:type="dxa"/>
            <w:vAlign w:val="bottom"/>
            <w:gridSpan w:val="4"/>
          </w:tcPr>
          <w:p>
            <w:pPr>
              <w:spacing w:after="0"/>
              <w:rPr>
                <w:sz w:val="13"/>
                <w:szCs w:val="13"/>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278">
              <w:r>
                <w:rPr>
                  <w:rFonts w:ascii="Arial" w:cs="Arial" w:eastAsia="Arial" w:hAnsi="Arial"/>
                  <w:sz w:val="16"/>
                  <w:szCs w:val="16"/>
                  <w:color w:val="0000FF"/>
                  <w:w w:val="92"/>
                </w:rPr>
                <w:t>Form 8-K filed on June 25, 2021).</w:t>
              </w:r>
            </w:hyperlink>
          </w:p>
        </w:tc>
        <w:tc>
          <w:tcPr>
            <w:tcW w:w="7980" w:type="dxa"/>
            <w:vAlign w:val="bottom"/>
            <w:gridSpan w:val="8"/>
          </w:tcPr>
          <w:p>
            <w:pPr>
              <w:spacing w:after="0"/>
              <w:rPr>
                <w:sz w:val="15"/>
                <w:szCs w:val="15"/>
                <w:color w:val="auto"/>
              </w:rPr>
            </w:pPr>
          </w:p>
        </w:tc>
      </w:tr>
      <w:tr>
        <w:trPr>
          <w:trHeight w:val="196"/>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9"/>
          </w:tcPr>
          <w:p>
            <w:pPr>
              <w:spacing w:after="0"/>
              <w:rPr>
                <w:rFonts w:ascii="Arial" w:cs="Arial" w:eastAsia="Arial" w:hAnsi="Arial"/>
                <w:sz w:val="16"/>
                <w:szCs w:val="16"/>
                <w:color w:val="0000FF"/>
                <w:w w:val="92"/>
              </w:rPr>
            </w:pPr>
            <w:hyperlink r:id="rId279">
              <w:r>
                <w:rPr>
                  <w:rFonts w:ascii="Arial" w:cs="Arial" w:eastAsia="Arial" w:hAnsi="Arial"/>
                  <w:sz w:val="16"/>
                  <w:szCs w:val="16"/>
                  <w:color w:val="0000FF"/>
                  <w:w w:val="92"/>
                </w:rPr>
                <w:t>Amended and Restated Bylaws of First Advantage Corporation (incorporated herein by reference to Exhibit 3.2 of First Advantage’s Form 8-K filed on June</w:t>
              </w:r>
            </w:hyperlink>
          </w:p>
        </w:tc>
        <w:tc>
          <w:tcPr>
            <w:tcW w:w="20" w:type="dxa"/>
            <w:vAlign w:val="bottom"/>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800" w:type="dxa"/>
            <w:vAlign w:val="bottom"/>
            <w:gridSpan w:val="3"/>
          </w:tcPr>
          <w:p>
            <w:pPr>
              <w:ind w:left="120"/>
              <w:spacing w:after="0" w:line="183" w:lineRule="exact"/>
              <w:rPr>
                <w:rFonts w:ascii="Arial" w:cs="Arial" w:eastAsia="Arial" w:hAnsi="Arial"/>
                <w:sz w:val="16"/>
                <w:szCs w:val="16"/>
                <w:color w:val="0000FF"/>
                <w:w w:val="88"/>
              </w:rPr>
            </w:pPr>
            <w:hyperlink r:id="rId279">
              <w:r>
                <w:rPr>
                  <w:rFonts w:ascii="Arial" w:cs="Arial" w:eastAsia="Arial" w:hAnsi="Arial"/>
                  <w:sz w:val="16"/>
                  <w:szCs w:val="16"/>
                  <w:color w:val="0000FF"/>
                  <w:w w:val="88"/>
                </w:rPr>
                <w:t>25, 2021).</w:t>
              </w:r>
            </w:hyperlink>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8"/>
          </w:tcPr>
          <w:p>
            <w:pPr>
              <w:spacing w:after="0"/>
              <w:rPr>
                <w:rFonts w:ascii="Arial" w:cs="Arial" w:eastAsia="Arial" w:hAnsi="Arial"/>
                <w:sz w:val="16"/>
                <w:szCs w:val="16"/>
                <w:color w:val="0000FF"/>
                <w:w w:val="92"/>
              </w:rPr>
            </w:pPr>
            <w:hyperlink w:anchor="page56">
              <w:r>
                <w:rPr>
                  <w:rFonts w:ascii="Arial" w:cs="Arial" w:eastAsia="Arial" w:hAnsi="Arial"/>
                  <w:sz w:val="16"/>
                  <w:szCs w:val="16"/>
                  <w:color w:val="0000FF"/>
                  <w:w w:val="92"/>
                </w:rPr>
                <w:t>Certification of Principal Executive Officer Pursuant to Rules 13a-14(a) and 15d-14(a) under the Securities Exchange Act of 1934, as Adopted Pursuant to</w:t>
              </w:r>
            </w:hyperlink>
          </w:p>
        </w:tc>
        <w:tc>
          <w:tcPr>
            <w:tcW w:w="140" w:type="dxa"/>
            <w:vAlign w:val="bottom"/>
            <w:gridSpan w:val="2"/>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0"/>
          </w:tcPr>
          <w:p>
            <w:pPr>
              <w:spacing w:after="0" w:line="183" w:lineRule="exact"/>
              <w:rPr>
                <w:rFonts w:ascii="Arial" w:cs="Arial" w:eastAsia="Arial" w:hAnsi="Arial"/>
                <w:sz w:val="16"/>
                <w:szCs w:val="16"/>
                <w:color w:val="0000FF"/>
              </w:rPr>
            </w:pPr>
            <w:hyperlink w:anchor="page56">
              <w:r>
                <w:rPr>
                  <w:rFonts w:ascii="Arial" w:cs="Arial" w:eastAsia="Arial" w:hAnsi="Arial"/>
                  <w:sz w:val="16"/>
                  <w:szCs w:val="16"/>
                  <w:color w:val="0000FF"/>
                </w:rPr>
                <w:t>Section 302 of the Sarbanes-Oxley Act of 2002.</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3"/>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57">
              <w:r>
                <w:rPr>
                  <w:rFonts w:ascii="Arial" w:cs="Arial" w:eastAsia="Arial" w:hAnsi="Arial"/>
                  <w:sz w:val="16"/>
                  <w:szCs w:val="16"/>
                  <w:color w:val="0000FF"/>
                  <w:w w:val="92"/>
                </w:rPr>
                <w:t>Certification of Principal Financial Officer Pursuant to Rules 13a-14(a) and 15d-14(a) under the Securities Exchange Act of 1934, as Adopted Pursuant to</w:t>
              </w:r>
            </w:hyperlink>
          </w:p>
        </w:tc>
        <w:tc>
          <w:tcPr>
            <w:tcW w:w="180" w:type="dxa"/>
            <w:vAlign w:val="bottom"/>
            <w:gridSpan w:val="3"/>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0"/>
          </w:tcPr>
          <w:p>
            <w:pPr>
              <w:spacing w:after="0" w:line="183" w:lineRule="exact"/>
              <w:rPr>
                <w:rFonts w:ascii="Arial" w:cs="Arial" w:eastAsia="Arial" w:hAnsi="Arial"/>
                <w:sz w:val="16"/>
                <w:szCs w:val="16"/>
                <w:color w:val="0000FF"/>
              </w:rPr>
            </w:pPr>
            <w:hyperlink w:anchor="page57">
              <w:r>
                <w:rPr>
                  <w:rFonts w:ascii="Arial" w:cs="Arial" w:eastAsia="Arial" w:hAnsi="Arial"/>
                  <w:sz w:val="16"/>
                  <w:szCs w:val="16"/>
                  <w:color w:val="0000FF"/>
                </w:rPr>
                <w:t>Section 302 of the Sarbanes-Oxley Act of 2002.</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3"/>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58">
              <w:r>
                <w:rPr>
                  <w:rFonts w:ascii="Arial" w:cs="Arial" w:eastAsia="Arial" w:hAnsi="Arial"/>
                  <w:sz w:val="16"/>
                  <w:szCs w:val="16"/>
                  <w:color w:val="0000FF"/>
                  <w:w w:val="92"/>
                </w:rPr>
                <w:t>Certification of Principal Executive Officer Pursuant to 18 U.S.C. Section 1350, as Adopted Pursuant to Section 906 of the Sarbanes-Oxley Act of 2002.</w:t>
              </w:r>
            </w:hyperlink>
          </w:p>
        </w:tc>
        <w:tc>
          <w:tcPr>
            <w:tcW w:w="300" w:type="dxa"/>
            <w:vAlign w:val="bottom"/>
            <w:gridSpan w:val="5"/>
          </w:tcPr>
          <w:p>
            <w:pPr>
              <w:spacing w:after="0"/>
              <w:rPr>
                <w:sz w:val="17"/>
                <w:szCs w:val="17"/>
                <w:color w:val="auto"/>
              </w:rPr>
            </w:pPr>
          </w:p>
        </w:tc>
      </w:tr>
      <w:tr>
        <w:trPr>
          <w:trHeight w:val="196"/>
        </w:trPr>
        <w:tc>
          <w:tcPr>
            <w:tcW w:w="92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0"/>
          </w:tcPr>
          <w:p>
            <w:pPr>
              <w:spacing w:after="0"/>
              <w:rPr>
                <w:rFonts w:ascii="Arial" w:cs="Arial" w:eastAsia="Arial" w:hAnsi="Arial"/>
                <w:sz w:val="16"/>
                <w:szCs w:val="16"/>
                <w:color w:val="0000FF"/>
                <w:w w:val="95"/>
              </w:rPr>
            </w:pPr>
            <w:hyperlink w:anchor="page59">
              <w:r>
                <w:rPr>
                  <w:rFonts w:ascii="Arial" w:cs="Arial" w:eastAsia="Arial" w:hAnsi="Arial"/>
                  <w:sz w:val="16"/>
                  <w:szCs w:val="16"/>
                  <w:color w:val="0000FF"/>
                  <w:w w:val="95"/>
                </w:rPr>
                <w:t>Certification of Principal Financial Officer Pursuant to 18 U.S.C. Section 1350, as Adopted Pursuant to Section 906 of the Sarbanes-Oxley Act of 2002.</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6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r>
      <w:tr>
        <w:trPr>
          <w:trHeight w:val="227"/>
        </w:trPr>
        <w:tc>
          <w:tcPr>
            <w:tcW w:w="920" w:type="dxa"/>
            <w:vAlign w:val="bottom"/>
          </w:tcPr>
          <w:p>
            <w:pPr>
              <w:ind w:left="2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0"/>
          </w:tcPr>
          <w:p>
            <w:pPr>
              <w:spacing w:after="0"/>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XBRL tags are embedded within the Inline</w:t>
            </w:r>
          </w:p>
        </w:tc>
      </w:tr>
      <w:tr>
        <w:trPr>
          <w:trHeight w:val="20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0"/>
          </w:tcPr>
          <w:p>
            <w:pPr>
              <w:spacing w:after="0"/>
              <w:rPr>
                <w:sz w:val="20"/>
                <w:szCs w:val="20"/>
                <w:color w:val="auto"/>
              </w:rPr>
            </w:pPr>
            <w:r>
              <w:rPr>
                <w:rFonts w:ascii="Arial" w:cs="Arial" w:eastAsia="Arial" w:hAnsi="Arial"/>
                <w:sz w:val="16"/>
                <w:szCs w:val="16"/>
                <w:color w:val="auto"/>
              </w:rPr>
              <w:t>XBRL document.</w:t>
            </w:r>
          </w:p>
        </w:tc>
      </w:tr>
      <w:tr>
        <w:trPr>
          <w:trHeight w:val="216"/>
        </w:trPr>
        <w:tc>
          <w:tcPr>
            <w:tcW w:w="920" w:type="dxa"/>
            <w:vAlign w:val="bottom"/>
          </w:tcPr>
          <w:p>
            <w:pPr>
              <w:ind w:left="2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920" w:type="dxa"/>
            <w:vAlign w:val="bottom"/>
          </w:tcPr>
          <w:p>
            <w:pPr>
              <w:ind w:left="2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920" w:type="dxa"/>
            <w:vAlign w:val="bottom"/>
          </w:tcPr>
          <w:p>
            <w:pPr>
              <w:ind w:left="2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920" w:type="dxa"/>
            <w:vAlign w:val="bottom"/>
          </w:tcPr>
          <w:p>
            <w:pPr>
              <w:ind w:left="2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920" w:type="dxa"/>
            <w:vAlign w:val="bottom"/>
          </w:tcPr>
          <w:p>
            <w:pPr>
              <w:ind w:left="2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0" w:lineRule="exact"/>
        <w:rPr>
          <w:sz w:val="20"/>
          <w:szCs w:val="20"/>
          <w:color w:val="auto"/>
        </w:rPr>
      </w:pPr>
    </w:p>
    <w:p>
      <w:pPr>
        <w:ind w:left="1040" w:hanging="1019"/>
        <w:spacing w:after="0"/>
        <w:tabs>
          <w:tab w:leader="none" w:pos="10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9512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FIRST ADVANTAGE CORPORATION</w:t>
      </w:r>
    </w:p>
    <w:p>
      <w:pPr>
        <w:spacing w:after="0" w:line="279"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Scott Staples</w:t>
      </w:r>
    </w:p>
    <w:p>
      <w:pPr>
        <w:spacing w:after="0" w:line="3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78"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9"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spacing w:after="0" w:line="50" w:lineRule="exact"/>
        <w:rPr>
          <w:sz w:val="20"/>
          <w:szCs w:val="20"/>
          <w:color w:val="auto"/>
        </w:rPr>
      </w:pPr>
    </w:p>
    <w:p>
      <w:pPr>
        <w:ind w:left="6700"/>
        <w:spacing w:after="0"/>
        <w:rPr>
          <w:sz w:val="20"/>
          <w:szCs w:val="20"/>
          <w:color w:val="auto"/>
        </w:rPr>
      </w:pPr>
      <w:r>
        <w:rPr>
          <w:rFonts w:ascii="Arial" w:cs="Arial" w:eastAsia="Arial" w:hAnsi="Arial"/>
          <w:sz w:val="17"/>
          <w:szCs w:val="17"/>
          <w:b w:val="1"/>
          <w:bCs w:val="1"/>
          <w:color w:val="auto"/>
        </w:rPr>
        <w:t>Executive Vice President &amp; Chief Financial Officer</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(principal financial officer and principal accounting officer)</w:t>
      </w:r>
    </w:p>
    <w:p>
      <w:pPr>
        <w:spacing w:after="0" w:line="2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Scott Staples, certify that:</w:t>
      </w:r>
    </w:p>
    <w:p>
      <w:pPr>
        <w:spacing w:after="0" w:line="360" w:lineRule="exact"/>
        <w:rPr>
          <w:sz w:val="20"/>
          <w:szCs w:val="20"/>
          <w:color w:val="auto"/>
        </w:rPr>
      </w:pPr>
    </w:p>
    <w:p>
      <w:pPr>
        <w:ind w:left="960" w:hanging="44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Advantage Corporation;</w:t>
      </w:r>
    </w:p>
    <w:p>
      <w:pPr>
        <w:spacing w:after="0" w:line="130"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960" w:hanging="443"/>
        <w:spacing w:after="0" w:line="29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Arial" w:cs="Arial" w:eastAsia="Arial" w:hAnsi="Arial"/>
          <w:sz w:val="18"/>
          <w:szCs w:val="18"/>
          <w:color w:val="auto"/>
        </w:rPr>
      </w:pPr>
    </w:p>
    <w:p>
      <w:pPr>
        <w:ind w:left="1460" w:right="180" w:hanging="434"/>
        <w:spacing w:after="0" w:line="303" w:lineRule="auto"/>
        <w:tabs>
          <w:tab w:leader="none" w:pos="14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460" w:hanging="434"/>
        <w:spacing w:after="0"/>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jc w:val="both"/>
        <w:ind w:left="1460" w:right="40" w:hanging="434"/>
        <w:spacing w:after="0" w:line="359"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460" w:right="40" w:hanging="434"/>
        <w:spacing w:after="0" w:line="279"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960" w:right="160" w:hanging="443"/>
        <w:spacing w:after="0" w:line="359"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460" w:right="280" w:hanging="434"/>
        <w:spacing w:after="0" w:line="359"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460" w:right="580" w:hanging="434"/>
        <w:spacing w:after="0" w:line="293"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Scott Staples</w:t>
      </w:r>
    </w:p>
    <w:p>
      <w:pPr>
        <w:spacing w:after="0" w:line="3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David L. Gamsey, certify that:</w:t>
      </w:r>
    </w:p>
    <w:p>
      <w:pPr>
        <w:spacing w:after="0" w:line="360" w:lineRule="exact"/>
        <w:rPr>
          <w:sz w:val="20"/>
          <w:szCs w:val="20"/>
          <w:color w:val="auto"/>
        </w:rPr>
      </w:pPr>
    </w:p>
    <w:p>
      <w:pPr>
        <w:ind w:left="960" w:hanging="44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Advantage Corporation;</w:t>
      </w:r>
    </w:p>
    <w:p>
      <w:pPr>
        <w:spacing w:after="0" w:line="130"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960" w:hanging="443"/>
        <w:spacing w:after="0" w:line="29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Arial" w:cs="Arial" w:eastAsia="Arial" w:hAnsi="Arial"/>
          <w:sz w:val="18"/>
          <w:szCs w:val="18"/>
          <w:color w:val="auto"/>
        </w:rPr>
      </w:pPr>
    </w:p>
    <w:p>
      <w:pPr>
        <w:ind w:left="1460" w:right="180" w:hanging="434"/>
        <w:spacing w:after="0" w:line="303" w:lineRule="auto"/>
        <w:tabs>
          <w:tab w:leader="none" w:pos="14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460" w:hanging="434"/>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jc w:val="both"/>
        <w:ind w:left="1460" w:right="40" w:hanging="434"/>
        <w:spacing w:after="0" w:line="359" w:lineRule="auto"/>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460" w:right="40" w:hanging="434"/>
        <w:spacing w:after="0" w:line="279"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960" w:right="160" w:hanging="443"/>
        <w:spacing w:after="0" w:line="359"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460" w:right="280" w:hanging="434"/>
        <w:spacing w:after="0" w:line="359" w:lineRule="auto"/>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460" w:right="580" w:hanging="434"/>
        <w:spacing w:after="0" w:line="293"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9"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spacing w:after="0" w:line="50"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Executive Vice President &amp; Chief Financial Officer</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connection with the Quarterly Report on Form 10-Q of First Advantage Corporation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304" w:lineRule="exact"/>
        <w:rPr>
          <w:sz w:val="20"/>
          <w:szCs w:val="20"/>
          <w:color w:val="auto"/>
        </w:rPr>
      </w:pPr>
    </w:p>
    <w:p>
      <w:pPr>
        <w:ind w:left="960" w:hanging="44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Scott Staples</w:t>
      </w:r>
    </w:p>
    <w:p>
      <w:pPr>
        <w:spacing w:after="0" w:line="3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connection with the Quarterly Report on Form 10-Q of First Advantage Corporation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304" w:lineRule="exact"/>
        <w:rPr>
          <w:sz w:val="20"/>
          <w:szCs w:val="20"/>
          <w:color w:val="auto"/>
        </w:rPr>
      </w:pPr>
    </w:p>
    <w:p>
      <w:pPr>
        <w:ind w:left="960" w:hanging="44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9"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spacing w:after="0" w:line="50"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Executive Vice President &amp; Chief Financial Officer</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emdash "/>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3"/>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lowerLetter"/>
      <w:start w:val="5"/>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78" Type="http://schemas.openxmlformats.org/officeDocument/2006/relationships/hyperlink" Target="https://www.sec.gov/Archives/edgar/data/1210677/000119312521200542/d12470dex31.htm" TargetMode="External"/><Relationship Id="rId279" Type="http://schemas.openxmlformats.org/officeDocument/2006/relationships/hyperlink" Target="https://www.sec.gov/Archives/edgar/data/1210677/000119312521200542/d1247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2021-11-08T15:17:29Z</dcterms:created>
  <dcterms:modified xsi:type="dcterms:W3CDTF">2021-11-08T15:17:29Z</dcterms:modified>
</cp:coreProperties>
</file>