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50930.htm"/>
      <w:bookmarkStart w:id="1" w:name="ksfa202509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I dia</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001-31666</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 Concourse Parkway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868-4151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October 31, 2025, the registrant had 174,114,958</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563C1"/>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hanges_in_stockholders_eq">
              <w:r>
                <w:rPr>
                  <w:rStyle w:val="InternetLink"/>
                  <w:rFonts w:ascii="Times New Roman" w:hAnsi="Times New Roman"/>
                  <w:color w:val="0563C1"/>
                  <w:sz w:val="20"/>
                  <w:u w:val="single"/>
                </w:rPr>
                <w:t>Condensed Consolidated Statements of Changes in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3"/>
        <w:gridCol w:w="146"/>
        <w:gridCol w:w="236"/>
        <w:gridCol w:w="1042"/>
        <w:gridCol w:w="166"/>
        <w:gridCol w:w="146"/>
        <w:gridCol w:w="233"/>
        <w:gridCol w:w="1030"/>
        <w:gridCol w:w="613"/>
      </w:tblGrid>
      <w:tr>
        <w:trPr/>
        <w:tc>
          <w:tcPr>
            <w:tcW w:w="6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$8,108 and $3,832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475,993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2,124,528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3,922,893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deferred financing costs of $36,428 and $41,861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2,615,854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174,035,826 and 173,171,145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3,922,893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4"/>
        <w:gridCol w:w="546"/>
        <w:gridCol w:w="211"/>
        <w:gridCol w:w="1141"/>
        <w:gridCol w:w="166"/>
        <w:gridCol w:w="146"/>
        <w:gridCol w:w="211"/>
        <w:gridCol w:w="1141"/>
        <w:gridCol w:w="546"/>
        <w:gridCol w:w="546"/>
        <w:gridCol w:w="211"/>
        <w:gridCol w:w="1141"/>
        <w:gridCol w:w="166"/>
        <w:gridCol w:w="146"/>
        <w:gridCol w:w="211"/>
        <w:gridCol w:w="1141"/>
        <w:gridCol w:w="591"/>
      </w:tblGrid>
      <w:tr>
        <w:trPr/>
        <w:tc>
          <w:tcPr>
            <w:tcW w:w="19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173,561,778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144,096,312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143,851,357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144,096,312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143,851,357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152" w:type="dxa"/>
        <w:jc w:val="left"/>
        <w:tblInd w:w="0" w:type="dxa"/>
        <w:tblLayout w:type="fixed"/>
        <w:tblCellMar>
          <w:top w:w="28" w:type="dxa"/>
          <w:left w:w="28" w:type="dxa"/>
          <w:bottom w:w="28" w:type="dxa"/>
          <w:right w:w="28" w:type="dxa"/>
        </w:tblCellMar>
      </w:tblPr>
      <w:tblGrid>
        <w:gridCol w:w="6801"/>
        <w:gridCol w:w="146"/>
        <w:gridCol w:w="238"/>
        <w:gridCol w:w="883"/>
        <w:gridCol w:w="187"/>
        <w:gridCol w:w="165"/>
        <w:gridCol w:w="238"/>
        <w:gridCol w:w="883"/>
        <w:gridCol w:w="611"/>
      </w:tblGrid>
      <w:tr>
        <w:trPr/>
        <w:tc>
          <w:tcPr>
            <w:tcW w:w="6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(recovery)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and 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receivable and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(37,296</w:t>
            </w:r>
          </w:p>
        </w:tc>
        <w:tc>
          <w:tcPr>
            <w:tcW w:w="1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(21,716</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Amended First Lien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share-based compensation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deferred 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acquired on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taxes on share repurchases incurred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7" w:name="statement_of_changes_in_stockholders_eq"/>
      <w:bookmarkEnd w:id="7"/>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1,299,163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 (Continued)</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295"/>
        <w:gridCol w:w="592"/>
        <w:gridCol w:w="146"/>
        <w:gridCol w:w="146"/>
        <w:gridCol w:w="265"/>
        <w:gridCol w:w="981"/>
        <w:gridCol w:w="166"/>
        <w:gridCol w:w="146"/>
        <w:gridCol w:w="234"/>
        <w:gridCol w:w="817"/>
        <w:gridCol w:w="166"/>
        <w:gridCol w:w="146"/>
        <w:gridCol w:w="288"/>
        <w:gridCol w:w="1012"/>
        <w:gridCol w:w="166"/>
        <w:gridCol w:w="146"/>
        <w:gridCol w:w="257"/>
        <w:gridCol w:w="955"/>
        <w:gridCol w:w="215"/>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906,733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920,714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Corporation, a Delaware corporation, was formed on November 15, 2019. Hereafter, First Advantage Corporation and its subsidiaries will collectively be referred to as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Pre-onboarding services are comprised of an extensive array of products and solutions that customers typically utilize to enhance their evaluation process and support compliance from the time a job or other application is submitted to a successful candidate’s onboarding date. This includes searches such as criminal background checks, drug / health screenings, extended workforce screening, biometrics and identity checks, education / workforce verification, driver records and compliance, healthcare credentials, and executive screening.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Post-onboarding services are comprised of continuous monitoring and re-screening solutions, which are important tools to help our customers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Adjacent products include products that complement our pre-onboarding and post-onboarding products and solutions. This includes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 Certain customers across various industries also historically increase their hiring throughout the second quarter of the year as winter concludes, and the school year ends, giving rise to student and graduate hiring, and increased commercial activity tied to outdoor activities. </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Significant estimates, judgments, and assumptions, include, but are not limited to, the determination of the fair value and useful lives of assets acquired and liabilities assumed through business combinations, goodwill impairment, impairment of long-lived assets,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i/>
          <w:color w:val="000000"/>
          <w:sz w:val="20"/>
        </w:rPr>
        <w:t>Fair Value Measurement</w:t>
      </w:r>
      <w:r>
        <w:rPr>
          <w:rFonts w:ascii="Times New Roman" w:hAnsi="Times New Roman"/>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amounts of cash and cash equivalents, receivables, and accounts payable approximate fair value due to the short-term maturities of these financial instruments (Level 1). The fair values and carrying values of the Company’s debt are disclosed in Note 6,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their assigned levels within the valuation hierarchy as of September 30, 2025 (in thousands):</w:t>
      </w:r>
    </w:p>
    <w:tbl>
      <w:tblPr>
        <w:tblW w:w="4954" w:type="dxa"/>
        <w:jc w:val="left"/>
        <w:tblInd w:w="0" w:type="dxa"/>
        <w:tblLayout w:type="fixed"/>
        <w:tblCellMar>
          <w:top w:w="28" w:type="dxa"/>
          <w:left w:w="28" w:type="dxa"/>
          <w:bottom w:w="28" w:type="dxa"/>
          <w:right w:w="28" w:type="dxa"/>
        </w:tblCellMar>
      </w:tblPr>
      <w:tblGrid>
        <w:gridCol w:w="1791"/>
        <w:gridCol w:w="146"/>
        <w:gridCol w:w="239"/>
        <w:gridCol w:w="391"/>
        <w:gridCol w:w="146"/>
        <w:gridCol w:w="146"/>
        <w:gridCol w:w="211"/>
        <w:gridCol w:w="571"/>
        <w:gridCol w:w="146"/>
        <w:gridCol w:w="146"/>
        <w:gridCol w:w="239"/>
        <w:gridCol w:w="391"/>
        <w:gridCol w:w="3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br/>
        <w:t>Assets and Liabilities Measured at Fair Value on a Nonrecurring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intangible assets are subject to nonrecurring fair value measurement as the result of business acquisitions. The fair values of these assets were estimated using the present value of expected future cash flows through unobservable inputs (Level 3). </w:t>
      </w:r>
    </w:p>
    <w:p>
      <w:pPr>
        <w:pStyle w:val="TextBody"/>
        <w:bidi w:val="0"/>
        <w:spacing w:before="0" w:after="180"/>
        <w:jc w:val="left"/>
        <w:rPr>
          <w:rFonts w:ascii="Times New Roman" w:hAnsi="Times New Roman"/>
          <w:sz w:val="20"/>
        </w:rPr>
      </w:pPr>
      <w:r>
        <w:rPr>
          <w:rFonts w:ascii="Times New Roman" w:hAnsi="Times New Roman"/>
          <w:b/>
          <w:color w:val="000000"/>
          <w:sz w:val="20"/>
        </w:rPr>
        <w:t>Business Combinations —</w:t>
      </w:r>
      <w:r>
        <w:rPr>
          <w:rFonts w:ascii="Times New Roman" w:hAnsi="Times New Roman"/>
          <w:color w:val="000000"/>
          <w:sz w:val="20"/>
        </w:rPr>
        <w:t xml:space="preserve"> The Company records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valuing trade names, customer lists, software developed for internal use, and other intangible assets,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Concentrations of Credit Risk — </w:t>
      </w:r>
      <w:r>
        <w:rPr>
          <w:rFonts w:ascii="Times New Roman" w:hAnsi="Times New Roman"/>
          <w:color w:val="000000"/>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did not have any customers which represented 10% or more of its consolidated revenues in any segment during the three and nine months ended September 30, 2025. The Company had one customer which represented approximately 15% and 13% of its consolidated revenues during the three and nine months ended September 30, 2024, respectively, in its First Advantage Americas segment. Additionally, the Company did not have any customers which represented 10% or more of its consolidated accounts receivable, net for any period presented.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Foreign currency translation (loss) income included in accumulated other comprehensive loss was approximately $(7.0) million and $5.5 million for the three months ended September 30, 2025 and 2024, respectively. Foreign currency translation income included in accumulated other comprehensive loss was approximately $12.9 million and $2.5 million for the nine months ended September 30, 2025 and 2024,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loss. Foreign currency transaction income (loss) included in the accompanying condensed consolidated statements of operations and comprehensive loss was approximately $1.3 million and $(0.6) million for the three months ended September 30, 2025 and 2024, respectively. Foreign currency transaction (loss) income included in the accompanying condensed consolidated statements of operations and comprehensive loss was approximately $0.5 million and $(0.04) million for the nine months ended September 30, 2025 and 2024, respectively. </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 There were no accounting pronouncements issued during the nine months ended September 30, 2025 that are expected to have a material impact on the condensed consolidated financial statements.</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3. Acquisitions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2024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the Company completed the acquisition of Sterling Check Corp. (“Sterling” and such acquisition, the “Sterling Acquisition”), a leading provider of background screening and identity verification services. The cash-and-stock transaction valued Sterling at approximately $2.2 billion and was financed through cash on hand and the issuance of new debt and common stock as described in Note 6, “Debt”. The acquisition extended First Advantage’s high-quality and cost-effective background screening, identity, and verification technology solutions for the benefit of both companies' customers across industry verticals and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Sterling was determined to constitute a business and the Company was deemed to be the acquirer under ASC 805. The Company recorded a preliminary allocation of the purchase price to assets acquired and liabilities assumed based on their estimated fair values as of October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nine months ended September 30, 2025, the Company recorded measurement period adjustments related to its preliminary allocation of the purchase price. The measurement period adjustments were due to revisions to estimates for working capital and tax balances, resulting in a $0.7 million decrease to current assets, a $5.8 million increase to current liabilities, a $0.1 million increase to deferred tax liabilities, and a $0.2 million decrease to other liabilities. The net impact of these adjustments was a $6.4 million increase to goodwill. The allocation was finalized as of June 30, 2025.</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summarizes the consideration paid and the amounts recognized for the assets acquired and liabilities assumed as of September 30, 2025 (in thousands):</w:t>
      </w:r>
    </w:p>
    <w:tbl>
      <w:tblPr>
        <w:tblW w:w="10205" w:type="dxa"/>
        <w:jc w:val="left"/>
        <w:tblInd w:w="0" w:type="dxa"/>
        <w:tblLayout w:type="fixed"/>
        <w:tblCellMar>
          <w:top w:w="28" w:type="dxa"/>
          <w:left w:w="28" w:type="dxa"/>
          <w:bottom w:w="28" w:type="dxa"/>
          <w:right w:w="28" w:type="dxa"/>
        </w:tblCellMar>
      </w:tblPr>
      <w:tblGrid>
        <w:gridCol w:w="8706"/>
        <w:gridCol w:w="146"/>
        <w:gridCol w:w="211"/>
        <w:gridCol w:w="931"/>
        <w:gridCol w:w="211"/>
      </w:tblGrid>
      <w:tr>
        <w:trPr/>
        <w:tc>
          <w:tcPr>
            <w:tcW w:w="8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assumed Sterling equity awards to receive cash attributable to pre-combination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repayment of Sterling's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First Advantage common stock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assumed Sterling equity awards to receive equity awards attributable to pre-combination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fair value of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2,197,699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including software developed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fair values and useful lives of the acquired intangible assets by category were as follows (in thousands):</w:t>
      </w:r>
    </w:p>
    <w:tbl>
      <w:tblPr>
        <w:tblW w:w="8612" w:type="dxa"/>
        <w:jc w:val="left"/>
        <w:tblInd w:w="0" w:type="dxa"/>
        <w:tblLayout w:type="fixed"/>
        <w:tblCellMar>
          <w:top w:w="28" w:type="dxa"/>
          <w:left w:w="28" w:type="dxa"/>
          <w:bottom w:w="28" w:type="dxa"/>
          <w:right w:w="28" w:type="dxa"/>
        </w:tblCellMar>
      </w:tblPr>
      <w:tblGrid>
        <w:gridCol w:w="2986"/>
        <w:gridCol w:w="146"/>
        <w:gridCol w:w="2401"/>
        <w:gridCol w:w="146"/>
        <w:gridCol w:w="363"/>
        <w:gridCol w:w="1347"/>
        <w:gridCol w:w="146"/>
        <w:gridCol w:w="146"/>
        <w:gridCol w:w="93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years</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Goodwill recognized is not deductible for tax purposes. Results of operations have been included in the condensed consolidated financial statements of the Company’s Sterling segment since the date of acquisition.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 Forma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summary, prepared on a pro forma basis pursuant to ASC 805, presents the Company’s consolidated results of operations for the three and nine months ended September 30, 2024, as if the Sterling Acquisition had been completed on January 1, 2023.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Sterling Acquisition. This pro forma presentation does not include any impact of transaction synergies. The pro forma results are not necessarily indicative of the results of operations that actually would have been achieved had the Sterling Acquisition been consummated as of January 1, 2023. </w:t>
      </w:r>
    </w:p>
    <w:tbl>
      <w:tblPr>
        <w:tblW w:w="5680" w:type="dxa"/>
        <w:jc w:val="left"/>
        <w:tblInd w:w="0" w:type="dxa"/>
        <w:tblLayout w:type="fixed"/>
        <w:tblCellMar>
          <w:top w:w="28" w:type="dxa"/>
          <w:left w:w="28" w:type="dxa"/>
          <w:bottom w:w="28" w:type="dxa"/>
          <w:right w:w="28" w:type="dxa"/>
        </w:tblCellMar>
      </w:tblPr>
      <w:tblGrid>
        <w:gridCol w:w="1921"/>
        <w:gridCol w:w="146"/>
        <w:gridCol w:w="328"/>
        <w:gridCol w:w="1217"/>
        <w:gridCol w:w="166"/>
        <w:gridCol w:w="146"/>
        <w:gridCol w:w="285"/>
        <w:gridCol w:w="1260"/>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xml:space="preserve">Ended </w:t>
              <w:b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w:t>
              <w:br/>
              <w:t xml:space="preserve">Ended </w:t>
              <w:br/>
              <w:t>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4. Property and Equipment,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net as of September 30, 2025 and December 31, 2024 consisted of the following (in thousands):</w:t>
      </w:r>
    </w:p>
    <w:tbl>
      <w:tblPr>
        <w:tblW w:w="10205" w:type="dxa"/>
        <w:jc w:val="left"/>
        <w:tblInd w:w="0" w:type="dxa"/>
        <w:tblLayout w:type="fixed"/>
        <w:tblCellMar>
          <w:top w:w="28" w:type="dxa"/>
          <w:left w:w="28" w:type="dxa"/>
          <w:bottom w:w="28" w:type="dxa"/>
          <w:right w:w="28" w:type="dxa"/>
        </w:tblCellMar>
      </w:tblPr>
      <w:tblGrid>
        <w:gridCol w:w="6527"/>
        <w:gridCol w:w="146"/>
        <w:gridCol w:w="306"/>
        <w:gridCol w:w="1219"/>
        <w:gridCol w:w="166"/>
        <w:gridCol w:w="146"/>
        <w:gridCol w:w="297"/>
        <w:gridCol w:w="1185"/>
        <w:gridCol w:w="213"/>
      </w:tblGrid>
      <w:tr>
        <w:trP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acquired by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developed internally or otherwise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307,539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Depreciation and amortization expense of property and equipment was approximately $28.0 million and $15.9 million for the three months ended September 30, 2025 and 2024, respectively. Depreciation and amortization expense of property and equipment was approximately $83.3 million and $47.1 million for the nine months ended September 30, 2025 and 2024, respectively.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Company capitalizes certain costs associated with software developed or acquired for internal use in accordance with ASC 350-40, </w:t>
      </w:r>
      <w:r>
        <w:rPr>
          <w:rFonts w:ascii="Times New Roman" w:hAnsi="Times New Roman"/>
          <w:i/>
          <w:color w:val="000000"/>
          <w:sz w:val="20"/>
        </w:rPr>
        <w:t>Intangibles—Goodwill and Other—Internal-Use Softwar</w:t>
      </w:r>
      <w:r>
        <w:rPr>
          <w:rFonts w:ascii="Times New Roman" w:hAnsi="Times New Roman"/>
          <w:color w:val="000000"/>
          <w:sz w:val="20"/>
        </w:rPr>
        <w:t xml:space="preserve">e. These capitalized software assets are evaluated for impairment whenever events or changes in circumstances indicate that their carrying value may not be recoverable. For the three and nine months ended September 30, 2025, the Company recognized impairment losses of $1.2 million, related to retiring legacy acquired platforms. </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Note 5. Goodwill and Other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changes in the carrying amount of goodwill for the nine months ended September 30, 2025 by reportable segment were as follows (in thousands): </w:t>
      </w:r>
    </w:p>
    <w:tbl>
      <w:tblPr>
        <w:tblW w:w="10128" w:type="dxa"/>
        <w:jc w:val="left"/>
        <w:tblInd w:w="0" w:type="dxa"/>
        <w:tblLayout w:type="fixed"/>
        <w:tblCellMar>
          <w:top w:w="28" w:type="dxa"/>
          <w:left w:w="28" w:type="dxa"/>
          <w:bottom w:w="28" w:type="dxa"/>
          <w:right w:w="28" w:type="dxa"/>
        </w:tblCellMar>
      </w:tblPr>
      <w:tblGrid>
        <w:gridCol w:w="4051"/>
        <w:gridCol w:w="146"/>
        <w:gridCol w:w="274"/>
        <w:gridCol w:w="1016"/>
        <w:gridCol w:w="146"/>
        <w:gridCol w:w="146"/>
        <w:gridCol w:w="273"/>
        <w:gridCol w:w="1017"/>
        <w:gridCol w:w="146"/>
        <w:gridCol w:w="146"/>
        <w:gridCol w:w="211"/>
        <w:gridCol w:w="931"/>
        <w:gridCol w:w="146"/>
        <w:gridCol w:w="146"/>
        <w:gridCol w:w="211"/>
        <w:gridCol w:w="931"/>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initial purchase price allocations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2,140,334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summarizes the gross carrying value and accumulated amortization for the Company’s trade names, customer lists, and other intangible assets as of September 30, 2025 and December 31, 2024 (in thousands):</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80"/>
        <w:jc w:val="both"/>
        <w:rPr/>
      </w:pPr>
      <w:r>
        <w:rPr/>
        <w:t> </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Amortization expense of trade names, customer lists, and other intangible assets was approximately $34.2 million and $14.3 million for the three months ended September 30, 2025 and 2024, respectively. Amortization expense of trade names, customer lists, and other intangible assets was approximately $102.5 million and $42.8 million for the nine months ended September 30, 2025 and 2024, respectively. Trade names and customer lists are amortized on an accelerated basis based upon their estimated useful life. Other intangible assets are amortized on a straight-line or accelerated basis over their expected useful life of five years.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of the Company’s debt obligation approximated its book value as of September 30, 2025 and December 31, 2024 and consisted of the following (in thousands): </w:t>
      </w:r>
    </w:p>
    <w:tbl>
      <w:tblPr>
        <w:tblW w:w="7015" w:type="dxa"/>
        <w:jc w:val="left"/>
        <w:tblInd w:w="0" w:type="dxa"/>
        <w:tblLayout w:type="fixed"/>
        <w:tblCellMar>
          <w:top w:w="28" w:type="dxa"/>
          <w:left w:w="28" w:type="dxa"/>
          <w:bottom w:w="28" w:type="dxa"/>
          <w:right w:w="28" w:type="dxa"/>
        </w:tblCellMar>
      </w:tblPr>
      <w:tblGrid>
        <w:gridCol w:w="3301"/>
        <w:gridCol w:w="146"/>
        <w:gridCol w:w="285"/>
        <w:gridCol w:w="1260"/>
        <w:gridCol w:w="166"/>
        <w:gridCol w:w="146"/>
        <w:gridCol w:w="277"/>
        <w:gridCol w:w="1223"/>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is a party to a First Lien Credit Agreement, which provides for a term loan of $2.185 billion due October 31, 2031 and a $250.0 million revolving credit facility due October 31, 2029. </w:t>
      </w:r>
    </w:p>
    <w:p>
      <w:pPr>
        <w:pStyle w:val="TextBody"/>
        <w:bidi w:val="0"/>
        <w:jc w:val="left"/>
        <w:rPr>
          <w:rFonts w:ascii="Times New Roman" w:hAnsi="Times New Roman"/>
          <w:sz w:val="20"/>
        </w:rPr>
      </w:pPr>
      <w:r>
        <w:rPr>
          <w:rFonts w:ascii="Times New Roman" w:hAnsi="Times New Roman"/>
          <w:color w:val="000000"/>
          <w:sz w:val="20"/>
        </w:rPr>
        <w:t>On July 30, 2025, the Company amended the First Lien Credit Agreement (“2025 Amended First Lien Credit Agreement”) to reduce the interest rate on its term loan to a range of 2.50% to 2.75%, based on the first lien ratio, plus the Secured Overnight Financing Rate as administered by the Federal Reserve Bank of New York (“SOFR”) and an applicable margin (“2025 Amended First Lien Credit Facility”). The amendment also reduced the interest rate on its revolving credit facility to a range of 2.25% to 2.75%, based on the first lien ratio, plus SOFR (“2025 Amended Revolver”).</w:t>
      </w:r>
      <w:r>
        <w:rPr>
          <w:rFonts w:ascii="Times New Roman" w:hAnsi="Times New Roman"/>
          <w:color w:val="FF0000"/>
          <w:sz w:val="20"/>
        </w:rPr>
        <w:t xml:space="preserve"> </w:t>
      </w:r>
      <w:r>
        <w:rPr>
          <w:rFonts w:ascii="Times New Roman" w:hAnsi="Times New Roman"/>
          <w:color w:val="000000"/>
          <w:sz w:val="20"/>
        </w:rPr>
        <w:t xml:space="preserve">The effective interest rate on the 2025 Amended First Lien Credit Agreement, which is calculated as the contractual interest rates adjusted for the debt issuance costs was 7.37%.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2025 Amended First Lien Credit Facility amortizes in equal quarterly installments in aggregate annual amounts equal to 1.00% of the principal amount. The 2025 Amended Revolver has no amortization. During the nine months ended September 30, 2025, the Company made voluntary principal prepayments totaling $40.0 million on its outstanding term loan. As a result of these prepayments, the Company recognized a loss on extinguishment of debt of $0.7 million, primarily related to the write-off of unamortized deferred financing costs. No prepayment penalties were incurred. In accordance with the terms of the 2025 Amended First Lien Credit Agreement, these voluntary prepayments reduced the remaining scheduled future principal repayment obligations on the term loan.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Amended First Lien Credit Agreement is collateralized by substantially all assets and capital stock owned by direct and indirect domestic subsidiaries and is governed by certain restrictive covenants including limitations on indebtedness, liens, and other corporate actions such as investments and acquisitions. In the event the Company’s outstanding indebtedness under the 2025 Amended Revolver exceeds 40.0% of the aggregate principal amount of the revolving commitments then in effect, it is required to maintain a consolidated first lien leverage ratio no greater than 7.75 to 1.00. As of September 30, 2025, there were no outstanding borrowings under the 2025 Amended Revolver and $2,139.5 million outstanding under the 2025 Amended First Lien Credit Facility. In addition, $0.7 million in letters of credit were issued under the 2025 Amended First Lien Credit Agreement to support two office leases. As the Company had no outstanding amounts under the 2025 Amended Revolver, it was not subject to the consolidated first lien leverage ratio covenant. The Company was compliant with all covenants under the agreement as of September 30, 2025.</w:t>
      </w:r>
    </w:p>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7. Derivatives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reduce exposure to variability in expected future cash outflows on variable rate debt attributable to the changes in one-month SOFR, the Company has historically entered into interest rate derivative instruments to economically offset a portion of this risk and may do so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2025, the Company had the following outstanding derivatives that were not designated as a hedge in qualifying hedging relationships:</w:t>
      </w:r>
    </w:p>
    <w:tbl>
      <w:tblPr>
        <w:tblW w:w="7459" w:type="dxa"/>
        <w:jc w:val="left"/>
        <w:tblInd w:w="0" w:type="dxa"/>
        <w:tblLayout w:type="fixed"/>
        <w:tblCellMar>
          <w:top w:w="28" w:type="dxa"/>
          <w:left w:w="28" w:type="dxa"/>
          <w:bottom w:w="28" w:type="dxa"/>
          <w:right w:w="28" w:type="dxa"/>
        </w:tblCellMar>
      </w:tblPr>
      <w:tblGrid>
        <w:gridCol w:w="1516"/>
        <w:gridCol w:w="146"/>
        <w:gridCol w:w="1681"/>
        <w:gridCol w:w="146"/>
        <w:gridCol w:w="1681"/>
        <w:gridCol w:w="146"/>
        <w:gridCol w:w="1321"/>
        <w:gridCol w:w="146"/>
        <w:gridCol w:w="6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Derivatives not designated as hedges are not speculative and are used to manage the Company’s exposure to interest rate movements; however, the Company has not elected to apply hedge accounting for these instruments.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location and fair value of the financial positions recorded related to the derivative instruments as of September 30, 2025 and December 31, 2024 (in thousands):</w:t>
      </w:r>
    </w:p>
    <w:tbl>
      <w:tblPr>
        <w:tblW w:w="9297" w:type="dxa"/>
        <w:jc w:val="left"/>
        <w:tblInd w:w="0" w:type="dxa"/>
        <w:tblLayout w:type="fixed"/>
        <w:tblCellMar>
          <w:top w:w="28" w:type="dxa"/>
          <w:left w:w="28" w:type="dxa"/>
          <w:bottom w:w="28" w:type="dxa"/>
          <w:right w:w="28" w:type="dxa"/>
        </w:tblCellMar>
      </w:tblPr>
      <w:tblGrid>
        <w:gridCol w:w="2041"/>
        <w:gridCol w:w="146"/>
        <w:gridCol w:w="3436"/>
        <w:gridCol w:w="146"/>
        <w:gridCol w:w="417"/>
        <w:gridCol w:w="1128"/>
        <w:gridCol w:w="146"/>
        <w:gridCol w:w="146"/>
        <w:gridCol w:w="403"/>
        <w:gridCol w:w="1097"/>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location and amount of gains and losses recorded related to the derivative instruments (in thousands):</w:t>
      </w:r>
    </w:p>
    <w:tbl>
      <w:tblPr>
        <w:tblW w:w="10205" w:type="dxa"/>
        <w:jc w:val="left"/>
        <w:tblInd w:w="0" w:type="dxa"/>
        <w:tblLayout w:type="fixed"/>
        <w:tblCellMar>
          <w:top w:w="28" w:type="dxa"/>
          <w:left w:w="28" w:type="dxa"/>
          <w:bottom w:w="28" w:type="dxa"/>
          <w:right w:w="28" w:type="dxa"/>
        </w:tblCellMar>
      </w:tblPr>
      <w:tblGrid>
        <w:gridCol w:w="2038"/>
        <w:gridCol w:w="146"/>
        <w:gridCol w:w="2098"/>
        <w:gridCol w:w="146"/>
        <w:gridCol w:w="319"/>
        <w:gridCol w:w="639"/>
        <w:gridCol w:w="221"/>
        <w:gridCol w:w="221"/>
        <w:gridCol w:w="319"/>
        <w:gridCol w:w="958"/>
        <w:gridCol w:w="166"/>
        <w:gridCol w:w="146"/>
        <w:gridCol w:w="305"/>
        <w:gridCol w:w="916"/>
        <w:gridCol w:w="240"/>
        <w:gridCol w:w="211"/>
        <w:gridCol w:w="305"/>
        <w:gridCol w:w="610"/>
        <w:gridCol w:w="201"/>
      </w:tblGrid>
      <w:tr>
        <w:trPr/>
        <w:tc>
          <w:tcPr>
            <w:tcW w:w="2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income tax expense and related balance sheet accounts reflect the consolidated results of the Company and its subsidiaries.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accordance with ASC 740-270, </w:t>
      </w:r>
      <w:r>
        <w:rPr>
          <w:rFonts w:ascii="Times New Roman" w:hAnsi="Times New Roman"/>
          <w:i/>
          <w:color w:val="000000"/>
          <w:sz w:val="20"/>
        </w:rPr>
        <w:t>Interim Reporting</w:t>
      </w:r>
      <w:r>
        <w:rPr>
          <w:rFonts w:ascii="Times New Roman" w:hAnsi="Times New Roman"/>
          <w:color w:val="000000"/>
          <w:sz w:val="20"/>
        </w:rPr>
        <w:t>, the Company evaluates its best estimate of the annual effective tax rate at the end of each interim reporting period. This estimated rate is applied to year-to-date pre-tax income to determine the interim provision for income taxes. When a reliable estimate of the annual effective tax rate cannot be made, due to factors such as volatility in projected earnings or discrete tax events, the Company may apply the actual effective tax rate for the interim period, as permitted under the guidance.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and nine months ended September 30, 2025, the Company estimated its annual effective tax rate based on projected full-year income and applied this rate to year-to-date pre-tax income. The resulting tax provision was adjusted to reflect discrete tax items recognized during the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and nine months ended September 30, 2025 was (44.5)% and 13.9%, respectively. The Company’s effective income tax rates for the three and nine months ended September 30, 2025 differed from the U.S. federal statutory rate of 21% primarily due to the jurisdictional mix of earnings, U.S. state income taxes, and non-deductible share-based compensation. The jurisdictional mix was impacted by significant acquisition-related depreciation and amortization, which contributed to a U.S. pre-tax loss while generating pre-tax income in most foreign jurisdictions.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and nine months ended September 30, 2024, the Company applied the actual effective tax rate for the interim period, as it was unable to reasonably estimate the annual effective tax rate due to variability in forecasted income and fluctuations in quarterly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and nine months ended September 30, 2024 was (9.7)% and (0.8)%, respectively. The Company’s effective income tax rates for the three and nine months ended September 30, 2024 were lower than the U.S. federal statutory rate of 21% primarily due to a jurisdictional mix of earnings with the Company recording significant expenses in the U.S. related to the Sterling Acquisition, nondeductible share-based compensation, and U.S. state income taxes.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9.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negotiated and anticipated incentives and estimated adjustments, including historical collections experience, when recording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Contract balances are generated when the revenues recognized in a given period varies from billing. A contract asset is created when the Company performs a service for a customer and recognizes more revenues than what has been billed. The contract asset balance was $13.8 million and $5.9 million as of September 30, 2025 and December 31, 2024, respectively, and is included in accounts receivable, net in the accompanying condensed consolidated balance sheets.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$4.9 million and $4.3 million as of September 30, 2025 and December 31, 2024,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disclosures about the disaggregation of our revenues, see Note 15, “Reportable Segments.”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10.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Share-based compensation expense is recognized in cost of services, product and technology expense, and selling, general, and administrative expense, in the accompanying condensed consolidated statements of operations and comprehensive loss as follows (in thousands): </w:t>
      </w:r>
    </w:p>
    <w:tbl>
      <w:tblPr>
        <w:tblW w:w="10013" w:type="dxa"/>
        <w:jc w:val="left"/>
        <w:tblInd w:w="0" w:type="dxa"/>
        <w:tblLayout w:type="fixed"/>
        <w:tblCellMar>
          <w:top w:w="28" w:type="dxa"/>
          <w:left w:w="28" w:type="dxa"/>
          <w:bottom w:w="28" w:type="dxa"/>
          <w:right w:w="28" w:type="dxa"/>
        </w:tblCellMar>
      </w:tblPr>
      <w:tblGrid>
        <w:gridCol w:w="3906"/>
        <w:gridCol w:w="146"/>
        <w:gridCol w:w="305"/>
        <w:gridCol w:w="826"/>
        <w:gridCol w:w="211"/>
        <w:gridCol w:w="211"/>
        <w:gridCol w:w="305"/>
        <w:gridCol w:w="826"/>
        <w:gridCol w:w="146"/>
        <w:gridCol w:w="146"/>
        <w:gridCol w:w="265"/>
        <w:gridCol w:w="849"/>
        <w:gridCol w:w="183"/>
        <w:gridCol w:w="183"/>
        <w:gridCol w:w="265"/>
        <w:gridCol w:w="849"/>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Prior to the Company’s 2021 Initial Public Offering (“IPO”), 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October 2024, as part of the Sterling Acquisition, unvested Sterling restricted stock, restricted stock units, and net option shares underlying in-the-money stock option awards were converted to an unvested cash award, an unvested First Advantage restricted stock award, or a First Advantage restricted stock unit (“RSU”) at the holder’s election. Converted awards are subject to the same terms and conditions (including vesting) as applied to the replaced Sterling equity award. All out-of-the-money Sterling stock options, whether vested or unvested, were canceled for no consideration.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2025, the Company had approximately $28.1 million of unrecognized pre-tax non-cash compensation expense related to its equity-based compensation plans. This amount includes approximately $3.0 million related to restricted stock, $12.9 million related to RSUs, and $12.2 million related to stock options. The Company expects to recognize this expense over a weighted average period of 1.1 years.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Awards issued under the 2020 Equity Plan consist of options and profit interests. No awards have been issued under the plan since the Company’s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nine months ended September 30, 2025 is as follows:</w:t>
      </w:r>
    </w:p>
    <w:tbl>
      <w:tblPr>
        <w:tblW w:w="10205" w:type="dxa"/>
        <w:jc w:val="left"/>
        <w:tblInd w:w="0" w:type="dxa"/>
        <w:tblLayout w:type="fixed"/>
        <w:tblCellMar>
          <w:top w:w="28" w:type="dxa"/>
          <w:left w:w="28" w:type="dxa"/>
          <w:bottom w:w="28" w:type="dxa"/>
          <w:right w:w="28" w:type="dxa"/>
        </w:tblCellMar>
      </w:tblPr>
      <w:tblGrid>
        <w:gridCol w:w="1355"/>
        <w:gridCol w:w="146"/>
        <w:gridCol w:w="1638"/>
        <w:gridCol w:w="146"/>
        <w:gridCol w:w="146"/>
        <w:gridCol w:w="931"/>
        <w:gridCol w:w="166"/>
        <w:gridCol w:w="146"/>
        <w:gridCol w:w="356"/>
        <w:gridCol w:w="788"/>
        <w:gridCol w:w="146"/>
        <w:gridCol w:w="146"/>
        <w:gridCol w:w="2307"/>
        <w:gridCol w:w="146"/>
        <w:gridCol w:w="1642"/>
      </w:tblGrid>
      <w:tr>
        <w:trPr/>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 million</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 million</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September 30, 2025, 22,399,150 shares were available for issuance under the 2021 Equity Plan.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nine months ended September 30, 2025 is as follows:</w:t>
      </w:r>
    </w:p>
    <w:tbl>
      <w:tblPr>
        <w:tblW w:w="10205" w:type="dxa"/>
        <w:jc w:val="left"/>
        <w:tblInd w:w="0" w:type="dxa"/>
        <w:tblLayout w:type="fixed"/>
        <w:tblCellMar>
          <w:top w:w="28" w:type="dxa"/>
          <w:left w:w="28" w:type="dxa"/>
          <w:bottom w:w="28" w:type="dxa"/>
          <w:right w:w="28" w:type="dxa"/>
        </w:tblCellMar>
      </w:tblPr>
      <w:tblGrid>
        <w:gridCol w:w="1361"/>
        <w:gridCol w:w="146"/>
        <w:gridCol w:w="1648"/>
        <w:gridCol w:w="146"/>
        <w:gridCol w:w="146"/>
        <w:gridCol w:w="931"/>
        <w:gridCol w:w="166"/>
        <w:gridCol w:w="146"/>
        <w:gridCol w:w="309"/>
        <w:gridCol w:w="841"/>
        <w:gridCol w:w="146"/>
        <w:gridCol w:w="146"/>
        <w:gridCol w:w="2329"/>
        <w:gridCol w:w="146"/>
        <w:gridCol w:w="1598"/>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 million</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million</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for stock options granted for the nine months ended September 30, 2025 was estimated at the date of grant using the Black-Scholes option-pricing model with the following weighted average assumptions: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nine months ended September 30, 2025 is as follows:</w:t>
      </w:r>
    </w:p>
    <w:tbl>
      <w:tblPr>
        <w:tblW w:w="6764" w:type="dxa"/>
        <w:jc w:val="left"/>
        <w:tblInd w:w="0" w:type="dxa"/>
        <w:tblLayout w:type="fixed"/>
        <w:tblCellMar>
          <w:top w:w="28" w:type="dxa"/>
          <w:left w:w="28" w:type="dxa"/>
          <w:bottom w:w="28" w:type="dxa"/>
          <w:right w:w="28" w:type="dxa"/>
        </w:tblCellMar>
      </w:tblPr>
      <w:tblGrid>
        <w:gridCol w:w="1741"/>
        <w:gridCol w:w="146"/>
        <w:gridCol w:w="1471"/>
        <w:gridCol w:w="146"/>
        <w:gridCol w:w="146"/>
        <w:gridCol w:w="841"/>
        <w:gridCol w:w="166"/>
        <w:gridCol w:w="146"/>
        <w:gridCol w:w="476"/>
        <w:gridCol w:w="1294"/>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nine months ended September 30, 2025 is as follows:</w:t>
      </w:r>
    </w:p>
    <w:tbl>
      <w:tblPr>
        <w:tblW w:w="7634" w:type="dxa"/>
        <w:jc w:val="left"/>
        <w:tblInd w:w="0" w:type="dxa"/>
        <w:tblLayout w:type="fixed"/>
        <w:tblCellMar>
          <w:top w:w="28" w:type="dxa"/>
          <w:left w:w="28" w:type="dxa"/>
          <w:bottom w:w="28" w:type="dxa"/>
          <w:right w:w="28" w:type="dxa"/>
        </w:tblCellMar>
      </w:tblPr>
      <w:tblGrid>
        <w:gridCol w:w="1741"/>
        <w:gridCol w:w="146"/>
        <w:gridCol w:w="2251"/>
        <w:gridCol w:w="146"/>
        <w:gridCol w:w="146"/>
        <w:gridCol w:w="931"/>
        <w:gridCol w:w="166"/>
        <w:gridCol w:w="146"/>
        <w:gridCol w:w="476"/>
        <w:gridCol w:w="1294"/>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sz w:val="20"/>
        </w:rPr>
      </w:pPr>
      <w:r>
        <w:rPr>
          <w:rFonts w:ascii="Times New Roman" w:hAnsi="Times New Roman"/>
          <w:b/>
          <w:i/>
          <w:color w:val="000000"/>
          <w:sz w:val="20"/>
        </w:rPr>
        <w:t>Sterling Acquisition Awards</w:t>
      </w:r>
      <w:r>
        <w:rPr>
          <w:rFonts w:ascii="Times New Roman" w:hAnsi="Times New Roman"/>
          <w:color w:val="000000"/>
          <w:sz w:val="20"/>
        </w:rPr>
        <w:t xml:space="preserve">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RSUs issued by the Company as part of the Sterling Acquisition. These include Sterling restricted stock units and net option shares underlying in-the-money stock option awards that were unvested at close and converted to unvested First Advantage RSUs. The RSUs granted as a result of the conversion retain the vesting attributes (including the original service period vesting start dates)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nine months ended September 30, 2025 is as follows:</w:t>
      </w:r>
    </w:p>
    <w:tbl>
      <w:tblPr>
        <w:tblW w:w="6659" w:type="dxa"/>
        <w:jc w:val="left"/>
        <w:tblInd w:w="0" w:type="dxa"/>
        <w:tblLayout w:type="fixed"/>
        <w:tblCellMar>
          <w:top w:w="28" w:type="dxa"/>
          <w:left w:w="28" w:type="dxa"/>
          <w:bottom w:w="28" w:type="dxa"/>
          <w:right w:w="28" w:type="dxa"/>
        </w:tblCellMar>
      </w:tblPr>
      <w:tblGrid>
        <w:gridCol w:w="1741"/>
        <w:gridCol w:w="146"/>
        <w:gridCol w:w="1471"/>
        <w:gridCol w:w="146"/>
        <w:gridCol w:w="146"/>
        <w:gridCol w:w="736"/>
        <w:gridCol w:w="166"/>
        <w:gridCol w:w="146"/>
        <w:gridCol w:w="476"/>
        <w:gridCol w:w="1294"/>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restricted stock issued by the Company as part of the Sterling Acquisition. These include Sterling restricted stock and net option shares underlying in-the-money stock option awards that were unvested at close and converted to unvested First Advantage restricted stock. The restricted stock granted as a result of the conversion retain the vesting attributes (including the original service period vesting start dates)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nine months ended September 30, 2025 is as follows:</w:t>
      </w:r>
    </w:p>
    <w:tbl>
      <w:tblPr>
        <w:tblW w:w="7544" w:type="dxa"/>
        <w:jc w:val="left"/>
        <w:tblInd w:w="0" w:type="dxa"/>
        <w:tblLayout w:type="fixed"/>
        <w:tblCellMar>
          <w:top w:w="28" w:type="dxa"/>
          <w:left w:w="28" w:type="dxa"/>
          <w:bottom w:w="28" w:type="dxa"/>
          <w:right w:w="28" w:type="dxa"/>
        </w:tblCellMar>
      </w:tblPr>
      <w:tblGrid>
        <w:gridCol w:w="1741"/>
        <w:gridCol w:w="146"/>
        <w:gridCol w:w="2251"/>
        <w:gridCol w:w="146"/>
        <w:gridCol w:w="146"/>
        <w:gridCol w:w="841"/>
        <w:gridCol w:w="166"/>
        <w:gridCol w:w="146"/>
        <w:gridCol w:w="476"/>
        <w:gridCol w:w="1294"/>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2021 Employee Stock Purchase Plan (“ESPP”)</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ESPP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$0.2 million for both the three months ended September 30, 2025 and 2024. The Company recorded an associated expense of approximately $0.5 million for both the nine months ended September 30, 2025 and 2024.</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11.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2025 and December 31, 2024, 250,000,000 shares of Preferred Stock were authorized, and no Preferred Stock was issued or outstanding.</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to the Company’s contractual obligations as compared to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all pending matters, the Company believes it has meritorious defenses and intends to defend vigorously or otherwise seek indemnification from other parties as appropriate. However, the Company has recorded a liability of $7.0 million and $11.6 million as of September 30, 2025 and December 31, 2024, respectively, for matters that it believes entail a loss that is both probable and estimable. This is included in accrued liabilities in the accompanying condensed consolidated balance sheets.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180" w:after="180"/>
        <w:jc w:val="left"/>
        <w:rPr>
          <w:rFonts w:ascii="Times New Roman" w:hAnsi="Times New Roman"/>
          <w:sz w:val="20"/>
        </w:rPr>
      </w:pPr>
      <w:r>
        <w:rPr>
          <w:rFonts w:ascii="Times New Roman" w:hAnsi="Times New Roman"/>
          <w:b/>
          <w:color w:val="000000"/>
          <w:sz w:val="20"/>
        </w:rPr>
        <w:t>Note 13. Related Party Transactions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Company had no material related party transactions for the nine months ended September 30, 2025. </w:t>
      </w:r>
    </w:p>
    <w:p>
      <w:pPr>
        <w:pStyle w:val="TextBody"/>
        <w:bidi w:val="0"/>
        <w:spacing w:before="180" w:after="180"/>
        <w:jc w:val="left"/>
        <w:rPr>
          <w:rFonts w:ascii="Times New Roman" w:hAnsi="Times New Roman"/>
          <w:sz w:val="20"/>
        </w:rPr>
      </w:pPr>
      <w:r>
        <w:rPr>
          <w:rFonts w:ascii="Times New Roman" w:hAnsi="Times New Roman"/>
          <w:b/>
          <w:color w:val="000000"/>
          <w:sz w:val="20"/>
        </w:rPr>
        <w:t>Note 14. Net</w:t>
      </w:r>
      <w:r>
        <w:rPr>
          <w:rFonts w:ascii="Times New Roman" w:hAnsi="Times New Roman"/>
          <w:color w:val="000000"/>
          <w:sz w:val="20"/>
        </w:rPr>
        <w:t xml:space="preserve"> </w:t>
      </w:r>
      <w:r>
        <w:rPr>
          <w:rFonts w:ascii="Times New Roman" w:hAnsi="Times New Roman"/>
          <w:b/>
          <w:color w:val="000000"/>
          <w:sz w:val="20"/>
        </w:rPr>
        <w:t>Income (Loss)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potentially dilutive securities outstanding during the three months ended September 30, 2024 and the nine months ended September 30, 2025 and 2024, had an anti-dilutive effect and were therefore not included in the calculation of diluted net income (loss) per share. Basic and diluted net income (loss) per share was calculated as follows:</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141"/>
        <w:gridCol w:w="146"/>
        <w:gridCol w:w="146"/>
        <w:gridCol w:w="211"/>
        <w:gridCol w:w="1141"/>
        <w:gridCol w:w="166"/>
        <w:gridCol w:w="146"/>
        <w:gridCol w:w="211"/>
        <w:gridCol w:w="1141"/>
        <w:gridCol w:w="166"/>
        <w:gridCol w:w="146"/>
        <w:gridCol w:w="211"/>
        <w:gridCol w:w="1141"/>
        <w:gridCol w:w="2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173,561,778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144,096,312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143,851,357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 options to purchase shares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144,096,312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143,851,357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three months ended September 30, 2025 and 2024, a total of 2,187,495 and 3,312,675 stock options, RSUs, and restricted stock awards were excluded from the calculation of diluted net income (loss) per share, respectively, because their effect was anti-dilutive. For the nine months ended September 30, 2025 and 2024, a total of 4,025,695 and 3,244,309 stock options, RSUs, and restricted stock awards were excluded from the calculation of diluted net loss per share, respectively, because their effect was anti-dilutive.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15. Reportable Segments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three reportable segments: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chief operating decision maker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excludes depreciation and amortization, share based compensation, and other expenses excluded from Adjusted EBITDA.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2. “Summary of Significant Accounting Policies” included in the Annual Report on Form 10-K for the year ended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Reconciliations of Segment Adjusted EBITDA to net income (loss) for the three and nine months ended September 30, 2025 and 2024 is as follows (in thousands):</w:t>
      </w:r>
    </w:p>
    <w:tbl>
      <w:tblPr>
        <w:tblW w:w="10205" w:type="dxa"/>
        <w:jc w:val="left"/>
        <w:tblInd w:w="0" w:type="dxa"/>
        <w:tblLayout w:type="fixed"/>
        <w:tblCellMar>
          <w:top w:w="28" w:type="dxa"/>
          <w:left w:w="28" w:type="dxa"/>
          <w:bottom w:w="28" w:type="dxa"/>
          <w:right w:w="28" w:type="dxa"/>
        </w:tblCellMar>
      </w:tblPr>
      <w:tblGrid>
        <w:gridCol w:w="3201"/>
        <w:gridCol w:w="246"/>
        <w:gridCol w:w="352"/>
        <w:gridCol w:w="1305"/>
        <w:gridCol w:w="166"/>
        <w:gridCol w:w="146"/>
        <w:gridCol w:w="443"/>
        <w:gridCol w:w="1425"/>
        <w:gridCol w:w="166"/>
        <w:gridCol w:w="146"/>
        <w:gridCol w:w="211"/>
        <w:gridCol w:w="781"/>
        <w:gridCol w:w="166"/>
        <w:gridCol w:w="146"/>
        <w:gridCol w:w="211"/>
        <w:gridCol w:w="781"/>
        <w:gridCol w:w="313"/>
      </w:tblGrid>
      <w:tr>
        <w:trPr/>
        <w:tc>
          <w:tcPr>
            <w:tcW w:w="3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411,985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78"/>
        <w:gridCol w:w="246"/>
        <w:gridCol w:w="369"/>
        <w:gridCol w:w="1368"/>
        <w:gridCol w:w="166"/>
        <w:gridCol w:w="146"/>
        <w:gridCol w:w="466"/>
        <w:gridCol w:w="1500"/>
        <w:gridCol w:w="166"/>
        <w:gridCol w:w="146"/>
        <w:gridCol w:w="256"/>
        <w:gridCol w:w="420"/>
        <w:gridCol w:w="146"/>
        <w:gridCol w:w="146"/>
        <w:gridCol w:w="211"/>
        <w:gridCol w:w="781"/>
        <w:gridCol w:w="294"/>
      </w:tblGrid>
      <w:tr>
        <w:trPr/>
        <w:tc>
          <w:tcPr>
            <w:tcW w:w="33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201,529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(8,860</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7"/>
        <w:gridCol w:w="246"/>
        <w:gridCol w:w="344"/>
        <w:gridCol w:w="1278"/>
        <w:gridCol w:w="166"/>
        <w:gridCol w:w="146"/>
        <w:gridCol w:w="433"/>
        <w:gridCol w:w="1394"/>
        <w:gridCol w:w="166"/>
        <w:gridCol w:w="146"/>
        <w:gridCol w:w="211"/>
        <w:gridCol w:w="781"/>
        <w:gridCol w:w="166"/>
        <w:gridCol w:w="146"/>
        <w:gridCol w:w="211"/>
        <w:gridCol w:w="931"/>
        <w:gridCol w:w="313"/>
      </w:tblGrid>
      <w:tr>
        <w:trPr/>
        <w:tc>
          <w:tcPr>
            <w:tcW w:w="3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1,161,798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324,558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(38,293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78"/>
        <w:gridCol w:w="246"/>
        <w:gridCol w:w="369"/>
        <w:gridCol w:w="1368"/>
        <w:gridCol w:w="166"/>
        <w:gridCol w:w="146"/>
        <w:gridCol w:w="466"/>
        <w:gridCol w:w="1500"/>
        <w:gridCol w:w="166"/>
        <w:gridCol w:w="146"/>
        <w:gridCol w:w="256"/>
        <w:gridCol w:w="420"/>
        <w:gridCol w:w="146"/>
        <w:gridCol w:w="146"/>
        <w:gridCol w:w="211"/>
        <w:gridCol w:w="781"/>
        <w:gridCol w:w="294"/>
      </w:tblGrid>
      <w:tr>
        <w:trPr/>
        <w:tc>
          <w:tcPr>
            <w:tcW w:w="33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559,244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166,365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35,083</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(9,907</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sans-serif" w:hAnsi="sans-serif"/>
          <w:sz w:val="22"/>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2025 include approximately $1.4</w:t>
      </w:r>
      <w:r>
        <w:rPr>
          <w:rFonts w:ascii="sans-serif" w:hAnsi="sans-serif"/>
          <w:color w:val="000000"/>
          <w:sz w:val="22"/>
        </w:rPr>
        <w:t xml:space="preserve"> </w:t>
      </w:r>
      <w:r>
        <w:rPr>
          <w:rFonts w:ascii="Times New Roman" w:hAnsi="Times New Roman"/>
          <w:color w:val="000000"/>
          <w:sz w:val="16"/>
        </w:rPr>
        <w:t>million and $7.5</w:t>
      </w:r>
      <w:r>
        <w:rPr>
          <w:rFonts w:ascii="sans-serif" w:hAnsi="sans-serif"/>
          <w:color w:val="000000"/>
          <w:sz w:val="22"/>
        </w:rPr>
        <w:t xml:space="preserve"> </w:t>
      </w:r>
      <w:r>
        <w:rPr>
          <w:rFonts w:ascii="Times New Roman" w:hAnsi="Times New Roman"/>
          <w:color w:val="000000"/>
          <w:sz w:val="16"/>
        </w:rPr>
        <w:t>million of expense, respectively, associated with the Sterling Acquisition. The three and nine months ended September 30, 2024 include approximately $13.2</w:t>
      </w:r>
      <w:r>
        <w:rPr>
          <w:rFonts w:ascii="sans-serif" w:hAnsi="sans-serif"/>
          <w:color w:val="000000"/>
          <w:sz w:val="22"/>
        </w:rPr>
        <w:t xml:space="preserve"> </w:t>
      </w:r>
      <w:r>
        <w:rPr>
          <w:rFonts w:ascii="Times New Roman" w:hAnsi="Times New Roman"/>
          <w:color w:val="000000"/>
          <w:sz w:val="16"/>
        </w:rPr>
        <w:t>million and $33.5</w:t>
      </w:r>
      <w:r>
        <w:rPr>
          <w:rFonts w:ascii="sans-serif" w:hAnsi="sans-serif"/>
          <w:color w:val="000000"/>
          <w:sz w:val="22"/>
        </w:rPr>
        <w:t xml:space="preserve"> </w:t>
      </w:r>
      <w:r>
        <w:rPr>
          <w:rFonts w:ascii="Times New Roman" w:hAnsi="Times New Roman"/>
          <w:color w:val="000000"/>
          <w:sz w:val="16"/>
        </w:rPr>
        <w:t>million of expense, respectively, associated with the Sterling Acquisition, primarily consisting of legal, regulatory, and diligence professional service fees. The three and nine months ended September 30, 2024 also include insurance costs incurred related to the Company's initial public offering.</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180"/>
        <w:jc w:val="left"/>
        <w:rPr>
          <w:rFonts w:ascii="sans-serif" w:hAnsi="sans-serif"/>
          <w:sz w:val="22"/>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impairment of capitalized software, (gains) losses on the sale of assets, and other non-recurring items. Integration, restructuring, and other charges for the three and nine months ended September 30, 2025 include approximately $3.8</w:t>
      </w:r>
      <w:r>
        <w:rPr>
          <w:rFonts w:ascii="sans-serif" w:hAnsi="sans-serif"/>
          <w:color w:val="000000"/>
          <w:sz w:val="22"/>
        </w:rPr>
        <w:t xml:space="preserve"> </w:t>
      </w:r>
      <w:r>
        <w:rPr>
          <w:rFonts w:ascii="Times New Roman" w:hAnsi="Times New Roman"/>
          <w:color w:val="000000"/>
          <w:sz w:val="16"/>
        </w:rPr>
        <w:t>million and $15.4</w:t>
      </w:r>
      <w:r>
        <w:rPr>
          <w:rFonts w:ascii="sans-serif" w:hAnsi="sans-serif"/>
          <w:color w:val="000000"/>
          <w:sz w:val="22"/>
        </w:rPr>
        <w:t xml:space="preserve"> </w:t>
      </w:r>
      <w:r>
        <w:rPr>
          <w:rFonts w:ascii="Times New Roman" w:hAnsi="Times New Roman"/>
          <w:color w:val="000000"/>
          <w:sz w:val="16"/>
        </w:rPr>
        <w:t>million of expense, respectively, associated with the integration of Sterling. The three and nine months ended September 30, 2025 also include approximately $1.5</w:t>
      </w:r>
      <w:r>
        <w:rPr>
          <w:rFonts w:ascii="sans-serif" w:hAnsi="sans-serif"/>
          <w:color w:val="000000"/>
          <w:sz w:val="22"/>
        </w:rPr>
        <w:t xml:space="preserve"> </w:t>
      </w:r>
      <w:r>
        <w:rPr>
          <w:rFonts w:ascii="Times New Roman" w:hAnsi="Times New Roman"/>
          <w:color w:val="000000"/>
          <w:sz w:val="16"/>
        </w:rPr>
        <w:t>million of expenses related to debt refinancing activities, as well as capitalized software impairment charges of approximately $1.2</w:t>
      </w:r>
      <w:r>
        <w:rPr>
          <w:rFonts w:ascii="sans-serif" w:hAnsi="sans-serif"/>
          <w:color w:val="000000"/>
          <w:sz w:val="22"/>
        </w:rPr>
        <w:t xml:space="preserve"> </w:t>
      </w:r>
      <w:r>
        <w:rPr>
          <w:rFonts w:ascii="Times New Roman" w:hAnsi="Times New Roman"/>
          <w:color w:val="000000"/>
          <w:sz w:val="16"/>
        </w:rPr>
        <w:t>million.</w:t>
      </w:r>
    </w:p>
    <w:p>
      <w:pPr>
        <w:pStyle w:val="TextBody"/>
        <w:bidi w:val="0"/>
        <w:spacing w:before="0" w:after="180"/>
        <w:jc w:val="left"/>
        <w:rPr>
          <w:rFonts w:ascii="Times New Roman" w:hAnsi="Times New Roman"/>
          <w:sz w:val="20"/>
        </w:rPr>
      </w:pPr>
      <w:r>
        <w:rPr>
          <w:rFonts w:ascii="Times New Roman" w:hAnsi="Times New Roman"/>
          <w:i/>
          <w:color w:val="000000"/>
          <w:sz w:val="20"/>
        </w:rPr>
        <w:t>Geographic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categorizes revenues by geographic region in which the revenues and invoicing are recorded. Other than the United States, no single country accounted for 10% or more of our total revenues during these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revenues by geographical region (in thousands):</w:t>
      </w:r>
    </w:p>
    <w:tbl>
      <w:tblPr>
        <w:tblW w:w="8042" w:type="dxa"/>
        <w:jc w:val="left"/>
        <w:tblInd w:w="0" w:type="dxa"/>
        <w:tblLayout w:type="fixed"/>
        <w:tblCellMar>
          <w:top w:w="28" w:type="dxa"/>
          <w:left w:w="28" w:type="dxa"/>
          <w:bottom w:w="28" w:type="dxa"/>
          <w:right w:w="28" w:type="dxa"/>
        </w:tblCellMar>
      </w:tblPr>
      <w:tblGrid>
        <w:gridCol w:w="1736"/>
        <w:gridCol w:w="246"/>
        <w:gridCol w:w="249"/>
        <w:gridCol w:w="921"/>
        <w:gridCol w:w="172"/>
        <w:gridCol w:w="172"/>
        <w:gridCol w:w="249"/>
        <w:gridCol w:w="921"/>
        <w:gridCol w:w="246"/>
        <w:gridCol w:w="246"/>
        <w:gridCol w:w="225"/>
        <w:gridCol w:w="996"/>
        <w:gridCol w:w="156"/>
        <w:gridCol w:w="156"/>
        <w:gridCol w:w="225"/>
        <w:gridCol w:w="835"/>
        <w:gridCol w:w="291"/>
      </w:tblGrid>
      <w:tr>
        <w:trPr/>
        <w:tc>
          <w:tcPr>
            <w:tcW w:w="1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166,392</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net long-lived assets by geographic area (in thousands):</w:t>
      </w:r>
    </w:p>
    <w:tbl>
      <w:tblPr>
        <w:tblW w:w="6085" w:type="dxa"/>
        <w:jc w:val="left"/>
        <w:tblInd w:w="0" w:type="dxa"/>
        <w:tblLayout w:type="fixed"/>
        <w:tblCellMar>
          <w:top w:w="28" w:type="dxa"/>
          <w:left w:w="28" w:type="dxa"/>
          <w:bottom w:w="28" w:type="dxa"/>
          <w:right w:w="28" w:type="dxa"/>
        </w:tblCellMar>
      </w:tblPr>
      <w:tblGrid>
        <w:gridCol w:w="2311"/>
        <w:gridCol w:w="146"/>
        <w:gridCol w:w="285"/>
        <w:gridCol w:w="1260"/>
        <w:gridCol w:w="146"/>
        <w:gridCol w:w="146"/>
        <w:gridCol w:w="277"/>
        <w:gridCol w:w="1223"/>
        <w:gridCol w:w="2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long-lived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3,433,674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16. Subsequent Events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November 5, 2025, the Company made a voluntary principal repayment of $25.0 million on its outstanding 2025 Amended First Lien Credit Facility. The repayment was made using available cash on hand. No prepayment penalties were incurred.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discussion and analysis of First Advantage Corporation’s financial condition and results of operations is provided as a supplement to the condensed consolidated financial statements for the three and nine months ended September 30, 2025, and should be read in conjunction with the audited consolidated financial statements for the year ended December 31, 2024, our “Risk Factors,” and “Management’s Discussion and Analysis of Financial Condition and Results of Operations” included in the Company’s Annual Report on Form 10-K for the year ended December 31, 2024. All discussions and information in this Quarterly Report on Form 10-Q regarding our business and financial results in 2024 relate solely to our operations prior to the acquisition of Sterling Check Corp. (“Sterling” and such acquisition, the “Sterling Acquisition”), unless otherwise indicated.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uncertainties, assumptions, or changes in circumstances that are difficult to predict or quantify. Such risks and uncertainties include, but are not limited to, the following: the failure to realize the expected benefits of the Sterling Acquisition; negative changes in external events beyond our control, including our customers’ onboarding volumes, economic drivers which are sensitive to macroeconomic cycles, such as interest rate volatility and inflation, geopolitical unrest, global trade disputes, uncertainty in financial markets, and changes in tax laws; our operations in a highly regulated industry and the fact that we are subject to numerous and evolving laws and regulations, including with respect to personal data, data security, and artificial intelligence (“AI”);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our sales to government entities and higher-tier contractors to governmental customers which involve unique competitive, procurement, budget, administrative and contractual risks;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executives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on these and other factors that could cause First Advantage’s actual results to differ materially from expected results, please see our Annual Report on Form 10-K for the year ended December 31, 2024, filed with the Securities and Exchange Commission (the “SEC”), as such factors may be updated from time to time in our periodic filings with the SEC, which are accessible on the SEC’s website at www.sec.gov. The forward-looking statements included in this Quarterly Report on Form 10-Q are made only as of the date of this Form 10-Q, and we undertake no obligation to publicly update or review any forward-looking statement, whether as a result of new information, future developments,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terms are used in this Form 10-Q, unless otherwise noted or indicated by the context:</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Times New Roman" w:hAnsi="Times New Roman"/>
          <w:color w:val="000000"/>
          <w:sz w:val="20"/>
        </w:rPr>
        <w:t>Americas” in regards to our business, means the United States, Canada, and Latin America;</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First Advantage,” the “Company,” “we,” “us,” and “our” mean the business of First Advantage Corporation and its subsidiaries;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International” in regards to our business, means all geographical regions outside of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Legacy First Advantage” refers to First Advantage Corporation and its subsidiaries, prior to the Sterling Acquisition, encompassing its core business operations, established workforce, existing processes, and the technology systems in place; </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color w:val="000000"/>
          <w:sz w:val="20"/>
        </w:rPr>
        <w:t>Revenues attributable to the Company’s acquisitions” means revenues recognized in the first year following each acquisition; and</w:t>
      </w:r>
    </w:p>
    <w:p>
      <w:pPr>
        <w:pStyle w:val="TextBody"/>
        <w:bidi w:val="0"/>
        <w:spacing w:before="0" w:after="180"/>
        <w:jc w:val="left"/>
        <w:rPr>
          <w:color w:val="000000"/>
        </w:rPr>
      </w:pPr>
      <w:r>
        <w:rPr>
          <w:color w:val="000000"/>
        </w:rPr>
        <w:t>•</w:t>
      </w:r>
    </w:p>
    <w:p>
      <w:pPr>
        <w:pStyle w:val="TextBody"/>
        <w:bidi w:val="0"/>
        <w:spacing w:before="0" w:after="180"/>
        <w:jc w:val="left"/>
        <w:rPr>
          <w:color w:val="000000"/>
        </w:rPr>
      </w:pPr>
      <w:r>
        <w:rPr>
          <w:color w:val="000000"/>
        </w:rPr>
        <w:t>“</w:t>
      </w:r>
      <w:r>
        <w:rPr>
          <w:rFonts w:ascii="Times New Roman" w:hAnsi="Times New Roman"/>
          <w:color w:val="000000"/>
          <w:sz w:val="20"/>
        </w:rPr>
        <w:t>Silver Lake” means Silver Lake Group, L.L.C., together with its affiliates, successors, and assignees.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is a leading provider of global software and data in the HR technology industry. Enabled by its proprietary technology and AI, First Advantage’s platforms, data, and APIs power comprehensive employment background screening, digital identity solutions, and verification services.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comprehensive product suite includes criminal background checks, drug and health screening, extended workforce screening, biometrics and identity, education and work verifications, resident screening, fleet and driver compliance, executive screening, data analytics, continuous monitoring, social media monitoring, and hiring tax incentives.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we completed our acquisition of Sterling, a global provider of technology-enabled background and identity verification services. This strategic acquisition enhances our capabilities and expands our service offerings, allowing us to deliver a comprehensive hiring and risk management solution that begins with identity verification and extends through criminal background screening, credential verification, drug and health screening, and ongoing risk monitoring.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Together, we derive a substantial majority of our revenues from pre-onboarding screening and perform services across over 200 countries and territories, enabling us to serve as a one-stop-shop provider to both multinational companies and growth companies. Our 80,000 customers are global enterprises, mid-sized companies, and small companies, and our products and solutions are used by personnel in recruiting, human resources, risk, compliance, vendor management, safety, and/or security.</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customers or periods. Package pricing can also vary considerably by customer depending on the product mix in their screening packages, order volumes, screening requirements and preferences, pass-through and third-party out of pocket costs, and bundling of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Additionally, a majority of Sterling’s enterprise customer contracts are exclusive to Sterling or require Sterling to be used as the primary provider.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generated revenues of $409.2 million for the three months ended September 30, 2025, as compared to $199.1 million for the three months ended September 30, 2024 and generated revenues of $1,154.4 million for the nine months ended September 30, 2025, as compared to $553.1 million for the nine months ended September 30, 2024. Approximately 86% of our revenues for the nine months ended September 30, 2025 was generated in the United States, while the remaining 14% was generated abroad. Other than the United States, no single country accounted for 10% or more of our total revenues for the three and nine months ended September 30, 2025. Please refer to “Results of Operations” for further details. </w:t>
      </w:r>
    </w:p>
    <w:p>
      <w:pPr>
        <w:pStyle w:val="TextBody"/>
        <w:bidi w:val="0"/>
        <w:spacing w:before="0" w:after="180"/>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manage our business and report our financial results in three reportable segments, First Advantage Americas, First Advantage International, and Sterling: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experience seasonality with respect to certain industries as a result of fluctuations in hiring volumes and other economic activities.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We anticipate that evolving consumer trends, labor market dynamics, technological advancements, and broader macroeconomic conditions may impact future seasonality, but we are unable to predict these potential shifts and how our business may be impacted.</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results are influenced by our customers’ underlying business performance and hiring trends, which drive demand for background screening and adjacent products. Our customers’ businesses can be affected by a variety of factors, including overall economic conditions, hiring velocity and turnover, and other industry-related trends. We are also exposed to macroeconomic cyclicality, as companies often scale back hiring and reduce reliance on contingent workforces during periods of economic slowdown, which can adversely affect demand for our products and solutions.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Current macroeconomic conditions—including elevated interest rates, persistent inflation, and fluctuations in job openings and hiring activity—continue to impact portions of the global economy. Geopolitical tensions—including ongoing conflicts in Ukraine and the Middle East—and recent trade policy actions, such as newly imposed tariffs between the U.S. and China, have further disrupted global supply chains and heightened market volatility. These factors have led to increased operating costs and reduced business confidence for companies, particularly in globally exposed sectors.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this economic uncertainty continues or worsens, we may face pressure on new business generation, customer renewals, overall demand levels, sales and marketing effectiveness, revenue growth, customer onboarding, collection cycles, and product development initiatives. Our ability to sustain growth will also depend on the long-term stability, diversity, and resilience of the industry verticals we serve and rely upon to drive our revenues.</w:t>
      </w:r>
    </w:p>
    <w:p>
      <w:pPr>
        <w:pStyle w:val="TextBody"/>
        <w:bidi w:val="0"/>
        <w:jc w:val="left"/>
        <w:rPr>
          <w:rFonts w:ascii="Times New Roman" w:hAnsi="Times New Roman"/>
          <w:sz w:val="20"/>
        </w:rPr>
      </w:pPr>
      <w:r>
        <w:rPr>
          <w:rFonts w:ascii="Times New Roman" w:hAnsi="Times New Roman"/>
          <w:color w:val="000000"/>
          <w:sz w:val="20"/>
        </w:rPr>
        <w:t xml:space="preserve">On July 4, 2025, the One Big Beautiful Bill Act (the “OBBBA”) was enacted into law in the United States, introducing substantial changes to the U.S. Corporate tax regime. Key provisions of the OBBBA include the reinstatement of 100% bonus depreciation, restoration of immediate expensing for domestic research or experimental (“R&amp;E”) expenditures, an elective acceleration of deduction for unamortized domestic R&amp;E expenditures, revised limitations on the deductibility of business interest expense, and modifications to the Global Intangible Low-Tax Income (“GILTI”) and Foreign-Derived Intangible Income (“FDII”) regimes. The OBBBA includes multiple effective dates, with certain provisions effective for tax years beginning after December 31, 2024 and others phased in through 2027. In accordance with ASC 740, </w:t>
      </w:r>
      <w:r>
        <w:rPr>
          <w:rFonts w:ascii="Times New Roman" w:hAnsi="Times New Roman"/>
          <w:i/>
          <w:color w:val="000000"/>
          <w:sz w:val="20"/>
        </w:rPr>
        <w:t>Income Taxes</w:t>
      </w:r>
      <w:r>
        <w:rPr>
          <w:rFonts w:ascii="Times New Roman" w:hAnsi="Times New Roman"/>
          <w:color w:val="000000"/>
          <w:sz w:val="20"/>
        </w:rPr>
        <w:t>, the Company has reflected the impacts of OBBBA in the interim period that includes the enactment date. The resulting effects have been incorporated into the Company’s income tax provision for the nine months ended September 30, 2025, including adjustments to deferred tax assets and liabilities where applicable. The Company continues to evaluate the broader implications of the OBBBA, including potential impacts on future taxable income, the estimated annual effective tax rate, and potential effects of future regulatory guidance issued by the Internal Revenue Service or other relevant tax authorities. Additional impacts, if any, will be recognized in subsequent periods as appropriate.</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on October 1, 2025, the U.S. federal government entered a partial shutdown, resulting in widespread furloughs and delays in the release of key economic data. If prolonged, the shutdown may contribute to increased economic uncertainty, potentially affecting customer demand, hiring activity, regulatory timelines, and overall business sentiment. We continue to monitor the situation and assess any potential impacts on our operations and financial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Despite these macroeconomic changes, we are confident in the overall long-term health of our business, the strength of our product offerings, and our ability to continue to execute on our strategy and help our customers hire smarter and onboard faster. Our continued focus on delivering innovative solutions that enhance workplace safety and address evolving compliance requirements as well as our diversified customer base have contributed to the stability of our business and long-term financial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see our “Risk Factors” and “Management’s Discussion and Analysis of Financial Condition and Results of Operations” included in the Company’s Annual Report on Form 10-K for the year ended December 31, 2024 (the “2024 Annual Report”).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derives revenues from a variety of background screening and adjacent products performed across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candidate evaluation process and support compliance with their workforce onboarding criteria from the time an application is submitted to a candidate’s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incur the following expenses related to our cost of revenues and operating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Cost of Services (exclusive of depreciation and amortization below)</w:t>
      </w:r>
      <w:r>
        <w:rPr>
          <w:rFonts w:ascii="Times New Roman" w:hAnsi="Times New Roman"/>
          <w:color w:val="000000"/>
          <w:sz w:val="20"/>
        </w:rPr>
        <w:t>:</w:t>
      </w:r>
      <w:r>
        <w:rPr>
          <w:color w:val="000000"/>
        </w:rPr>
        <w:t xml:space="preserve"> </w:t>
      </w:r>
      <w:r>
        <w:rPr>
          <w:rFonts w:ascii="Times New Roman" w:hAnsi="Times New Roman"/>
          <w:color w:val="000000"/>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Product and Technology Expense</w:t>
      </w:r>
      <w:r>
        <w:rPr>
          <w:rFonts w:ascii="Times New Roman" w:hAnsi="Times New Roman"/>
          <w:color w:val="000000"/>
          <w:sz w:val="20"/>
        </w:rPr>
        <w:t>: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Certain of these costs are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Selling, General, and Administrative Expense</w:t>
      </w:r>
      <w:r>
        <w:rPr>
          <w:rFonts w:ascii="Times New Roman" w:hAnsi="Times New Roman"/>
          <w:color w:val="000000"/>
          <w:sz w:val="20"/>
        </w:rPr>
        <w:t>: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the Sterling Acquisition.</w:t>
      </w:r>
      <w:r>
        <w:rPr>
          <w:color w:val="FF0000"/>
        </w:rPr>
        <w:t xml:space="preserve"> </w:t>
      </w:r>
      <w:r>
        <w:rPr>
          <w:rFonts w:ascii="Times New Roman" w:hAnsi="Times New Roman"/>
          <w:color w:val="000000"/>
          <w:sz w:val="20"/>
        </w:rPr>
        <w:t xml:space="preserve">We do not allocate depreciation and amortization to selling, general, and administrative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Depreciation and Amortizatio</w:t>
      </w:r>
      <w:r>
        <w:rPr>
          <w:rFonts w:ascii="Times New Roman" w:hAnsi="Times New Roman"/>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flexible cost structure that allows our business to adjust quickly to the impacts of macroeconomic events and scale to meet the needs of large customers. Operating expenses are influenced by the amount of revenues, customer mix, and product mix that contribute to our revenues for any given period, as well as the progress of our integration of Sterling.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other expense, net consists of the following: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Interest expense, net</w:t>
      </w:r>
      <w:r>
        <w:rPr>
          <w:rFonts w:ascii="Times New Roman" w:hAnsi="Times New Roman"/>
          <w:color w:val="000000"/>
          <w:sz w:val="20"/>
        </w:rPr>
        <w:t>: Relates primarily to our debt service costs, the interest-related unrealized gains and losses of our interest rate derivative instruments and, to a lesser extent, the interest on our finance lease obligations and the amortization of deferred financing costs. Additionally, interest expense, net includes interest income earnings on our cash and cash equivalent balances held in interest-bearing accounts.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Loss on Extinguishment of Debt</w:t>
      </w:r>
      <w:r>
        <w:rPr>
          <w:rFonts w:ascii="Times New Roman" w:hAnsi="Times New Roman"/>
          <w:color w:val="000000"/>
          <w:sz w:val="20"/>
        </w:rPr>
        <w:t>: Represents non-operating expense incurred when we repay or refinance debt prior to maturity. This includes the write-off of unamortized debt issuance costs and early repayment penalties, if any.</w:t>
      </w:r>
    </w:p>
    <w:p>
      <w:pPr>
        <w:pStyle w:val="TextBody"/>
        <w:bidi w:val="0"/>
        <w:spacing w:before="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Provision for income taxes consists of domestic and foreign corporate income taxes related to earnings from our sale of products and services, with statutory tax rates that differ by jurisdiction. Our effective tax rate may be affected by various factors including changes in tax laws, regulations, credits or rates, new interpretations of existing laws or regulations, shifts in the allocation of income earned throughout the world, and changes in overall levels of income before tax.</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Results of Operations for the three and nine months ended September 30, 2025 compared to the three and nine months ended September 30, 2024</w:t>
      </w:r>
    </w:p>
    <w:tbl>
      <w:tblPr>
        <w:tblW w:w="10205" w:type="dxa"/>
        <w:jc w:val="left"/>
        <w:tblInd w:w="0" w:type="dxa"/>
        <w:tblLayout w:type="fixed"/>
        <w:tblCellMar>
          <w:top w:w="28" w:type="dxa"/>
          <w:left w:w="28" w:type="dxa"/>
          <w:bottom w:w="28" w:type="dxa"/>
          <w:right w:w="28" w:type="dxa"/>
        </w:tblCellMar>
      </w:tblPr>
      <w:tblGrid>
        <w:gridCol w:w="2915"/>
        <w:gridCol w:w="546"/>
        <w:gridCol w:w="218"/>
        <w:gridCol w:w="810"/>
        <w:gridCol w:w="281"/>
        <w:gridCol w:w="151"/>
        <w:gridCol w:w="218"/>
        <w:gridCol w:w="810"/>
        <w:gridCol w:w="546"/>
        <w:gridCol w:w="546"/>
        <w:gridCol w:w="211"/>
        <w:gridCol w:w="931"/>
        <w:gridCol w:w="289"/>
        <w:gridCol w:w="146"/>
        <w:gridCol w:w="211"/>
        <w:gridCol w:w="781"/>
        <w:gridCol w:w="595"/>
      </w:tblGrid>
      <w:tr>
        <w:trPr/>
        <w:tc>
          <w:tcPr>
            <w:tcW w:w="291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77,967</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366,908</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1,066,775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534,791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42,243</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87,597</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40,448</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132,067</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tbl>
      <w:tblPr>
        <w:tblW w:w="8949" w:type="dxa"/>
        <w:jc w:val="left"/>
        <w:tblInd w:w="0" w:type="dxa"/>
        <w:tblLayout w:type="fixed"/>
        <w:tblCellMar>
          <w:top w:w="28" w:type="dxa"/>
          <w:left w:w="28" w:type="dxa"/>
          <w:bottom w:w="28" w:type="dxa"/>
          <w:right w:w="28" w:type="dxa"/>
        </w:tblCellMar>
      </w:tblPr>
      <w:tblGrid>
        <w:gridCol w:w="2606"/>
        <w:gridCol w:w="246"/>
        <w:gridCol w:w="246"/>
        <w:gridCol w:w="913"/>
        <w:gridCol w:w="194"/>
        <w:gridCol w:w="170"/>
        <w:gridCol w:w="246"/>
        <w:gridCol w:w="913"/>
        <w:gridCol w:w="266"/>
        <w:gridCol w:w="246"/>
        <w:gridCol w:w="223"/>
        <w:gridCol w:w="988"/>
        <w:gridCol w:w="176"/>
        <w:gridCol w:w="154"/>
        <w:gridCol w:w="223"/>
        <w:gridCol w:w="828"/>
        <w:gridCol w:w="311"/>
      </w:tblGrid>
      <w:tr>
        <w:trPr/>
        <w:tc>
          <w:tcPr>
            <w:tcW w:w="2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174,905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Eliminations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$409.2 million for the three months ended September 30, 2025, compared to $199.1 million for the three months ended September 30, 2024. Revenues for the three months ended September 30, 2025 increased by $210.0 million, or 105.5%,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revenues of $199.4 million, or 100.1%, attributable to Sterling as a result of the Sterling Acquisition completed on October 31, 2024;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$7.0 million, or 3.5%, from new customers, primarily attributable to our First Advantage Americas segment;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$3.6 million, or 1.8% from existing customers, primarily driven by continued strength from upselling and cross-selling initiatives. These increases were partially offset by declines in existing customer revenues across several verticals, largely due to macroeconomic pressures that contributed to reduced demand and the impact of lost customers.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Revenues were $1,154.4 million for the nine months ended September 30, 2025, compared to $553.1 million for the nine months ended September 30, 2024. Revenues for the nine months ended September 30, 2025 increased by $601.3 million, or 108.7%,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$590.6 million, or 106.8%, attributable to Sterling as a result of the Sterling Acquisition completed on October 31, 2024;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$15.7 million, or 2.8%, from new customers, primarily attributable to our First Advantage Americas segment.</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These revenue increases were offset by a net decrease of $5.0 million, or 0.9%, in revenues from existing customers, primarily due to macroeconomic pressures across a number of our customer verticals that led to reduced overall existing customer demand, as well as the impact of lost customers. These decreases in existing customer revenues were partially mitigated by continued strength from upselling and cross-selling initiatives, which contributed an additional $27.0 million, or 4.9%, in revenue growth.</w:t>
      </w:r>
    </w:p>
    <w:p>
      <w:pPr>
        <w:pStyle w:val="TextBody"/>
        <w:bidi w:val="0"/>
        <w:spacing w:before="0" w:after="180"/>
        <w:jc w:val="left"/>
        <w:rPr>
          <w:rFonts w:ascii="Times New Roman" w:hAnsi="Times New Roman"/>
          <w:sz w:val="20"/>
        </w:rPr>
      </w:pPr>
      <w:r>
        <w:rPr>
          <w:rFonts w:ascii="Times New Roman" w:hAnsi="Times New Roman"/>
          <w:color w:val="000000"/>
          <w:sz w:val="20"/>
        </w:rPr>
        <w:t>Pricing remained relatively stable across all periods.</w:t>
      </w:r>
      <w:r>
        <w:rPr>
          <w:rFonts w:ascii="Times New Roman" w:hAnsi="Times New Roman"/>
          <w:color w:val="FF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Cost of Services</w:t>
      </w:r>
      <w:r>
        <w:rPr>
          <w:rFonts w:ascii="Times New Roman" w:hAnsi="Times New Roman"/>
          <w:color w:val="000000"/>
          <w:sz w:val="20"/>
        </w:rPr>
        <w:t xml:space="preserve"> </w:t>
      </w:r>
    </w:p>
    <w:tbl>
      <w:tblPr>
        <w:tblW w:w="9006" w:type="dxa"/>
        <w:jc w:val="left"/>
        <w:tblInd w:w="0" w:type="dxa"/>
        <w:tblLayout w:type="fixed"/>
        <w:tblCellMar>
          <w:top w:w="28" w:type="dxa"/>
          <w:left w:w="28" w:type="dxa"/>
          <w:bottom w:w="28" w:type="dxa"/>
          <w:right w:w="28" w:type="dxa"/>
        </w:tblCellMar>
      </w:tblPr>
      <w:tblGrid>
        <w:gridCol w:w="2851"/>
        <w:gridCol w:w="146"/>
        <w:gridCol w:w="236"/>
        <w:gridCol w:w="873"/>
        <w:gridCol w:w="303"/>
        <w:gridCol w:w="163"/>
        <w:gridCol w:w="236"/>
        <w:gridCol w:w="873"/>
        <w:gridCol w:w="271"/>
        <w:gridCol w:w="146"/>
        <w:gridCol w:w="214"/>
        <w:gridCol w:w="947"/>
        <w:gridCol w:w="275"/>
        <w:gridCol w:w="148"/>
        <w:gridCol w:w="214"/>
        <w:gridCol w:w="794"/>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222,039</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as a %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$222.0 million for the three months ended September 30, 2025, compared to $100.9 million for the three months ended September 30, 2024. Cost of services for the three months ended September 30, 2025 increased by $121.2 million, or 120.1%,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 $113.1 million of Sterling costs of services recognized after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services as a percentage of revenues was 54.3% for the three months ended September 30, 2025, compared to 50.7% for the three months ended September 30, 2024. The cost of services percentage of revenues for the third quarter of 2025 was impacted by Sterling’s higher relative cost of services due to the segment’s product and customer mix and other variations in customer ordering mix.</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Cost of services was $622.4 million for the nine months ended September 30, 2025, compared to $280.4 million for the nine months ended September 30, 2024. Cost of services for the nine months ended September 30, 2025 increased by $342.0 million, or 122.0%,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 $332.0 million of Sterling costs of services recognized after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services as a percentage of revenues was 53.9% for the nine months ended September 30, 2025, compared to 50.7% for the nine months ended September 30, 2024. The cost of services percentage of revenues for the third quarter of 2025 was impacted by Sterling’s higher relative cost of services due to the segment’s product and customer mix and other variations in customer ordering mix.</w:t>
      </w:r>
    </w:p>
    <w:p>
      <w:pPr>
        <w:pStyle w:val="TextBody"/>
        <w:bidi w:val="0"/>
        <w:spacing w:before="0" w:after="18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xml:space="preserve"> </w:t>
      </w:r>
    </w:p>
    <w:tbl>
      <w:tblPr>
        <w:tblW w:w="8681" w:type="dxa"/>
        <w:jc w:val="left"/>
        <w:tblInd w:w="0" w:type="dxa"/>
        <w:tblLayout w:type="fixed"/>
        <w:tblCellMar>
          <w:top w:w="28" w:type="dxa"/>
          <w:left w:w="28" w:type="dxa"/>
          <w:bottom w:w="28" w:type="dxa"/>
          <w:right w:w="28" w:type="dxa"/>
        </w:tblCellMar>
      </w:tblPr>
      <w:tblGrid>
        <w:gridCol w:w="2776"/>
        <w:gridCol w:w="146"/>
        <w:gridCol w:w="274"/>
        <w:gridCol w:w="878"/>
        <w:gridCol w:w="189"/>
        <w:gridCol w:w="189"/>
        <w:gridCol w:w="274"/>
        <w:gridCol w:w="878"/>
        <w:gridCol w:w="146"/>
        <w:gridCol w:w="146"/>
        <w:gridCol w:w="265"/>
        <w:gridCol w:w="849"/>
        <w:gridCol w:w="183"/>
        <w:gridCol w:w="183"/>
        <w:gridCol w:w="265"/>
        <w:gridCol w:w="849"/>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 and technology expense was $25.1 million for the three months ended September 30, 2025, compared to $12.9 million for the three months ended September 30, 2024. Product and technology expense for the three months ended September 30, 2025 increased by $12.2 million, or 94.7%,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$5.3 million of Sterling personnel expenses recognized after the Sterling Acquisition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$3.5 million increase in Legacy First Advantage personnel expenses as a result of additional investments made to enhance our products, solutions, and technology platforms;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$3.2 million increase in professional service fees related to continued investments in our technology platforms.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Product and technology expense was $78.0 million for the nine months ended September 30, 2025, compared to $39.1 million for the nine months ended September 30, 2024. Product and technology expense for the nine months ended September 30, 2025 increased by $38.9 million, or 99.6%,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$19.8 million of Sterling personnel expenses recognized after the Sterling Acquisition, of which approximately $1.2 million related to cash compensation expense due to the conversion of Sterling equity awards to cash awards as part of the transaction;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$9.4 million increase in professional service fees related to continued investments in our technology platforms;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$7.7 million increase in Legacy First Advantage personnel expenses as a result of additional investments made to enhance our products, solutions, and technology platforms.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tbl>
      <w:tblPr>
        <w:tblW w:w="9609" w:type="dxa"/>
        <w:jc w:val="left"/>
        <w:tblInd w:w="0" w:type="dxa"/>
        <w:tblLayout w:type="fixed"/>
        <w:tblCellMar>
          <w:top w:w="28" w:type="dxa"/>
          <w:left w:w="28" w:type="dxa"/>
          <w:bottom w:w="28" w:type="dxa"/>
          <w:right w:w="28" w:type="dxa"/>
        </w:tblCellMar>
      </w:tblPr>
      <w:tblGrid>
        <w:gridCol w:w="3706"/>
        <w:gridCol w:w="146"/>
        <w:gridCol w:w="274"/>
        <w:gridCol w:w="878"/>
        <w:gridCol w:w="189"/>
        <w:gridCol w:w="189"/>
        <w:gridCol w:w="274"/>
        <w:gridCol w:w="878"/>
        <w:gridCol w:w="146"/>
        <w:gridCol w:w="146"/>
        <w:gridCol w:w="240"/>
        <w:gridCol w:w="890"/>
        <w:gridCol w:w="166"/>
        <w:gridCol w:w="166"/>
        <w:gridCol w:w="240"/>
        <w:gridCol w:w="890"/>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$57.5 million for the three months ended September 30, 2025, compared to $46.1 million for the three months ended September 30, 2024. Selling, general, and administrative expense for the three months ended September 30, 2025 increased by $11.4 million, or 24.8%,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increased primarily due to $25.6 million of Sterling expenses recognized after the Sterling Acquisition, which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$12.1 million of personnel expenses recognized after the Sterling Acquisition;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$1.2 million increase in bad debt expense as certain groups of customers have experienced longer than normal payment cycles;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$0.9 million related to share-based compensation expense due to the conversion of Sterling equity awards to First Advantage equity awards as part of the transaction;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$0.8 million related to cash compensation expense due to the conversion of Sterling equity awards to cash awards as part of the transaction.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increases in selling, general, and administrative expense were partially offset by a $12.2 million decrease in transaction costs attributable to the Sterling Acquisition related to professional service, legal, and other fees, that did not reoccur as the acquisition was completed on October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$180.5 million for the nine months ended September 30, 2025, compared to $125.4 million for the nine months ended September 30, 2024. Selling, general, and administrative expense for the nine months ended September 30, 2025 increased by $55.2 million, or 44.0%,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increased primarily due to $87.4 million of Sterling expenses recognized after the Sterling Acquisition, which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$43.8 million of personnel expenses recognized after the Sterling Acquisition;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$5.2 million related to share-based compensation expense due to the conversion of Sterling equity awards to First Advantage equity awards as part of the transaction;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$4.8 million related to cash compensation expense due to the conversion of Sterling equity awards to cash awards as part of the transaction.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increases in selling, general, and administrative expense were partially offset by a $29.1 million decrease in transaction costs attributable to the Sterling Acquisition related to professional service, legal, and other fees, that did not reoccur as the acquisition was completed on October 31, 2024.</w:t>
      </w:r>
    </w:p>
    <w:p>
      <w:pPr>
        <w:pStyle w:val="TextBody"/>
        <w:bidi w:val="0"/>
        <w:spacing w:before="0" w:after="18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tbl>
      <w:tblPr>
        <w:tblW w:w="8500" w:type="dxa"/>
        <w:jc w:val="left"/>
        <w:tblInd w:w="0" w:type="dxa"/>
        <w:tblLayout w:type="fixed"/>
        <w:tblCellMar>
          <w:top w:w="28" w:type="dxa"/>
          <w:left w:w="28" w:type="dxa"/>
          <w:bottom w:w="28" w:type="dxa"/>
          <w:right w:w="28" w:type="dxa"/>
        </w:tblCellMar>
      </w:tblPr>
      <w:tblGrid>
        <w:gridCol w:w="2596"/>
        <w:gridCol w:w="146"/>
        <w:gridCol w:w="274"/>
        <w:gridCol w:w="878"/>
        <w:gridCol w:w="189"/>
        <w:gridCol w:w="189"/>
        <w:gridCol w:w="274"/>
        <w:gridCol w:w="878"/>
        <w:gridCol w:w="146"/>
        <w:gridCol w:w="146"/>
        <w:gridCol w:w="252"/>
        <w:gridCol w:w="933"/>
        <w:gridCol w:w="174"/>
        <w:gridCol w:w="174"/>
        <w:gridCol w:w="252"/>
        <w:gridCol w:w="808"/>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Depreciation and amortization was $62.3 million for the three months ended September 30, 2025, compared to $30.2 million for the three months ended September 30, 2024. Depreciation and amortization for the three months ended September 30, 2025 increased by $32.1 million, or 106.4%, compared to the three months ended September 30, 2024. This increase was primarily due to the impact of the step up in fair value of property and equipment and intangible assets as a result of the application of purchase accounting related to the Sterling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Depreciation and amortization was $185.8 million for the nine months ended September 30, 2025, compared to $90.0 million for the nine months ended September 30, 2024. Depreciation and amortization for the nine months ended September 30, 2025 increased by $95.9 million, or 106.6%, compared to the nine months ended September 30, 2024. This increase was primarily due to the impact of the step up in fair value of property and equipment and intangible assets as a result of the application of purchase accounting related to the Sterling Acquisition.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Interest Expense, Net</w:t>
      </w:r>
    </w:p>
    <w:tbl>
      <w:tblPr>
        <w:tblW w:w="7675" w:type="dxa"/>
        <w:jc w:val="left"/>
        <w:tblInd w:w="0" w:type="dxa"/>
        <w:tblLayout w:type="fixed"/>
        <w:tblCellMar>
          <w:top w:w="28" w:type="dxa"/>
          <w:left w:w="28" w:type="dxa"/>
          <w:bottom w:w="28" w:type="dxa"/>
          <w:right w:w="28" w:type="dxa"/>
        </w:tblCellMar>
      </w:tblPr>
      <w:tblGrid>
        <w:gridCol w:w="1771"/>
        <w:gridCol w:w="146"/>
        <w:gridCol w:w="274"/>
        <w:gridCol w:w="878"/>
        <w:gridCol w:w="189"/>
        <w:gridCol w:w="189"/>
        <w:gridCol w:w="274"/>
        <w:gridCol w:w="878"/>
        <w:gridCol w:w="146"/>
        <w:gridCol w:w="146"/>
        <w:gridCol w:w="252"/>
        <w:gridCol w:w="933"/>
        <w:gridCol w:w="174"/>
        <w:gridCol w:w="174"/>
        <w:gridCol w:w="252"/>
        <w:gridCol w:w="80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$40.0 million for the three months ended September 30, 2025, compared to $17.2 million for the three months ended September 30, 2024. Interest expense, net for the three months ended September 30, 2025 increased by $22.9 million or 132.9%,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interest expense was primarily driven by higher borrowings under the term loan facility, which included an incremental principal amount of $1,620.3 million and an expanded revolver commitment of $150.0 million in connection with the Sterling Acquisition. Interest expense, net was further impacted by unrealized gains on the Company’s interest rate swaps.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Interest expense, net was $131.4 million for the nine months ended September 30, 2025, compared to $28.1 million for the nine months ended September 30, 2024. Interest expense, net for the nine months ended September 30, 2025 increased by $103.3 million or 367.4%,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interest expense was primarily driven by higher borrowings under the term loan facility, which included an incremental principal amount of $1,620.3 million and an expanded revolver commitment of $150.0 million in connection with the Sterling Acquisition. Interest expense, net was further impacted by $5.6 million of unrealized losses on the Company’s interest rate swaps, reflecting heightened interest rate volatility during the period.</w:t>
      </w:r>
    </w:p>
    <w:p>
      <w:pPr>
        <w:pStyle w:val="TextBody"/>
        <w:bidi w:val="0"/>
        <w:spacing w:before="0" w:after="180"/>
        <w:jc w:val="left"/>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xml:space="preserve"> </w:t>
      </w:r>
    </w:p>
    <w:tbl>
      <w:tblPr>
        <w:tblW w:w="8588" w:type="dxa"/>
        <w:jc w:val="left"/>
        <w:tblInd w:w="0" w:type="dxa"/>
        <w:tblLayout w:type="fixed"/>
        <w:tblCellMar>
          <w:top w:w="28" w:type="dxa"/>
          <w:left w:w="28" w:type="dxa"/>
          <w:bottom w:w="28" w:type="dxa"/>
          <w:right w:w="28" w:type="dxa"/>
        </w:tblCellMar>
      </w:tblPr>
      <w:tblGrid>
        <w:gridCol w:w="2686"/>
        <w:gridCol w:w="146"/>
        <w:gridCol w:w="382"/>
        <w:gridCol w:w="763"/>
        <w:gridCol w:w="264"/>
        <w:gridCol w:w="264"/>
        <w:gridCol w:w="382"/>
        <w:gridCol w:w="627"/>
        <w:gridCol w:w="146"/>
        <w:gridCol w:w="146"/>
        <w:gridCol w:w="369"/>
        <w:gridCol w:w="737"/>
        <w:gridCol w:w="255"/>
        <w:gridCol w:w="255"/>
        <w:gridCol w:w="369"/>
        <w:gridCol w:w="606"/>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Loss on extinguishment of debt for the three and nine months ended September 30, 2025, relates to the write-off of unamortized deferred financing costs as a result of voluntary principal repayments of $40.0 million on the Company’s outstanding term loan facility. </w:t>
      </w:r>
    </w:p>
    <w:p>
      <w:pPr>
        <w:pStyle w:val="TextBody"/>
        <w:bidi w:val="0"/>
        <w:spacing w:before="0" w:after="18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8951" w:type="dxa"/>
        <w:jc w:val="left"/>
        <w:tblInd w:w="0" w:type="dxa"/>
        <w:tblLayout w:type="fixed"/>
        <w:tblCellMar>
          <w:top w:w="28" w:type="dxa"/>
          <w:left w:w="28" w:type="dxa"/>
          <w:bottom w:w="28" w:type="dxa"/>
          <w:right w:w="28" w:type="dxa"/>
        </w:tblCellMar>
      </w:tblPr>
      <w:tblGrid>
        <w:gridCol w:w="3046"/>
        <w:gridCol w:w="146"/>
        <w:gridCol w:w="346"/>
        <w:gridCol w:w="789"/>
        <w:gridCol w:w="272"/>
        <w:gridCol w:w="239"/>
        <w:gridCol w:w="346"/>
        <w:gridCol w:w="691"/>
        <w:gridCol w:w="146"/>
        <w:gridCol w:w="146"/>
        <w:gridCol w:w="325"/>
        <w:gridCol w:w="974"/>
        <w:gridCol w:w="256"/>
        <w:gridCol w:w="225"/>
        <w:gridCol w:w="325"/>
        <w:gridCol w:w="488"/>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(benefit) provision for income taxes was $(0.8) million for the three months ended September 30, 2025, compared to $0.8 million for the three months ended September 30, 2024. Our provision for income taxes for the three months ended September 30, 2025 decreased by $1.6 million,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decrease in our provision for income taxes was primarily due to the jurisdictional mix of earnings, higher income taxes in the jurisdictions outside of the U.S., and U.S. state income taxes, during the three months ended September 30, 2025, as compared to the three months ended September 30,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(benefit) provision for income taxes was $(6.2) million for the nine months ended September 30, 2025, compared to $0.1 million for the nine months ended September 30, 2024. Our provision for income taxes for the nine months ended September 30, 2025 decreased by $6.3 million,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decrease in our provision for income taxes was primarily due to the increase of net book loss before income taxes, jurisdictional mix of earnings, higher income taxes in the jurisdictions outside of the U.S., and U.S. state income taxes, during the nine months ended September 30, 2025, as compared to the nine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Net Income (Loss) and Net Income (Loss) Margin</w:t>
      </w:r>
      <w:r>
        <w:rPr>
          <w:rFonts w:ascii="Times New Roman" w:hAnsi="Times New Roman"/>
          <w:color w:val="000000"/>
          <w:sz w:val="20"/>
        </w:rPr>
        <w:t xml:space="preserve"> </w:t>
      </w:r>
    </w:p>
    <w:tbl>
      <w:tblPr>
        <w:tblW w:w="8796" w:type="dxa"/>
        <w:jc w:val="left"/>
        <w:tblInd w:w="0" w:type="dxa"/>
        <w:tblLayout w:type="fixed"/>
        <w:tblCellMar>
          <w:top w:w="28" w:type="dxa"/>
          <w:left w:w="28" w:type="dxa"/>
          <w:bottom w:w="28" w:type="dxa"/>
          <w:right w:w="28" w:type="dxa"/>
        </w:tblCellMar>
      </w:tblPr>
      <w:tblGrid>
        <w:gridCol w:w="2521"/>
        <w:gridCol w:w="146"/>
        <w:gridCol w:w="277"/>
        <w:gridCol w:w="751"/>
        <w:gridCol w:w="356"/>
        <w:gridCol w:w="192"/>
        <w:gridCol w:w="277"/>
        <w:gridCol w:w="830"/>
        <w:gridCol w:w="331"/>
        <w:gridCol w:w="146"/>
        <w:gridCol w:w="241"/>
        <w:gridCol w:w="843"/>
        <w:gridCol w:w="379"/>
        <w:gridCol w:w="167"/>
        <w:gridCol w:w="241"/>
        <w:gridCol w:w="722"/>
        <w:gridCol w:w="37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income (loss) was $2.6 million for the three months ended September 30, 2025, compared to $(8.9) million for the three months ended September 30, 2024. Net income for the three months ended September 30, 2025 increased by $11.5 million compared to the three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income (loss) margin was 0.6% for the three months ended September 30, 2025, compared to (4.4)% for the three months ended September 30, 2024. The improvement in our net income margin is attributable to our ability to leverage operational efficiencies to control overall expenses, while increasing revenues. These improvements were offset by increases in depreciation and amortization and interest costs, primarily as a result of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loss was $(38.3) million for the nine months ended September 30, 2025, compared to $(9.9) million for the nine months ended September 30, 2024. Net loss for the nine months ended September 30, 2025 increased by $(28.4) million compared to the nine months ended September 30,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loss margin was (3.3)% for the nine months ended September 30, 2025, compared to (1.8)% for the nine months ended September 30, 2024, as increases in depreciation and amortization and interest costs, primarily as a result of the Company’s Sterling Acquisition and reduced demand from customers more impacted by macroeconomic factors, contributed to lower profitability.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was $118.5 million for the three months ended September 30, 2025 and represented an Adjusted EBITDA Margin of 29.0%. Adjusted EBITDA was $64.0 million for the three months ended September 30, 2024 and represented an Adjusted EBITDA Margin of 32.2%. Adjusted EBITDA for the three months ended September 30, 2025 increased by $54.5 million, or 85.0%, compared to the three months ended September 30, 2024, primarily due to the Sterling Acquisition and related synergies.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was $324.6 million for the nine months ended September 30, 2025 and represented an Adjusted EBITDA Margin of 28.1%. Adjusted EBITDA was $166.4 million for the nine months ended September 30, 2024 and represented an Adjusted EBITDA Margin of 30.1%. Adjusted EBITDA for the nine months ended September 30, 2025 increased by $158.2 million, or 95.1%, compared to the nine months ended September 30, 2024, primarily due to the Sterling Acquisition and related synergies.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for the periods presented. </w:t>
      </w:r>
    </w:p>
    <w:tbl>
      <w:tblPr>
        <w:tblW w:w="9771" w:type="dxa"/>
        <w:jc w:val="left"/>
        <w:tblInd w:w="0" w:type="dxa"/>
        <w:tblLayout w:type="fixed"/>
        <w:tblCellMar>
          <w:top w:w="28" w:type="dxa"/>
          <w:left w:w="28" w:type="dxa"/>
          <w:bottom w:w="28" w:type="dxa"/>
          <w:right w:w="28" w:type="dxa"/>
        </w:tblCellMar>
      </w:tblPr>
      <w:tblGrid>
        <w:gridCol w:w="3826"/>
        <w:gridCol w:w="146"/>
        <w:gridCol w:w="258"/>
        <w:gridCol w:w="957"/>
        <w:gridCol w:w="203"/>
        <w:gridCol w:w="178"/>
        <w:gridCol w:w="258"/>
        <w:gridCol w:w="828"/>
        <w:gridCol w:w="166"/>
        <w:gridCol w:w="146"/>
        <w:gridCol w:w="238"/>
        <w:gridCol w:w="883"/>
        <w:gridCol w:w="187"/>
        <w:gridCol w:w="165"/>
        <w:gridCol w:w="238"/>
        <w:gridCol w:w="883"/>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118,500</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324,558</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Share-based compensation for the three and nine months ended September 30, 2025 includes approximately $1.9 million and $5.6 million, respectively, of incrementally recognized expense associated with the May 2023 modification of the vesting terms of outstanding unvested and unearned performance-based options, restricted stock units, and restricted stock awards. The three and nine months ended September 30, 2024 includes approximately $6.6 million and $11.7 million, respectively, of incrementally recognized expense associated with the May 2023 vesting modification and retirements of the Company's former Chief Financial Officer and President, Americas.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2025 include approximately $1.4 million and $7.5 million of expense, respectively, associated with the Sterling Acquisition. The three and nine months ended September 30, 2024 include approximately $13.2 million and $33.5 million of expense, respectively, associated with the Sterling Acquisition, primarily consisting of legal, regulatory, and diligence professional service fees. The three and nine months ended September 30, 2024 also include insurance costs incurred related to the Company's initial public offering.</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impairment of capitalized software, (gains) losses on the sale of assets, and other non-recurring items. Integration, restructuring, and other charges for the three and nine months ended September 30, 2025 include approximately $3.8 million and $15.4 million of expense, respectively, associated with the integration of Sterling. The three and nine months ended September 30, 2025 also include approximately $1.5 million of expenses related to debt refinancing activities, as well as capitalized software impairment charges of approximately $1.2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define Adjusted EBITDA Margin as Adjusted EBITDA divided by total revenues. The following table presents the calculation of Adjusted EBITDA Margin for the periods presented. </w:t>
      </w:r>
    </w:p>
    <w:tbl>
      <w:tblPr>
        <w:tblW w:w="8736" w:type="dxa"/>
        <w:jc w:val="left"/>
        <w:tblInd w:w="0" w:type="dxa"/>
        <w:tblLayout w:type="fixed"/>
        <w:tblCellMar>
          <w:top w:w="28" w:type="dxa"/>
          <w:left w:w="28" w:type="dxa"/>
          <w:bottom w:w="28" w:type="dxa"/>
          <w:right w:w="28" w:type="dxa"/>
        </w:tblCellMar>
      </w:tblPr>
      <w:tblGrid>
        <w:gridCol w:w="2521"/>
        <w:gridCol w:w="146"/>
        <w:gridCol w:w="233"/>
        <w:gridCol w:w="862"/>
        <w:gridCol w:w="332"/>
        <w:gridCol w:w="161"/>
        <w:gridCol w:w="233"/>
        <w:gridCol w:w="862"/>
        <w:gridCol w:w="301"/>
        <w:gridCol w:w="146"/>
        <w:gridCol w:w="212"/>
        <w:gridCol w:w="936"/>
        <w:gridCol w:w="302"/>
        <w:gridCol w:w="146"/>
        <w:gridCol w:w="212"/>
        <w:gridCol w:w="785"/>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324,558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calculation of Adjusted EBITDA by segment for the periods presented. See Note 15, “Reportable Segments” to the condensed consolidated financial statements for a reconciliation of Adjusted EBITDA for the periods presented by segment. </w:t>
      </w:r>
    </w:p>
    <w:tbl>
      <w:tblPr>
        <w:tblW w:w="9086" w:type="dxa"/>
        <w:jc w:val="left"/>
        <w:tblInd w:w="0" w:type="dxa"/>
        <w:tblLayout w:type="fixed"/>
        <w:tblCellMar>
          <w:top w:w="28" w:type="dxa"/>
          <w:left w:w="28" w:type="dxa"/>
          <w:bottom w:w="28" w:type="dxa"/>
          <w:right w:w="28" w:type="dxa"/>
        </w:tblCellMar>
      </w:tblPr>
      <w:tblGrid>
        <w:gridCol w:w="2801"/>
        <w:gridCol w:w="146"/>
        <w:gridCol w:w="233"/>
        <w:gridCol w:w="862"/>
        <w:gridCol w:w="332"/>
        <w:gridCol w:w="161"/>
        <w:gridCol w:w="233"/>
        <w:gridCol w:w="862"/>
        <w:gridCol w:w="301"/>
        <w:gridCol w:w="146"/>
        <w:gridCol w:w="212"/>
        <w:gridCol w:w="936"/>
        <w:gridCol w:w="302"/>
        <w:gridCol w:w="146"/>
        <w:gridCol w:w="212"/>
        <w:gridCol w:w="785"/>
        <w:gridCol w:w="416"/>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163,718</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118,500</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324,558</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166,365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486,410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intersegment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199,119</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553,081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 xml:space="preserve">See the reconciliation of net income (loss)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(loss)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$52.3 million for the three months ended September 30, 2025, compared to $38.0 million for the three months ended September 30, 2024. Adjusted Net Income for the three months ended September 30, 2025 increased by $14.3 million, or 37.7% compared to the three months ended September 30, 2024, primarily due to the Sterling Acquisition. This increase was offset by fluctuations in interest expense resulting from changes in our capital structure.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$0.30 for the three months ended September 30, 2025, compared to $0.26 for the three months ended September 30, 2024, as increases in Adjusted Net Income were offset in part by the incremental interest on the transaction financing and the dilutive impact of the new shares issued for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$129.8 million for the nine months ended September 30, 2025, compared to $93.5 million for the nine months ended September 30, 2024. Adjusted Net Income for the nine months ended September 30, 2025 increased by $36.2 million, or 38.7% compared to the nine months ended September 30, 2024, primarily due to the Sterling Acquisition. This increase was offset by fluctuations in interest expense resulting from changes in our capital structure.</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$0.74 for the nine months ended September 30, 2025, compared to $0.64 for the nine months ended September 30, 2024, as increases in Adjusted Net Income were offset by the incremental interest on the transaction financing and the dilutive impact of the new shares issued for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and actual cash payments and receipts on the Company’s interest rate swaps impact the comparability of Adjusted Net Income and Adjusted Diluted Earnings Per Share across historical periods.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a reconciliation of Adjusted Net Income for the periods presented.</w:t>
      </w:r>
    </w:p>
    <w:tbl>
      <w:tblPr>
        <w:tblW w:w="10205" w:type="dxa"/>
        <w:jc w:val="left"/>
        <w:tblInd w:w="0" w:type="dxa"/>
        <w:tblLayout w:type="fixed"/>
        <w:tblCellMar>
          <w:top w:w="28" w:type="dxa"/>
          <w:left w:w="28" w:type="dxa"/>
          <w:bottom w:w="28" w:type="dxa"/>
          <w:right w:w="28" w:type="dxa"/>
        </w:tblCellMar>
      </w:tblPr>
      <w:tblGrid>
        <w:gridCol w:w="4282"/>
        <w:gridCol w:w="146"/>
        <w:gridCol w:w="269"/>
        <w:gridCol w:w="865"/>
        <w:gridCol w:w="211"/>
        <w:gridCol w:w="185"/>
        <w:gridCol w:w="269"/>
        <w:gridCol w:w="865"/>
        <w:gridCol w:w="166"/>
        <w:gridCol w:w="146"/>
        <w:gridCol w:w="237"/>
        <w:gridCol w:w="880"/>
        <w:gridCol w:w="186"/>
        <w:gridCol w:w="164"/>
        <w:gridCol w:w="237"/>
        <w:gridCol w:w="880"/>
        <w:gridCol w:w="217"/>
      </w:tblGrid>
      <w:tr>
        <w:trPr/>
        <w:tc>
          <w:tcPr>
            <w:tcW w:w="4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152,440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173,712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122,951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129,763</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93,529</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1924"/>
        <w:gridCol w:w="546"/>
        <w:gridCol w:w="211"/>
        <w:gridCol w:w="1141"/>
        <w:gridCol w:w="166"/>
        <w:gridCol w:w="146"/>
        <w:gridCol w:w="211"/>
        <w:gridCol w:w="1141"/>
        <w:gridCol w:w="546"/>
        <w:gridCol w:w="546"/>
        <w:gridCol w:w="211"/>
        <w:gridCol w:w="1141"/>
        <w:gridCol w:w="166"/>
        <w:gridCol w:w="146"/>
        <w:gridCol w:w="211"/>
        <w:gridCol w:w="1141"/>
        <w:gridCol w:w="611"/>
      </w:tblGrid>
      <w:tr>
        <w:trPr/>
        <w:tc>
          <w:tcPr>
            <w:tcW w:w="19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 (GAAP)</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(f)</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outstanding—diluted (GAAP)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144,096,312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143,851,357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and restricted stock not included in weighted average number of shares outstanding—diluted (GAAP) (using treasury stock method)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2,492,320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number of shares outstanding—diluted (Non-GAAP)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146,588,632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175,136,367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146,169,574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5"/>
        </w:rPr>
      </w:pPr>
      <w:r>
        <w:rPr>
          <w:rFonts w:ascii="Times New Roman" w:hAnsi="Times New Roman"/>
          <w:color w:val="000000"/>
          <w:sz w:val="15"/>
        </w:rPr>
        <w:t>(a)</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Represents the loss on extinguishment and non-cash interest expense related to the amortization of debt issuance costs. This adjustment also includes the impact of the change in fair value of interest rate swaps, which represents the difference between the fair value gains or losses and actual cash payments and receipts on the interest rate swaps.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(b)</w:t>
      </w:r>
    </w:p>
    <w:p>
      <w:pPr>
        <w:pStyle w:val="TextBody"/>
        <w:bidi w:val="0"/>
        <w:spacing w:before="0" w:after="0"/>
        <w:jc w:val="left"/>
        <w:rPr/>
      </w:pPr>
      <w:r>
        <w:rPr>
          <w:rFonts w:ascii="Times New Roman" w:hAnsi="Times New Roman"/>
          <w:color w:val="000000"/>
          <w:sz w:val="15"/>
        </w:rPr>
        <w:t xml:space="preserve">Represents the depreciation and amortization expense related to incremental intangible and developed technology assets recorded due to the application of ASC 805, </w:t>
      </w:r>
      <w:r>
        <w:rPr>
          <w:rFonts w:ascii="Times New Roman" w:hAnsi="Times New Roman"/>
          <w:i/>
          <w:color w:val="000000"/>
          <w:sz w:val="15"/>
        </w:rPr>
        <w:t xml:space="preserve">Business Combinations. </w:t>
      </w:r>
      <w:r>
        <w:rPr>
          <w:rFonts w:ascii="Times New Roman" w:hAnsi="Times New Roman"/>
          <w:color w:val="000000"/>
          <w:sz w:val="15"/>
        </w:rPr>
        <w:t>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(c)</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Share-based compensation for the three and nine months ended September 30, 2025 includes approximately $1.9 million and $5.6 million, respectively, of incrementally recognized expense associated with the May 2023 modification of the vesting terms of outstanding unvested and unearned performance-based options, restricted stock units, and restricted stock awards. The three and nine months ended September 30, 2024 includes approximately $6.6 million and $11.7 million, respectively, of incrementally recognized expense associated with the May 2023 vesting modification and retirements of the Company's former Chief Financial Officer and President, Americas.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(d)</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2025 include approximately $1.4 million and $7.5 million of expense, respectively, associated with the Sterling Acquisition. The three and nine months ended September 30, 2024 include approximately $13.2 million and $33.5 million of expense, respectively, associated with the Sterling Acquisition, primarily consisting of legal, regulatory, and diligence professional service fees. The three and nine months ended September 30, 2024 also include insurance costs incurred related to the Company's initial public offering.</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(e)</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from organizational restructuring and integration activities, non-cash, and other charges primarily related to nonrecurring legal exposures, foreign currency (gains) losses, impairment of capitalized software, (gains) losses on the sale of assets, and other non-recurring items. Integration, restructuring, and other charges for the three and nine months ended September 30, 2025 include approximately $3.8 million and $15.4 million of expense, respectively, associated with the integration of Sterling. The three and nine months ended September 30, 2025 also include approximately $1.5 million of expenses related to debt refinancing activities, as well as capitalized software impairment charges of approximately $1.2 million.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(f)</w:t>
      </w:r>
    </w:p>
    <w:p>
      <w:pPr>
        <w:pStyle w:val="TextBody"/>
        <w:bidi w:val="0"/>
        <w:jc w:val="left"/>
        <w:rPr>
          <w:rFonts w:ascii="Times New Roman" w:hAnsi="Times New Roman"/>
          <w:color w:val="000000"/>
          <w:sz w:val="15"/>
        </w:rPr>
      </w:pPr>
      <w:r>
        <w:rPr>
          <w:rFonts w:ascii="Times New Roman" w:hAnsi="Times New Roman"/>
          <w:color w:val="000000"/>
          <w:sz w:val="15"/>
        </w:rPr>
        <w:t>Effective tax rates of approximately 25.1% and 25.3% have been used to compute Adjusted Net Income and Adjusted Diluted Earnings Per Share for the three and nine months ended September 30 2025, respectively. Effective tax rates of approximately 23.1% and 23.9% have been used to compute Adjusted Net Income and Adjusted Diluted Earnings Per Share for the three and nine months ended September 30 2024, respectively.</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liquidity requirements are for working capital, debt service, continued investments in software development and other capital expenditures, and other strategic investments, including the Sterling Acquisition and related integration. In addition, income taxes are and will be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Sterling Acquisition. Our cash flows from operations include cash received from customers, less cash costs to provide services to our customers, which includes general and administrative costs and interest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2025, we had $216.8 million in cash and cash equivalents and $250.0 million available under our revolving credit facility. As of September 30, 2025, we had $2,139.5 million of total debt outstanding. We believe our cash on hand, together with amounts available under our revolving credit facility, and cash provided by operating activities are and will continue to be adequate to meet our operational and business needs in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our 2024 Annual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8, 2023, the Company’s Board of Directors declared a one-time special cash dividend of $1.50 per share to stockholders of record at the close of business on August 21, 2023. The cash dividend was paid on August 31, 2023.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is a party to a First Lien Credit Agreement, which provides for a term loan of $2.185 billion due October 31, 2031 and a $250.0 million revolving credit facility due October 31, 2029.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July 30, 2025, the Company amended the First Lien Credit Agreement (“2025 Amended First Lien Credit Agreement”) to reduce the interest rate on its term loan to a range of 2.50% to 2.75%, based on the first lien ratio, plus the Secured Overnight Financing Rate as administered by the Federal Reserve Bank of New York (“SOFR”) and an applicable margin (“2025 Amended First Lien Credit Facility”). The amendment also reduced the interest rate on its revolving credit facility to a range of 2.25% to 2.75%, based on the first lien ratio, plus SOFR (“2025 Amended Revolver”).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Borrowings under the agreement bear interest at a rate per annum equal to an applicable margin plus, at our option, either (a) a base rate or (b) SOFR, which is subject to a floor of 0.00% per annum. The applicable margins under the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2025 Amended First Lien Credit Facility amortizes in equal quarterly installments in aggregate annual amounts equal to 1.00% of the principal amount. The 2025 Amended Revolver has no amortization.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Amended First Lien Credit Agreement requires the borrower to prepay outstanding term loans, subject to certain exceptions, with certain proceeds from non-ordinary course asset sales, issuance of debt not permitted by the credit agreement to be incurred and annual excess cash flows. Voluntary prepayments made in connection with certain repricing transactions on or before January 30, 2026, were subject to a 1.00% prepayment premium. Otherwise, the borrower may voluntarily prepay outstanding loans without premium or penalty, other than customary “breakage” costs. Voluntary prepayments reduce the remaining scheduled principal repayment obligations under the term loan.</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2025 Amended Revolver, that requires such ratio to be no greater than 7.75:1.00 on the last day of any fiscal quarter if more than 40.0% of the 2025 Amended Revolver is utilized on such date. See Note 6, “Debt,” to the condensed consolidated financial statements included elsewhere in this Quarterly Report on Form 10-Q for further information.</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nine months ended September 30, 2025 compared to the nine months ended September 30,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is a summary of our cash flow activity for the periods presented: </w:t>
      </w:r>
    </w:p>
    <w:tbl>
      <w:tblPr>
        <w:tblW w:w="7167" w:type="dxa"/>
        <w:jc w:val="left"/>
        <w:tblInd w:w="0" w:type="dxa"/>
        <w:tblLayout w:type="fixed"/>
        <w:tblCellMar>
          <w:top w:w="28" w:type="dxa"/>
          <w:left w:w="28" w:type="dxa"/>
          <w:bottom w:w="28" w:type="dxa"/>
          <w:right w:w="28" w:type="dxa"/>
        </w:tblCellMar>
      </w:tblPr>
      <w:tblGrid>
        <w:gridCol w:w="4216"/>
        <w:gridCol w:w="146"/>
        <w:gridCol w:w="238"/>
        <w:gridCol w:w="883"/>
        <w:gridCol w:w="187"/>
        <w:gridCol w:w="165"/>
        <w:gridCol w:w="238"/>
        <w:gridCol w:w="883"/>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provided by operating activities was $129.2 million for the nine months ended September 30, 2025, compared to $113.9 million for the nine months ended September 30, 2024. Net cash provided by operating activities for the nine months ended September 30, 2025 increased by $15.3 million compared to the nine months ended September 30, 2024. Cash flows from operating activities were positively impacted by revenue growth from existing customers, new customer go-lives, and contributions from the Sterling Acquisition. These benefits were partially offset by interest payments on the Company’s term loan and revolving credit facility totaling approximately $123.8 million, the timing of professional service and legal fee payments related to the acquisition and integration of Sterling, and continued moderate hiring activity by customers in response to current macroeconomic conditions.</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investing activities was $37.3 million for the nine months ended September 30, 2025, compared to $21.7 million for the nine months ended September 30, 2024. Net cash used in investing activities for the nine months ended September 30, 2025 increased by $15.6 million compared to the nine months ended September 30, 2024. The increase in cash flows used in investing activities was primarily due to increased spend on software development related to the Company’s screening platforms.</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provided by financing activities was $(45.0) million for the nine months ended September 30, 2025, compared to $1.2 million for the nine months ended September 30, 2024. Net cash used in financing activities for the nine months ended September 30, 2025 was primarily driven by a $45.5 million increase in principal repayments on the Company’s term loan. Net cash provided by financing activities for the nine months ended September 30, 2024 was primarily driven by cash net inflows related to share-based compensation activity. These inflows were offset by cash outflows related to payments on the deferred purchase of a software platform.</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and nine months ended September 30, 2025, there have been no significant changes to our contractual obligations and commitments compared with those disclosed in Part II, Item 7, “Management’s Discussion and Analysis of Financial Condition and Results of Operations” included in our 2024 Annual Report.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condensed consolidated financial statements for disclosure of the impact that recent accounting pronouncements may have on the condensed consolidated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nine months ended September 30, 2025, there have been no significant changes to our critical accounting policies and estimates compared with those disclosed in Part II, Item 7, “Management’s Discussion and Analysis of Financial Condition and Results of Operations” included in our 2024 Annual Report.</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2025, no material change had occurred in our market risks, compared with the disclosure in our 2024 Annual Report.</w:t>
      </w:r>
    </w:p>
    <w:p>
      <w:pPr>
        <w:pStyle w:val="TextBody"/>
        <w:bidi w:val="0"/>
        <w:spacing w:before="180" w:after="18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 We are currently in the process of integrating the Sterling operations, control processes and information systems into our systems and control environment. We believe that we have taken the necessary steps to monitor and maintain appropriate internal controls over financial reporting during this integration.</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Information in response to this Item is included in “Part I — Item 1. — Note 12 — Commitments and Contingencies” and is incorporated by reference into Part II of this Quarterly Report on Form 10-Q.</w:t>
      </w:r>
    </w:p>
    <w:p>
      <w:pPr>
        <w:pStyle w:val="TextBody"/>
        <w:bidi w:val="0"/>
        <w:spacing w:before="180" w:after="18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in our risk factors, compared with the disclosure in our 2024 Annual Report.</w:t>
      </w:r>
    </w:p>
    <w:p>
      <w:pPr>
        <w:pStyle w:val="TextBody"/>
        <w:bidi w:val="0"/>
        <w:spacing w:before="180" w:after="18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18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September 30, 2025, none of our directors or officers (as defined in Rule 16a-1(f) of the Exchange Act) adopted, terminated, or modified a Rule 10b5-1 trading arrangement or non-Rule 10b5-1 trading arrangement (as such terms are defined in Item 408 of Regulation S-K), except as described in the table below.</w:t>
      </w:r>
    </w:p>
    <w:tbl>
      <w:tblPr>
        <w:tblW w:w="10205" w:type="dxa"/>
        <w:jc w:val="left"/>
        <w:tblInd w:w="0" w:type="dxa"/>
        <w:tblLayout w:type="fixed"/>
        <w:tblCellMar>
          <w:top w:w="28" w:type="dxa"/>
          <w:left w:w="28" w:type="dxa"/>
          <w:bottom w:w="28" w:type="dxa"/>
          <w:right w:w="28" w:type="dxa"/>
        </w:tblCellMar>
      </w:tblPr>
      <w:tblGrid>
        <w:gridCol w:w="931"/>
        <w:gridCol w:w="146"/>
        <w:gridCol w:w="1608"/>
        <w:gridCol w:w="146"/>
        <w:gridCol w:w="1266"/>
        <w:gridCol w:w="146"/>
        <w:gridCol w:w="629"/>
        <w:gridCol w:w="146"/>
        <w:gridCol w:w="866"/>
        <w:gridCol w:w="146"/>
        <w:gridCol w:w="1749"/>
        <w:gridCol w:w="146"/>
        <w:gridCol w:w="2280"/>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Director/Officer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 of Adoption/Termination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Rule 10b5-1</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Scheduled Expiration Date of Rule 10b5-1 Trading Plan</w:t>
            </w:r>
            <w:r>
              <w:rPr>
                <w:rFonts w:ascii="Times New Roman" w:hAnsi="Times New Roman"/>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 Number of Securities to Be Purchased or Sold</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Bret T. Jardine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Legal Officer &amp;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Adopted</w:t>
            </w:r>
            <w:r>
              <w:rPr>
                <w:rFonts w:ascii="Times New Roman" w:hAnsi="Times New Roman"/>
                <w:color w:val="000000"/>
                <w:sz w:val="20"/>
              </w:rPr>
              <w:t xml:space="preserve"> </w:t>
            </w:r>
            <w:r>
              <w:rPr>
                <w:rFonts w:ascii="Times New Roman" w:hAnsi="Times New Roman"/>
                <w:color w:val="000000"/>
                <w:sz w:val="16"/>
              </w:rPr>
              <w:t>August 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Sale of up to 29,956</w:t>
            </w:r>
            <w:r>
              <w:rPr>
                <w:rFonts w:ascii="Times New Roman" w:hAnsi="Times New Roman"/>
                <w:color w:val="000000"/>
                <w:sz w:val="20"/>
              </w:rPr>
              <w:t> </w:t>
            </w:r>
            <w:r>
              <w:rPr>
                <w:rFonts w:ascii="Times New Roman" w:hAnsi="Times New Roman"/>
                <w:color w:val="000000"/>
                <w:sz w:val="16"/>
              </w:rPr>
              <w:t>shares of common stock in multiple transactions</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Intended to satisfy the affirmative defense of Rule 10b5-1(c).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A trading plan may also expire on such earlier date that all transactions under the trading plan are completed.</w:t>
      </w:r>
    </w:p>
    <w:p>
      <w:pPr>
        <w:pStyle w:val="TextBody"/>
        <w:bidi w:val="0"/>
        <w:jc w:val="both"/>
        <w:rPr/>
      </w:pPr>
      <w:r>
        <w:rPr/>
        <w:t> </w:t>
      </w:r>
    </w:p>
    <w:p>
      <w:pPr>
        <w:pStyle w:val="TextBody"/>
        <w:bidi w:val="0"/>
        <w:spacing w:before="18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87"/>
        <w:gridCol w:w="146"/>
        <w:gridCol w:w="9272"/>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2" w:type="dxa"/>
            <w:tcBorders/>
            <w:vAlign w:val="center"/>
          </w:tcPr>
          <w:p>
            <w:pPr>
              <w:pStyle w:val="TableContents"/>
              <w:bidi w:val="0"/>
              <w:spacing w:before="0" w:after="283"/>
              <w:jc w:val="left"/>
              <w:rPr>
                <w:sz w:val="4"/>
                <w:szCs w:val="4"/>
              </w:rPr>
            </w:pPr>
            <w:r>
              <w:rPr>
                <w:sz w:val="4"/>
                <w:szCs w:val="4"/>
              </w:rPr>
            </w:r>
          </w:p>
        </w:tc>
      </w:tr>
      <w:tr>
        <w:trPr/>
        <w:tc>
          <w:tcPr>
            <w:tcW w:w="78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February 28, 2024, by and among First Advantage Corporation, Sterling Check Corp. and Starter Merger Sub, Inc. (incorporated herein by reference to Exhibit 2.1 of First Advantage Corporation’s Form 8-K filed on March 1, 2024).</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Waiver of Brazil Antitrust Filing Obligation and Closing Condition, dated as of March 25, 2024, related to the Agreement and Plan of Merger, dated as of February 28, 2024, by and among First Advantage Corporation, Sterling Check Corp. and Starter Merger Sub, Inc. (incorporated herein by reference to Exhibit 2.2 of First Advantage Corporation’s Form 10-Q filed on May 9, 2024).</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 of First Advantage Corporation (incorporated herein by reference to Exhibit 3.1 of First Advantage Corporation’s Form 8-K filed on June 25, 2021).</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First Advantage Corporation (incorporated herein by reference to Exhibit 3.2 of First Advantage Corporation’s Form 8-K filed on June 25, 2021).</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10.1 </w:t>
            </w:r>
            <w:r>
              <w:rPr>
                <w:rFonts w:ascii="Times New Roman" w:hAnsi="Times New Roman"/>
                <w:color w:val="000000"/>
                <w:sz w:val="18"/>
              </w:rPr>
              <w:t></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Letter Agreement, dated August 6, 2025, between First Advantage Corporation and Steven Marks (incorporated herein by reference to Exhibit 10.1 of First Advantage Corporation’s Form 10-Q filed on August 7, 2025).</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10.2 </w:t>
            </w:r>
            <w:r>
              <w:rPr>
                <w:rFonts w:ascii="Times New Roman" w:hAnsi="Times New Roman"/>
                <w:color w:val="000000"/>
                <w:sz w:val="18"/>
              </w:rPr>
              <w:t></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First Amendment to Employment Agreement, dated August 6, 2025, between First Advantage Limited, First Advantage Corporation and Douglas Nairne (incorporated herein by reference to Exhibit 10.2 of First Advantage Corporation’s Form 10-Q filed on August 7, 2025).</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10.3 </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First Advantage Corporation Non-Employee Director Compensation Policy, as amended on August 6, 2025 (incorporated herein by reference to Exhibit 10.3 of First Advantage Corporation’s Form 10-Q filed on August 7, 2025).</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No. 5 to the First Lien Credit Agreement, among Fastball Parent, Inc., First Advantage Holdings, LLC, each lender from time to time party thereto, Bank of America, N.A., as Administrative Agent and Collateral Agent and the issuing banks party thereto from time to time, dated July 30, 2025 (incorporated herein by reference to Exhibit 10.1 of First Advantage Corporation’s Form 8-K filed on August 4, 2025).</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 Compensatory arrangements for director(s) and/or executive officer(s).</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822" w:type="dxa"/>
        <w:jc w:val="left"/>
        <w:tblInd w:w="0" w:type="dxa"/>
        <w:tblLayout w:type="fixed"/>
        <w:tblCellMar>
          <w:top w:w="28" w:type="dxa"/>
          <w:left w:w="28" w:type="dxa"/>
          <w:bottom w:w="28" w:type="dxa"/>
          <w:right w:w="28" w:type="dxa"/>
        </w:tblCellMar>
      </w:tblPr>
      <w:tblGrid>
        <w:gridCol w:w="2101"/>
        <w:gridCol w:w="109"/>
        <w:gridCol w:w="406"/>
        <w:gridCol w:w="520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CORPORATION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fa-ex31_1.htm"/>
      <w:bookmarkStart w:id="22" w:name="ksfa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Scott Staples,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107" w:type="dxa"/>
        <w:jc w:val="left"/>
        <w:tblInd w:w="0" w:type="dxa"/>
        <w:tblLayout w:type="fixed"/>
        <w:tblCellMar>
          <w:top w:w="28" w:type="dxa"/>
          <w:left w:w="28" w:type="dxa"/>
          <w:bottom w:w="28" w:type="dxa"/>
          <w:right w:w="28" w:type="dxa"/>
        </w:tblCellMar>
      </w:tblPr>
      <w:tblGrid>
        <w:gridCol w:w="2101"/>
        <w:gridCol w:w="109"/>
        <w:gridCol w:w="406"/>
        <w:gridCol w:w="249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fa-ex31_2.htm"/>
      <w:bookmarkStart w:id="24" w:name="ksfa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Steven Marks,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a-ex32_1.htm"/>
      <w:bookmarkStart w:id="26" w:name="ksfa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2101"/>
        <w:gridCol w:w="109"/>
        <w:gridCol w:w="406"/>
        <w:gridCol w:w="249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a-ex32_2.htm"/>
      <w:bookmarkStart w:id="28" w:name="ksfa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095017024023541/fa-ex2_1.htm" TargetMode="External"/><Relationship Id="rId3" Type="http://schemas.openxmlformats.org/officeDocument/2006/relationships/hyperlink" Target="https://www.sec.gov/Archives/edgar/data/1210677/000095017024056995/fa-ex2_2.htm" TargetMode="External"/><Relationship Id="rId4" Type="http://schemas.openxmlformats.org/officeDocument/2006/relationships/hyperlink" Target="https://www.sec.gov/Archives/edgar/data/1210677/000119312521200542/d12470dex31.htm" TargetMode="External"/><Relationship Id="rId5" Type="http://schemas.openxmlformats.org/officeDocument/2006/relationships/hyperlink" Target="https://www.sec.gov/Archives/edgar/data/1210677/000119312521200542/d12470dex32.htm" TargetMode="External"/><Relationship Id="rId6" Type="http://schemas.openxmlformats.org/officeDocument/2006/relationships/hyperlink" Target="https://www.sec.gov/Archives/edgar/data/1210677/000119312525175442/fa-ex10_1.htm" TargetMode="External"/><Relationship Id="rId7" Type="http://schemas.openxmlformats.org/officeDocument/2006/relationships/hyperlink" Target="https://www.sec.gov/Archives/edgar/data/1210677/000119312525175442/fa-ex10_2.htm" TargetMode="External"/><Relationship Id="rId8" Type="http://schemas.openxmlformats.org/officeDocument/2006/relationships/hyperlink" Target="https://www.sec.gov/Archives/edgar/data/1210677/000119312525175442/fa-ex10_3.htm" TargetMode="External"/><Relationship Id="rId9" Type="http://schemas.openxmlformats.org/officeDocument/2006/relationships/hyperlink" Target="https://www.sec.gov/Archives/edgar/data/1210677/000095017025102016/fa-ex10_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22783</Words>
  <Characters>129835</Characters>
  <CharactersWithSpaces>154047</CharactersWithSpaces>
  <Paragraphs>7364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