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243840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920" w:type="dxa"/>
        <w:tblCellMar>
          <w:top w:w="0" w:type="dxa"/>
          <w:left w:w="0" w:type="dxa"/>
          <w:bottom w:w="0" w:type="dxa"/>
          <w:right w:w="0" w:type="dxa"/>
        </w:tblCellMar>
      </w:tblP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084"/>
              <w:spacing w:after="0"/>
              <w:rPr>
                <w:sz w:val="20"/>
                <w:szCs w:val="20"/>
                <w:color w:val="auto"/>
              </w:rPr>
            </w:pPr>
            <w:r>
              <w:rPr>
                <w:rFonts w:ascii="Times New Roman" w:cs="Times New Roman" w:eastAsia="Times New Roman" w:hAnsi="Times New Roman"/>
                <w:sz w:val="18"/>
                <w:szCs w:val="18"/>
                <w:b w:val="1"/>
                <w:bCs w:val="1"/>
                <w:color w:val="auto"/>
              </w:rPr>
              <w:t>001-31666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84-3884690</w:t>
            </w:r>
          </w:p>
        </w:tc>
      </w:tr>
      <w:tr>
        <w:trPr>
          <w:trHeight w:val="135"/>
        </w:trPr>
        <w:tc>
          <w:tcPr>
            <w:tcW w:w="2680" w:type="dxa"/>
            <w:vAlign w:val="bottom"/>
          </w:tcPr>
          <w:p>
            <w:pPr>
              <w:jc w:val="center"/>
              <w:ind w:right="4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2820" w:type="dxa"/>
            <w:vAlign w:val="bottom"/>
          </w:tcPr>
          <w:p>
            <w:pPr>
              <w:jc w:val="center"/>
              <w:ind w:right="20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1800" w:type="dxa"/>
            <w:vAlign w:val="bottom"/>
          </w:tcPr>
          <w:p>
            <w:pPr>
              <w:jc w:val="center"/>
              <w:ind w:left="746"/>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99"/>
        </w:trPr>
        <w:tc>
          <w:tcPr>
            <w:tcW w:w="268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 Concourse Parkway NE</w:t>
            </w:r>
          </w:p>
        </w:tc>
        <w:tc>
          <w:tcPr>
            <w:tcW w:w="28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Suite 200</w:t>
            </w:r>
          </w:p>
        </w:tc>
        <w:tc>
          <w:tcPr>
            <w:tcW w:w="28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8"/>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2820" w:type="dxa"/>
            <w:vAlign w:val="bottom"/>
          </w:tcPr>
          <w:p>
            <w:pPr>
              <w:spacing w:after="0"/>
              <w:rPr>
                <w:sz w:val="18"/>
                <w:szCs w:val="18"/>
                <w:color w:val="auto"/>
              </w:rPr>
            </w:pPr>
          </w:p>
        </w:tc>
        <w:tc>
          <w:tcPr>
            <w:tcW w:w="18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30328</w:t>
            </w:r>
          </w:p>
        </w:tc>
      </w:tr>
      <w:tr>
        <w:trPr>
          <w:trHeight w:val="166"/>
        </w:trPr>
        <w:tc>
          <w:tcPr>
            <w:tcW w:w="2680" w:type="dxa"/>
            <w:vAlign w:val="bottom"/>
          </w:tcPr>
          <w:p>
            <w:pPr>
              <w:jc w:val="center"/>
              <w:ind w:right="44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820" w:type="dxa"/>
            <w:vAlign w:val="bottom"/>
          </w:tcPr>
          <w:p>
            <w:pPr>
              <w:spacing w:after="0"/>
              <w:rPr>
                <w:sz w:val="14"/>
                <w:szCs w:val="14"/>
                <w:color w:val="auto"/>
              </w:rPr>
            </w:pPr>
          </w:p>
        </w:tc>
        <w:tc>
          <w:tcPr>
            <w:tcW w:w="1800" w:type="dxa"/>
            <w:vAlign w:val="bottom"/>
          </w:tcPr>
          <w:p>
            <w:pPr>
              <w:jc w:val="center"/>
              <w:ind w:left="7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00" w:lineRule="exact"/>
        <w:rPr>
          <w:sz w:val="24"/>
          <w:szCs w:val="24"/>
          <w:color w:val="auto"/>
        </w:r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868-4151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241935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80" w:hanging="33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FA</w:t>
            </w:r>
          </w:p>
        </w:tc>
        <w:tc>
          <w:tcPr>
            <w:tcW w:w="8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163195</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9720"/>
          </w:cols>
          <w:pgMar w:left="1080" w:top="1213" w:right="109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left="660" w:right="840"/>
        <w:spacing w:after="0" w:line="266" w:lineRule="auto"/>
        <w:rPr>
          <w:sz w:val="20"/>
          <w:szCs w:val="20"/>
          <w:color w:val="auto"/>
        </w:rPr>
      </w:pPr>
      <w:r>
        <w:rPr>
          <w:rFonts w:ascii="Times New Roman" w:cs="Times New Roman" w:eastAsia="Times New Roman" w:hAnsi="Times New Roman"/>
          <w:sz w:val="18"/>
          <w:szCs w:val="18"/>
          <w:color w:val="auto"/>
        </w:rPr>
        <w:t>On May 7, 2026, First Advantage Corporation issued a press release announcing its financial results for the quarter ended March 31, 2026. A copy of the press release is furnished as Exhibit 99.1 to this Current Report on Form 8-K and is incorporated by reference herein.</w:t>
      </w:r>
    </w:p>
    <w:p>
      <w:pPr>
        <w:spacing w:after="0" w:line="122" w:lineRule="exact"/>
        <w:rPr>
          <w:sz w:val="20"/>
          <w:szCs w:val="20"/>
          <w:color w:val="auto"/>
        </w:rPr>
      </w:pPr>
    </w:p>
    <w:p>
      <w:pPr>
        <w:ind w:left="660" w:right="76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under the Securities Act of 1933, as amended, or the Exchange Act, except as otherwise expressly stated by specific reference in any such filing.</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78"/>
        </w:trPr>
        <w:tc>
          <w:tcPr>
            <w:tcW w:w="7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Exhibit No.</w:t>
            </w: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7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4"/>
                <w:szCs w:val="14"/>
                <w:color w:val="auto"/>
              </w:rPr>
            </w:pPr>
          </w:p>
        </w:tc>
        <w:tc>
          <w:tcPr>
            <w:tcW w:w="4740" w:type="dxa"/>
            <w:vAlign w:val="bottom"/>
            <w:tcBorders>
              <w:top w:val="single" w:sz="8" w:color="auto"/>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First Advantage Corporation dated May 7, 2026.</w:t>
            </w:r>
          </w:p>
        </w:tc>
        <w:tc>
          <w:tcPr>
            <w:tcW w:w="20" w:type="dxa"/>
            <w:vAlign w:val="bottom"/>
            <w:tcBorders>
              <w:top w:val="single" w:sz="8" w:color="auto"/>
              <w:bottom w:val="single" w:sz="8" w:color="0000EE"/>
            </w:tcBorders>
          </w:tcPr>
          <w:p>
            <w:pPr>
              <w:spacing w:after="0"/>
              <w:rPr>
                <w:sz w:val="14"/>
                <w:szCs w:val="14"/>
                <w:color w:val="auto"/>
              </w:rPr>
            </w:pPr>
          </w:p>
        </w:tc>
        <w:tc>
          <w:tcPr>
            <w:tcW w:w="376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r>
      <w:tr>
        <w:trPr>
          <w:trHeight w:val="237"/>
        </w:trPr>
        <w:tc>
          <w:tcPr>
            <w:tcW w:w="16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0"/>
                <w:szCs w:val="20"/>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03"/>
        </w:trPr>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27"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374" w:lineRule="exact"/>
        <w:rPr>
          <w:sz w:val="20"/>
          <w:szCs w:val="20"/>
          <w:color w:val="auto"/>
        </w:rPr>
      </w:pPr>
    </w:p>
    <w:p>
      <w:pPr>
        <w:spacing w:after="0"/>
        <w:tabs>
          <w:tab w:leader="none" w:pos="580" w:val="left"/>
          <w:tab w:leader="none" w:pos="4860" w:val="left"/>
        </w:tabs>
        <w:rPr>
          <w:sz w:val="20"/>
          <w:szCs w:val="20"/>
          <w:color w:val="auto"/>
        </w:rPr>
      </w:pPr>
      <w:r>
        <w:rPr>
          <w:rFonts w:ascii="Times New Roman" w:cs="Times New Roman" w:eastAsia="Times New Roman" w:hAnsi="Times New Roman"/>
          <w:sz w:val="18"/>
          <w:szCs w:val="18"/>
          <w:color w:val="auto"/>
        </w:rPr>
        <w:t>Date:</w:t>
        <w:tab/>
        <w:t>May 7, 2026</w:t>
      </w:r>
      <w:r>
        <w:rPr>
          <w:sz w:val="20"/>
          <w:szCs w:val="20"/>
          <w:color w:val="auto"/>
        </w:rPr>
        <w:tab/>
      </w:r>
      <w:r>
        <w:rPr>
          <w:rFonts w:ascii="Times New Roman" w:cs="Times New Roman" w:eastAsia="Times New Roman" w:hAnsi="Times New Roman"/>
          <w:sz w:val="18"/>
          <w:szCs w:val="18"/>
          <w:color w:val="auto"/>
        </w:rPr>
        <w:t>By: /s/ Steven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17145</wp:posOffset>
            </wp:positionV>
            <wp:extent cx="2837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Name: Steven Marks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Title: Executive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720725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20"/>
          </w:cols>
          <w:pgMar w:left="1080" w:top="765" w:right="1399" w:bottom="1440" w:gutter="0" w:footer="0" w:header="0"/>
        </w:sectPr>
      </w:pPr>
    </w:p>
    <w:bookmarkStart w:id="3" w:name="page4"/>
    <w:bookmarkEnd w:id="3"/>
    <w:p>
      <w:pPr>
        <w:ind w:left="87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242570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First Advantage Reports First Quarter 2026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Delivers Another Record Quarter and Reaffirms Full Year 2026 Guidance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Highlights</w:t>
      </w:r>
      <w:r>
        <w:rPr>
          <w:rFonts w:ascii="Arial" w:cs="Arial" w:eastAsia="Arial" w:hAnsi="Arial"/>
          <w:sz w:val="26"/>
          <w:szCs w:val="26"/>
          <w:b w:val="1"/>
          <w:bCs w:val="1"/>
          <w:color w:val="auto"/>
          <w:vertAlign w:val="superscript"/>
        </w:rPr>
        <w:t>1</w:t>
      </w:r>
    </w:p>
    <w:p>
      <w:pPr>
        <w:spacing w:after="0" w:line="95" w:lineRule="exact"/>
        <w:rPr>
          <w:sz w:val="20"/>
          <w:szCs w:val="20"/>
          <w:color w:val="auto"/>
        </w:rPr>
      </w:pPr>
    </w:p>
    <w:p>
      <w:pPr>
        <w:ind w:left="200" w:hanging="196"/>
        <w:spacing w:after="0"/>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Revenues of $385.2 million (8.6% growth year-over-year)</w:t>
      </w:r>
    </w:p>
    <w:p>
      <w:pPr>
        <w:spacing w:after="0" w:line="16" w:lineRule="exact"/>
        <w:rPr>
          <w:rFonts w:ascii="Times New Roman" w:cs="Times New Roman" w:eastAsia="Times New Roman" w:hAnsi="Times New Roman"/>
          <w:sz w:val="20"/>
          <w:szCs w:val="20"/>
          <w:color w:val="auto"/>
        </w:rPr>
      </w:pPr>
    </w:p>
    <w:p>
      <w:pPr>
        <w:ind w:left="200" w:hanging="196"/>
        <w:spacing w:after="0" w:line="238" w:lineRule="auto"/>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of $2.2 million (0.6% margin); Diluted net income per share of $0.01</w:t>
      </w:r>
    </w:p>
    <w:p>
      <w:pPr>
        <w:ind w:left="200" w:hanging="196"/>
        <w:spacing w:after="0" w:line="238" w:lineRule="auto"/>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of $105.3 million (27.3% margin)</w:t>
      </w:r>
    </w:p>
    <w:p>
      <w:pPr>
        <w:ind w:left="200" w:hanging="196"/>
        <w:spacing w:after="0" w:line="238" w:lineRule="auto"/>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Adjusted Net Income of $45.1 million; Adjusted Diluted Earnings Per Share of $0.26</w:t>
      </w:r>
    </w:p>
    <w:p>
      <w:pPr>
        <w:ind w:left="200" w:hanging="196"/>
        <w:spacing w:after="0" w:line="238" w:lineRule="auto"/>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from Operations of $49.4 million</w:t>
      </w:r>
    </w:p>
    <w:p>
      <w:pPr>
        <w:ind w:left="200" w:hanging="196"/>
        <w:spacing w:after="0" w:line="224" w:lineRule="auto"/>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Subsequent to the end of the quarter, voluntary debt prepayment of $25 million made on May 6, in addition to $25 million prepayment made on February 27</w:t>
      </w:r>
    </w:p>
    <w:p>
      <w:pPr>
        <w:spacing w:after="0" w:line="1" w:lineRule="exact"/>
        <w:rPr>
          <w:rFonts w:ascii="Times New Roman" w:cs="Times New Roman" w:eastAsia="Times New Roman" w:hAnsi="Times New Roman"/>
          <w:sz w:val="20"/>
          <w:szCs w:val="20"/>
          <w:color w:val="auto"/>
        </w:rPr>
      </w:pPr>
    </w:p>
    <w:p>
      <w:pPr>
        <w:ind w:left="200" w:hanging="196"/>
        <w:spacing w:after="0"/>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$19.5 million in shares repurchased under $100 million share repurchase program</w:t>
      </w:r>
    </w:p>
    <w:p>
      <w:pPr>
        <w:spacing w:after="0" w:line="12" w:lineRule="exact"/>
        <w:rPr>
          <w:rFonts w:ascii="Times New Roman" w:cs="Times New Roman" w:eastAsia="Times New Roman" w:hAnsi="Times New Roman"/>
          <w:sz w:val="20"/>
          <w:szCs w:val="20"/>
          <w:color w:val="auto"/>
        </w:rPr>
      </w:pPr>
    </w:p>
    <w:p>
      <w:pPr>
        <w:ind w:left="200" w:hanging="196"/>
        <w:spacing w:after="0"/>
        <w:tabs>
          <w:tab w:leader="none" w:pos="20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Reaffirming full year 2026 guidance ranges</w:t>
      </w:r>
      <w:r>
        <w:rPr>
          <w:rFonts w:ascii="Arial" w:cs="Arial" w:eastAsia="Arial" w:hAnsi="Arial"/>
          <w:sz w:val="26"/>
          <w:szCs w:val="26"/>
          <w:color w:val="auto"/>
          <w:vertAlign w:val="superscript"/>
        </w:rPr>
        <w:t>3</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ATLANTA, May 7, 2026 – First Advantage Corporation (NASDAQ: FA), a global software and data company, today announced financial results for the first quarter ended March 31, 2026.</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Financials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(Amounts in millions, except per share data and percentages)</w:t>
      </w:r>
    </w:p>
    <w:p>
      <w:pPr>
        <w:spacing w:after="0" w:line="15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700" w:type="dxa"/>
            <w:vAlign w:val="bottom"/>
            <w:shd w:val="clear" w:color="auto" w:fill="005656"/>
          </w:tcPr>
          <w:p>
            <w:pPr>
              <w:spacing w:after="0"/>
              <w:rPr>
                <w:sz w:val="18"/>
                <w:szCs w:val="18"/>
                <w:color w:val="auto"/>
              </w:rPr>
            </w:pPr>
          </w:p>
        </w:tc>
        <w:tc>
          <w:tcPr>
            <w:tcW w:w="940" w:type="dxa"/>
            <w:vAlign w:val="bottom"/>
            <w:shd w:val="clear" w:color="auto" w:fill="005656"/>
          </w:tcPr>
          <w:p>
            <w:pPr>
              <w:spacing w:after="0"/>
              <w:rPr>
                <w:sz w:val="18"/>
                <w:szCs w:val="18"/>
                <w:color w:val="auto"/>
              </w:rPr>
            </w:pPr>
          </w:p>
        </w:tc>
        <w:tc>
          <w:tcPr>
            <w:tcW w:w="4120" w:type="dxa"/>
            <w:vAlign w:val="bottom"/>
            <w:gridSpan w:val="4"/>
            <w:shd w:val="clear" w:color="auto" w:fill="005656"/>
          </w:tcPr>
          <w:p>
            <w:pPr>
              <w:jc w:val="right"/>
              <w:ind w:right="850"/>
              <w:spacing w:after="0"/>
              <w:rPr>
                <w:sz w:val="20"/>
                <w:szCs w:val="20"/>
                <w:color w:val="auto"/>
              </w:rPr>
            </w:pPr>
            <w:r>
              <w:rPr>
                <w:rFonts w:ascii="Arial" w:cs="Arial" w:eastAsia="Arial" w:hAnsi="Arial"/>
                <w:sz w:val="18"/>
                <w:szCs w:val="18"/>
                <w:b w:val="1"/>
                <w:bCs w:val="1"/>
                <w:color w:val="FFFFFF"/>
              </w:rPr>
              <w:t>Three Months Ended March 31,</w:t>
            </w:r>
          </w:p>
        </w:tc>
      </w:tr>
      <w:tr>
        <w:trPr>
          <w:trHeight w:val="216"/>
        </w:trPr>
        <w:tc>
          <w:tcPr>
            <w:tcW w:w="3700" w:type="dxa"/>
            <w:vAlign w:val="bottom"/>
            <w:shd w:val="clear" w:color="auto" w:fill="005656"/>
          </w:tcPr>
          <w:p>
            <w:pPr>
              <w:spacing w:after="0"/>
              <w:rPr>
                <w:sz w:val="18"/>
                <w:szCs w:val="18"/>
                <w:color w:val="auto"/>
              </w:rPr>
            </w:pPr>
          </w:p>
        </w:tc>
        <w:tc>
          <w:tcPr>
            <w:tcW w:w="940" w:type="dxa"/>
            <w:vAlign w:val="bottom"/>
            <w:shd w:val="clear" w:color="auto" w:fill="005656"/>
          </w:tcPr>
          <w:p>
            <w:pPr>
              <w:spacing w:after="0"/>
              <w:rPr>
                <w:sz w:val="18"/>
                <w:szCs w:val="18"/>
                <w:color w:val="auto"/>
              </w:rPr>
            </w:pPr>
          </w:p>
        </w:tc>
        <w:tc>
          <w:tcPr>
            <w:tcW w:w="1160" w:type="dxa"/>
            <w:vAlign w:val="bottom"/>
            <w:shd w:val="clear" w:color="auto" w:fill="005656"/>
          </w:tcPr>
          <w:p>
            <w:pPr>
              <w:jc w:val="right"/>
              <w:ind w:right="530"/>
              <w:spacing w:after="0"/>
              <w:rPr>
                <w:sz w:val="20"/>
                <w:szCs w:val="20"/>
                <w:color w:val="auto"/>
              </w:rPr>
            </w:pPr>
            <w:r>
              <w:rPr>
                <w:rFonts w:ascii="Arial" w:cs="Arial" w:eastAsia="Arial" w:hAnsi="Arial"/>
                <w:sz w:val="18"/>
                <w:szCs w:val="18"/>
                <w:b w:val="1"/>
                <w:bCs w:val="1"/>
                <w:color w:val="FFFFFF"/>
              </w:rPr>
              <w:t>2026</w:t>
            </w:r>
          </w:p>
        </w:tc>
        <w:tc>
          <w:tcPr>
            <w:tcW w:w="280" w:type="dxa"/>
            <w:vAlign w:val="bottom"/>
            <w:shd w:val="clear" w:color="auto" w:fill="005656"/>
          </w:tcPr>
          <w:p>
            <w:pPr>
              <w:spacing w:after="0"/>
              <w:rPr>
                <w:sz w:val="18"/>
                <w:szCs w:val="18"/>
                <w:color w:val="auto"/>
              </w:rPr>
            </w:pPr>
          </w:p>
        </w:tc>
        <w:tc>
          <w:tcPr>
            <w:tcW w:w="1380" w:type="dxa"/>
            <w:vAlign w:val="bottom"/>
            <w:shd w:val="clear" w:color="auto" w:fill="005656"/>
          </w:tcPr>
          <w:p>
            <w:pPr>
              <w:jc w:val="right"/>
              <w:ind w:right="730"/>
              <w:spacing w:after="0"/>
              <w:rPr>
                <w:sz w:val="20"/>
                <w:szCs w:val="20"/>
                <w:color w:val="auto"/>
              </w:rPr>
            </w:pPr>
            <w:r>
              <w:rPr>
                <w:rFonts w:ascii="Arial" w:cs="Arial" w:eastAsia="Arial" w:hAnsi="Arial"/>
                <w:sz w:val="18"/>
                <w:szCs w:val="18"/>
                <w:b w:val="1"/>
                <w:bCs w:val="1"/>
                <w:color w:val="FFFFFF"/>
              </w:rPr>
              <w:t>2025</w:t>
            </w:r>
          </w:p>
        </w:tc>
        <w:tc>
          <w:tcPr>
            <w:tcW w:w="1300" w:type="dxa"/>
            <w:vAlign w:val="bottom"/>
            <w:shd w:val="clear" w:color="auto" w:fill="005656"/>
          </w:tcPr>
          <w:p>
            <w:pPr>
              <w:jc w:val="right"/>
              <w:ind w:right="370"/>
              <w:spacing w:after="0"/>
              <w:rPr>
                <w:sz w:val="20"/>
                <w:szCs w:val="20"/>
                <w:color w:val="auto"/>
              </w:rPr>
            </w:pPr>
            <w:r>
              <w:rPr>
                <w:rFonts w:ascii="Arial" w:cs="Arial" w:eastAsia="Arial" w:hAnsi="Arial"/>
                <w:sz w:val="18"/>
                <w:szCs w:val="18"/>
                <w:b w:val="1"/>
                <w:bCs w:val="1"/>
                <w:color w:val="FFFFFF"/>
              </w:rPr>
              <w:t>Change</w:t>
            </w:r>
          </w:p>
        </w:tc>
      </w:tr>
      <w:tr>
        <w:trPr>
          <w:trHeight w:val="203"/>
        </w:trPr>
        <w:tc>
          <w:tcPr>
            <w:tcW w:w="370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color w:val="auto"/>
              </w:rPr>
              <w:t>Revenues</w:t>
            </w:r>
          </w:p>
        </w:tc>
        <w:tc>
          <w:tcPr>
            <w:tcW w:w="94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130"/>
              <w:spacing w:after="0" w:line="202" w:lineRule="exact"/>
              <w:rPr>
                <w:sz w:val="20"/>
                <w:szCs w:val="20"/>
                <w:color w:val="auto"/>
              </w:rPr>
            </w:pPr>
            <w:r>
              <w:rPr>
                <w:rFonts w:ascii="Arial" w:cs="Arial" w:eastAsia="Arial" w:hAnsi="Arial"/>
                <w:sz w:val="18"/>
                <w:szCs w:val="18"/>
                <w:color w:val="auto"/>
              </w:rPr>
              <w:t>385.2</w:t>
            </w:r>
          </w:p>
        </w:tc>
        <w:tc>
          <w:tcPr>
            <w:tcW w:w="28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ind w:right="330"/>
              <w:spacing w:after="0" w:line="202" w:lineRule="exact"/>
              <w:rPr>
                <w:sz w:val="20"/>
                <w:szCs w:val="20"/>
                <w:color w:val="auto"/>
              </w:rPr>
            </w:pPr>
            <w:r>
              <w:rPr>
                <w:rFonts w:ascii="Arial" w:cs="Arial" w:eastAsia="Arial" w:hAnsi="Arial"/>
                <w:sz w:val="18"/>
                <w:szCs w:val="18"/>
                <w:color w:val="auto"/>
              </w:rPr>
              <w:t>354.6</w:t>
            </w:r>
          </w:p>
        </w:tc>
        <w:tc>
          <w:tcPr>
            <w:tcW w:w="1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2"/>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(41.2)</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3700" w:type="dxa"/>
            <w:vAlign w:val="bottom"/>
            <w:shd w:val="clear" w:color="auto" w:fill="D9D9D9"/>
          </w:tcPr>
          <w:p>
            <w:pPr>
              <w:ind w:left="20"/>
              <w:spacing w:after="0" w:line="202" w:lineRule="exact"/>
              <w:rPr>
                <w:sz w:val="20"/>
                <w:szCs w:val="20"/>
                <w:color w:val="auto"/>
              </w:rPr>
            </w:pPr>
            <w:r>
              <w:rPr>
                <w:rFonts w:ascii="Arial" w:cs="Arial" w:eastAsia="Arial" w:hAnsi="Arial"/>
                <w:sz w:val="18"/>
                <w:szCs w:val="18"/>
                <w:color w:val="auto"/>
              </w:rPr>
              <w:t>Net income (loss) margin</w:t>
            </w:r>
          </w:p>
        </w:tc>
        <w:tc>
          <w:tcPr>
            <w:tcW w:w="940" w:type="dxa"/>
            <w:vAlign w:val="bottom"/>
            <w:shd w:val="clear" w:color="auto" w:fill="D9D9D9"/>
          </w:tcPr>
          <w:p>
            <w:pPr>
              <w:spacing w:after="0"/>
              <w:rPr>
                <w:sz w:val="17"/>
                <w:szCs w:val="17"/>
                <w:color w:val="auto"/>
              </w:rPr>
            </w:pPr>
          </w:p>
        </w:tc>
        <w:tc>
          <w:tcPr>
            <w:tcW w:w="116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0.6%</w:t>
            </w:r>
          </w:p>
        </w:tc>
        <w:tc>
          <w:tcPr>
            <w:tcW w:w="280" w:type="dxa"/>
            <w:vAlign w:val="bottom"/>
            <w:shd w:val="clear" w:color="auto" w:fill="D9D9D9"/>
          </w:tcPr>
          <w:p>
            <w:pPr>
              <w:spacing w:after="0"/>
              <w:rPr>
                <w:sz w:val="17"/>
                <w:szCs w:val="17"/>
                <w:color w:val="auto"/>
              </w:rPr>
            </w:pPr>
          </w:p>
        </w:tc>
        <w:tc>
          <w:tcPr>
            <w:tcW w:w="1380" w:type="dxa"/>
            <w:vAlign w:val="bottom"/>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rPr>
              <w:t>(11.6)%</w:t>
            </w:r>
          </w:p>
        </w:tc>
        <w:tc>
          <w:tcPr>
            <w:tcW w:w="1300" w:type="dxa"/>
            <w:vAlign w:val="bottom"/>
            <w:shd w:val="clear" w:color="auto" w:fill="D9D9D9"/>
          </w:tcPr>
          <w:p>
            <w:pPr>
              <w:jc w:val="right"/>
              <w:ind w:right="1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Diluted net income (loss) per share</w:t>
            </w:r>
          </w:p>
        </w:tc>
        <w:tc>
          <w:tcPr>
            <w:tcW w:w="9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(0.24)</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3700" w:type="dxa"/>
            <w:vAlign w:val="bottom"/>
            <w:shd w:val="clear" w:color="auto" w:fill="D9D9D9"/>
          </w:tcPr>
          <w:p>
            <w:pPr>
              <w:ind w:left="20"/>
              <w:spacing w:after="0" w:line="202" w:lineRule="exact"/>
              <w:rPr>
                <w:sz w:val="20"/>
                <w:szCs w:val="20"/>
                <w:color w:val="auto"/>
              </w:rPr>
            </w:pPr>
            <w:r>
              <w:rPr>
                <w:rFonts w:ascii="Arial" w:cs="Arial" w:eastAsia="Arial" w:hAnsi="Arial"/>
                <w:sz w:val="17"/>
                <w:szCs w:val="17"/>
                <w:color w:val="auto"/>
              </w:rPr>
              <w:t>Adjusted EBITDA</w:t>
            </w:r>
            <w:r>
              <w:rPr>
                <w:rFonts w:ascii="Arial" w:cs="Arial" w:eastAsia="Arial" w:hAnsi="Arial"/>
                <w:sz w:val="23"/>
                <w:szCs w:val="23"/>
                <w:color w:val="auto"/>
                <w:vertAlign w:val="superscript"/>
              </w:rPr>
              <w:t>1</w:t>
            </w:r>
          </w:p>
        </w:tc>
        <w:tc>
          <w:tcPr>
            <w:tcW w:w="94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130"/>
              <w:spacing w:after="0" w:line="202" w:lineRule="exact"/>
              <w:rPr>
                <w:sz w:val="20"/>
                <w:szCs w:val="20"/>
                <w:color w:val="auto"/>
              </w:rPr>
            </w:pPr>
            <w:r>
              <w:rPr>
                <w:rFonts w:ascii="Arial" w:cs="Arial" w:eastAsia="Arial" w:hAnsi="Arial"/>
                <w:sz w:val="18"/>
                <w:szCs w:val="18"/>
                <w:color w:val="auto"/>
              </w:rPr>
              <w:t>105.3</w:t>
            </w:r>
          </w:p>
        </w:tc>
        <w:tc>
          <w:tcPr>
            <w:tcW w:w="28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ind w:right="330"/>
              <w:spacing w:after="0" w:line="202" w:lineRule="exact"/>
              <w:rPr>
                <w:sz w:val="20"/>
                <w:szCs w:val="20"/>
                <w:color w:val="auto"/>
              </w:rPr>
            </w:pPr>
            <w:r>
              <w:rPr>
                <w:rFonts w:ascii="Arial" w:cs="Arial" w:eastAsia="Arial" w:hAnsi="Arial"/>
                <w:sz w:val="18"/>
                <w:szCs w:val="18"/>
                <w:color w:val="auto"/>
              </w:rPr>
              <w:t>92.1</w:t>
            </w:r>
          </w:p>
        </w:tc>
        <w:tc>
          <w:tcPr>
            <w:tcW w:w="1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7"/>
                <w:szCs w:val="17"/>
                <w:color w:val="auto"/>
              </w:rPr>
              <w:t>Adjusted EBITDA Margin</w:t>
            </w:r>
            <w:r>
              <w:rPr>
                <w:rFonts w:ascii="Arial" w:cs="Arial" w:eastAsia="Arial" w:hAnsi="Arial"/>
                <w:sz w:val="23"/>
                <w:szCs w:val="23"/>
                <w:color w:val="auto"/>
                <w:vertAlign w:val="superscript"/>
              </w:rPr>
              <w:t>1</w:t>
            </w:r>
          </w:p>
        </w:tc>
        <w:tc>
          <w:tcPr>
            <w:tcW w:w="9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80" w:type="dxa"/>
            <w:vAlign w:val="bottom"/>
          </w:tcPr>
          <w:p>
            <w:pPr>
              <w:spacing w:after="0"/>
              <w:rPr>
                <w:sz w:val="17"/>
                <w:szCs w:val="17"/>
                <w:color w:val="auto"/>
              </w:rPr>
            </w:pPr>
          </w:p>
        </w:tc>
        <w:tc>
          <w:tcPr>
            <w:tcW w:w="13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26.0%</w:t>
            </w:r>
          </w:p>
        </w:tc>
        <w:tc>
          <w:tcPr>
            <w:tcW w:w="13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700" w:type="dxa"/>
            <w:vAlign w:val="bottom"/>
            <w:shd w:val="clear" w:color="auto" w:fill="D9D9D9"/>
          </w:tcPr>
          <w:p>
            <w:pPr>
              <w:ind w:left="20"/>
              <w:spacing w:after="0" w:line="202"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3"/>
                <w:szCs w:val="23"/>
                <w:color w:val="auto"/>
                <w:vertAlign w:val="superscript"/>
              </w:rPr>
              <w:t>1</w:t>
            </w:r>
          </w:p>
        </w:tc>
        <w:tc>
          <w:tcPr>
            <w:tcW w:w="94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9D9D9"/>
          </w:tcPr>
          <w:p>
            <w:pPr>
              <w:jc w:val="right"/>
              <w:ind w:right="130"/>
              <w:spacing w:after="0" w:line="202" w:lineRule="exact"/>
              <w:rPr>
                <w:sz w:val="20"/>
                <w:szCs w:val="20"/>
                <w:color w:val="auto"/>
              </w:rPr>
            </w:pPr>
            <w:r>
              <w:rPr>
                <w:rFonts w:ascii="Arial" w:cs="Arial" w:eastAsia="Arial" w:hAnsi="Arial"/>
                <w:sz w:val="18"/>
                <w:szCs w:val="18"/>
                <w:color w:val="auto"/>
              </w:rPr>
              <w:t>45.1</w:t>
            </w:r>
          </w:p>
        </w:tc>
        <w:tc>
          <w:tcPr>
            <w:tcW w:w="280" w:type="dxa"/>
            <w:vAlign w:val="bottom"/>
            <w:shd w:val="clear" w:color="auto" w:fill="D9D9D9"/>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ind w:right="330"/>
              <w:spacing w:after="0" w:line="202" w:lineRule="exact"/>
              <w:rPr>
                <w:sz w:val="20"/>
                <w:szCs w:val="20"/>
                <w:color w:val="auto"/>
              </w:rPr>
            </w:pPr>
            <w:r>
              <w:rPr>
                <w:rFonts w:ascii="Arial" w:cs="Arial" w:eastAsia="Arial" w:hAnsi="Arial"/>
                <w:sz w:val="18"/>
                <w:szCs w:val="18"/>
                <w:color w:val="auto"/>
              </w:rPr>
              <w:t>30.5</w:t>
            </w:r>
          </w:p>
        </w:tc>
        <w:tc>
          <w:tcPr>
            <w:tcW w:w="1300" w:type="dxa"/>
            <w:vAlign w:val="bottom"/>
            <w:shd w:val="clear" w:color="auto" w:fill="D9D9D9"/>
          </w:tcPr>
          <w:p>
            <w:pPr>
              <w:jc w:val="right"/>
              <w:spacing w:after="0" w:line="202" w:lineRule="exact"/>
              <w:rPr>
                <w:sz w:val="20"/>
                <w:szCs w:val="20"/>
                <w:color w:val="auto"/>
              </w:rPr>
            </w:pPr>
            <w:r>
              <w:rPr>
                <w:rFonts w:ascii="Arial" w:cs="Arial" w:eastAsia="Arial" w:hAnsi="Arial"/>
                <w:sz w:val="18"/>
                <w:szCs w:val="18"/>
                <w:color w:val="auto"/>
              </w:rPr>
              <w:t>48.0%</w:t>
            </w:r>
          </w:p>
        </w:tc>
      </w:tr>
      <w:tr>
        <w:trPr>
          <w:trHeight w:val="307"/>
        </w:trPr>
        <w:tc>
          <w:tcPr>
            <w:tcW w:w="3700" w:type="dxa"/>
            <w:vAlign w:val="bottom"/>
          </w:tcPr>
          <w:p>
            <w:pPr>
              <w:ind w:left="2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4"/>
                <w:szCs w:val="24"/>
                <w:color w:val="auto"/>
                <w:vertAlign w:val="superscript"/>
              </w:rPr>
              <w:t>1</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0.26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0.17</w:t>
            </w:r>
          </w:p>
        </w:tc>
        <w:tc>
          <w:tcPr>
            <w:tcW w:w="1300" w:type="dxa"/>
            <w:vAlign w:val="bottom"/>
          </w:tcPr>
          <w:p>
            <w:pPr>
              <w:jc w:val="right"/>
              <w:spacing w:after="0"/>
              <w:rPr>
                <w:sz w:val="20"/>
                <w:szCs w:val="20"/>
                <w:color w:val="auto"/>
              </w:rPr>
            </w:pPr>
            <w:r>
              <w:rPr>
                <w:rFonts w:ascii="Arial" w:cs="Arial" w:eastAsia="Arial" w:hAnsi="Arial"/>
                <w:sz w:val="18"/>
                <w:szCs w:val="18"/>
                <w:color w:val="auto"/>
              </w:rPr>
              <w:t>52.9%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-1231900</wp:posOffset>
            </wp:positionV>
            <wp:extent cx="27686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 w:lineRule="exact"/>
        <w:rPr>
          <w:sz w:val="20"/>
          <w:szCs w:val="20"/>
          <w:color w:val="auto"/>
        </w:rPr>
      </w:pPr>
    </w:p>
    <w:p>
      <w:pPr>
        <w:ind w:firstLine="4"/>
        <w:spacing w:after="0" w:line="208" w:lineRule="auto"/>
        <w:tabs>
          <w:tab w:leader="none" w:pos="6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Adjusted EBITDA, Adjusted EBITDA Margin, Adjusted Net Income, and Adjusted Diluted Earnings Per Share are non-GAAP measures. Please see the end of this earnings release for definitions and schedules with reconciliations of these measures to their most directly comparable respective GAAP measures.</w:t>
      </w:r>
    </w:p>
    <w:p>
      <w:pPr>
        <w:spacing w:after="0"/>
        <w:rPr>
          <w:rFonts w:ascii="Arial" w:cs="Arial" w:eastAsia="Arial" w:hAnsi="Arial"/>
          <w:sz w:val="16"/>
          <w:szCs w:val="16"/>
          <w:color w:val="auto"/>
          <w:vertAlign w:val="superscript"/>
        </w:rPr>
      </w:pPr>
      <w:r>
        <w:rPr>
          <w:rFonts w:ascii="Arial" w:cs="Arial" w:eastAsia="Arial" w:hAnsi="Arial"/>
          <w:sz w:val="12"/>
          <w:szCs w:val="12"/>
          <w:color w:val="auto"/>
        </w:rPr>
        <w:t>Note: "NA" indicates not applicable information; "NM" indicates not meaningful information.</w:t>
      </w:r>
    </w:p>
    <w:p>
      <w:pPr>
        <w:spacing w:after="0" w:line="14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“Continuing our positive momentum from 2025, we generated exceptional financial results in the first quarter, with year-over-year revenue growth of 8.6%. Our sales engine is clearly humming. Our verticalized go-to-market strategy and diversified customer base, with our focus on enterprise customers, have enabled us to consistently outpace broader hiring market trends. We are seeing positive momentum across key verticals including retail &amp; e-commerce, transportation &amp; logistics, and gig economy, and are continuing to deliver upsell, cross-sell, and new logo wins through our innovative solutions, while also maintaining our high customer retention rate of 97%. Spanning across the employee lifecycle, our comprehensive solutions, including Digital Identity, continue to resonate with customers and open up meaningful growth opportunities,” said Scott Staples,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713105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jc w:val="both"/>
        <w:spacing w:after="0" w:line="248" w:lineRule="auto"/>
        <w:rPr>
          <w:sz w:val="20"/>
          <w:szCs w:val="20"/>
          <w:color w:val="auto"/>
        </w:rPr>
      </w:pPr>
      <w:r>
        <w:rPr>
          <w:rFonts w:ascii="Arial" w:cs="Arial" w:eastAsia="Arial" w:hAnsi="Arial"/>
          <w:sz w:val="19"/>
          <w:szCs w:val="19"/>
          <w:color w:val="auto"/>
        </w:rPr>
        <w:t>“We are building on our position of strength through the disciplined execution of our FA 5.0 growth strategy. First Advantage operates at scale, leveraging our AI-enabled products and technologies to help customers navigate increasingly complex human capital risks. Our proprietary data assets, large scale physical fulfillment networks, compliance expertise, consultative approach, and deep system integrations uniquely position us to deliver durable, long-term shareholder value in an evolving technology landscape,” Staples concluded.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Reaffirming Full Year 2026 Guidance</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are reaffirming our full year 2026 guidance in light of our strong performance in the first quarter and our latest view of the macroeconomic environment,” commented Steven Marks, Chief Financial Officer. “We continue to generate strong cash flow, and consistent with our balanced capital allocation strategy, we are both repurchasing shares and continuing to reduce net leverage. During the quarter, we repurchased $19.5 million in shares under our recently announced $100 million authorization and voluntarily paid down $25 million of debt, as previously announced. Subsequent to the end of the quarter, we repurchased an additional $13.8 million in shares through May 1 and made another voluntary principal prepayment of $25 million in early May. We remain focused on accelerating growth while steadily reducing net leverage and advancing toward our long-term financial objectives.”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full year 2026 guidance.</w:t>
      </w:r>
    </w:p>
    <w:p>
      <w:pPr>
        <w:spacing w:after="0" w:line="169"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3360" w:type="dxa"/>
            <w:vAlign w:val="bottom"/>
            <w:shd w:val="clear" w:color="auto" w:fill="005656"/>
          </w:tcPr>
          <w:p>
            <w:pPr>
              <w:spacing w:after="0"/>
              <w:rPr>
                <w:sz w:val="19"/>
                <w:szCs w:val="19"/>
                <w:color w:val="auto"/>
              </w:rPr>
            </w:pPr>
          </w:p>
        </w:tc>
        <w:tc>
          <w:tcPr>
            <w:tcW w:w="3540" w:type="dxa"/>
            <w:vAlign w:val="bottom"/>
            <w:shd w:val="clear" w:color="auto" w:fill="005656"/>
          </w:tcPr>
          <w:p>
            <w:pPr>
              <w:jc w:val="center"/>
              <w:ind w:left="301"/>
              <w:spacing w:after="0"/>
              <w:rPr>
                <w:sz w:val="20"/>
                <w:szCs w:val="20"/>
                <w:color w:val="auto"/>
              </w:rPr>
            </w:pPr>
            <w:r>
              <w:rPr>
                <w:rFonts w:ascii="Arial" w:cs="Arial" w:eastAsia="Arial" w:hAnsi="Arial"/>
                <w:sz w:val="20"/>
                <w:szCs w:val="20"/>
                <w:b w:val="1"/>
                <w:bCs w:val="1"/>
                <w:color w:val="FFFFFF"/>
                <w:w w:val="99"/>
              </w:rPr>
              <w:t>As of May 7, 2026</w:t>
            </w:r>
          </w:p>
        </w:tc>
      </w:tr>
      <w:tr>
        <w:trPr>
          <w:trHeight w:val="216"/>
        </w:trPr>
        <w:tc>
          <w:tcPr>
            <w:tcW w:w="3360" w:type="dxa"/>
            <w:vAlign w:val="bottom"/>
            <w:shd w:val="clear" w:color="auto" w:fill="D0CFCD"/>
          </w:tcPr>
          <w:p>
            <w:pPr>
              <w:ind w:left="100"/>
              <w:spacing w:after="0" w:line="216" w:lineRule="exact"/>
              <w:rPr>
                <w:sz w:val="20"/>
                <w:szCs w:val="20"/>
                <w:color w:val="auto"/>
              </w:rPr>
            </w:pPr>
            <w:r>
              <w:rPr>
                <w:rFonts w:ascii="Arial" w:cs="Arial" w:eastAsia="Arial" w:hAnsi="Arial"/>
                <w:sz w:val="20"/>
                <w:szCs w:val="20"/>
                <w:color w:val="auto"/>
              </w:rPr>
              <w:t>Revenues</w:t>
            </w:r>
          </w:p>
        </w:tc>
        <w:tc>
          <w:tcPr>
            <w:tcW w:w="3540" w:type="dxa"/>
            <w:vAlign w:val="bottom"/>
            <w:shd w:val="clear" w:color="auto" w:fill="D0CFCD"/>
          </w:tcPr>
          <w:p>
            <w:pPr>
              <w:jc w:val="center"/>
              <w:ind w:left="301"/>
              <w:spacing w:after="0" w:line="216" w:lineRule="exact"/>
              <w:rPr>
                <w:sz w:val="20"/>
                <w:szCs w:val="20"/>
                <w:color w:val="auto"/>
              </w:rPr>
            </w:pPr>
            <w:r>
              <w:rPr>
                <w:rFonts w:ascii="Arial" w:cs="Arial" w:eastAsia="Arial" w:hAnsi="Arial"/>
                <w:sz w:val="20"/>
                <w:szCs w:val="20"/>
                <w:color w:val="auto"/>
                <w:w w:val="98"/>
              </w:rPr>
              <w:t>$1,625 million – $1,700 million</w:t>
            </w:r>
          </w:p>
        </w:tc>
      </w:tr>
      <w:tr>
        <w:trPr>
          <w:trHeight w:val="216"/>
        </w:trPr>
        <w:tc>
          <w:tcPr>
            <w:tcW w:w="3360" w:type="dxa"/>
            <w:vAlign w:val="bottom"/>
          </w:tcPr>
          <w:p>
            <w:pPr>
              <w:ind w:left="100"/>
              <w:spacing w:after="0" w:line="216" w:lineRule="exact"/>
              <w:rPr>
                <w:sz w:val="20"/>
                <w:szCs w:val="20"/>
                <w:color w:val="auto"/>
              </w:rPr>
            </w:pPr>
            <w:r>
              <w:rPr>
                <w:rFonts w:ascii="Arial" w:cs="Arial" w:eastAsia="Arial" w:hAnsi="Arial"/>
                <w:sz w:val="19"/>
                <w:szCs w:val="19"/>
                <w:color w:val="auto"/>
              </w:rPr>
              <w:t>Adjusted EBITDA</w:t>
            </w:r>
            <w:r>
              <w:rPr>
                <w:rFonts w:ascii="Arial" w:cs="Arial" w:eastAsia="Arial" w:hAnsi="Arial"/>
                <w:sz w:val="25"/>
                <w:szCs w:val="25"/>
                <w:color w:val="auto"/>
                <w:vertAlign w:val="superscript"/>
              </w:rPr>
              <w:t>3</w:t>
            </w:r>
          </w:p>
        </w:tc>
        <w:tc>
          <w:tcPr>
            <w:tcW w:w="3540" w:type="dxa"/>
            <w:vAlign w:val="bottom"/>
          </w:tcPr>
          <w:p>
            <w:pPr>
              <w:jc w:val="center"/>
              <w:ind w:left="301"/>
              <w:spacing w:after="0" w:line="216" w:lineRule="exact"/>
              <w:rPr>
                <w:sz w:val="20"/>
                <w:szCs w:val="20"/>
                <w:color w:val="auto"/>
              </w:rPr>
            </w:pPr>
            <w:r>
              <w:rPr>
                <w:rFonts w:ascii="Arial" w:cs="Arial" w:eastAsia="Arial" w:hAnsi="Arial"/>
                <w:sz w:val="20"/>
                <w:szCs w:val="20"/>
                <w:color w:val="auto"/>
                <w:w w:val="99"/>
              </w:rPr>
              <w:t>$460 million – $485 million</w:t>
            </w:r>
          </w:p>
        </w:tc>
      </w:tr>
      <w:tr>
        <w:trPr>
          <w:trHeight w:val="216"/>
        </w:trPr>
        <w:tc>
          <w:tcPr>
            <w:tcW w:w="3360" w:type="dxa"/>
            <w:vAlign w:val="bottom"/>
            <w:shd w:val="clear" w:color="auto" w:fill="D0CFCD"/>
          </w:tcPr>
          <w:p>
            <w:pPr>
              <w:ind w:left="100"/>
              <w:spacing w:after="0" w:line="216" w:lineRule="exact"/>
              <w:rPr>
                <w:sz w:val="20"/>
                <w:szCs w:val="20"/>
                <w:color w:val="auto"/>
              </w:rPr>
            </w:pPr>
            <w:r>
              <w:rPr>
                <w:rFonts w:ascii="Arial" w:cs="Arial" w:eastAsia="Arial" w:hAnsi="Arial"/>
                <w:sz w:val="19"/>
                <w:szCs w:val="19"/>
                <w:color w:val="auto"/>
              </w:rPr>
              <w:t>Adjusted Net Income</w:t>
            </w:r>
            <w:r>
              <w:rPr>
                <w:rFonts w:ascii="Arial" w:cs="Arial" w:eastAsia="Arial" w:hAnsi="Arial"/>
                <w:sz w:val="25"/>
                <w:szCs w:val="25"/>
                <w:color w:val="auto"/>
                <w:vertAlign w:val="superscript"/>
              </w:rPr>
              <w:t>3</w:t>
            </w:r>
          </w:p>
        </w:tc>
        <w:tc>
          <w:tcPr>
            <w:tcW w:w="3540" w:type="dxa"/>
            <w:vAlign w:val="bottom"/>
            <w:shd w:val="clear" w:color="auto" w:fill="D0CFCD"/>
          </w:tcPr>
          <w:p>
            <w:pPr>
              <w:jc w:val="center"/>
              <w:ind w:left="301"/>
              <w:spacing w:after="0" w:line="216" w:lineRule="exact"/>
              <w:rPr>
                <w:sz w:val="20"/>
                <w:szCs w:val="20"/>
                <w:color w:val="auto"/>
              </w:rPr>
            </w:pPr>
            <w:r>
              <w:rPr>
                <w:rFonts w:ascii="Arial" w:cs="Arial" w:eastAsia="Arial" w:hAnsi="Arial"/>
                <w:sz w:val="20"/>
                <w:szCs w:val="20"/>
                <w:color w:val="auto"/>
                <w:w w:val="99"/>
              </w:rPr>
              <w:t>$200 million – $220 million</w:t>
            </w:r>
          </w:p>
        </w:tc>
      </w:tr>
      <w:tr>
        <w:trPr>
          <w:trHeight w:val="176"/>
        </w:trPr>
        <w:tc>
          <w:tcPr>
            <w:tcW w:w="3360" w:type="dxa"/>
            <w:vAlign w:val="bottom"/>
          </w:tcPr>
          <w:p>
            <w:pPr>
              <w:ind w:left="100"/>
              <w:spacing w:after="0" w:line="176" w:lineRule="exact"/>
              <w:rPr>
                <w:sz w:val="20"/>
                <w:szCs w:val="20"/>
                <w:color w:val="auto"/>
              </w:rPr>
            </w:pPr>
            <w:r>
              <w:rPr>
                <w:rFonts w:ascii="Arial" w:cs="Arial" w:eastAsia="Arial" w:hAnsi="Arial"/>
                <w:sz w:val="20"/>
                <w:szCs w:val="20"/>
                <w:color w:val="auto"/>
              </w:rPr>
              <w:t>Adjusted Diluted Earnings Per</w:t>
            </w:r>
          </w:p>
        </w:tc>
        <w:tc>
          <w:tcPr>
            <w:tcW w:w="3540" w:type="dxa"/>
            <w:vAlign w:val="bottom"/>
          </w:tcPr>
          <w:p>
            <w:pPr>
              <w:jc w:val="center"/>
              <w:ind w:left="301"/>
              <w:spacing w:after="0" w:line="176" w:lineRule="exact"/>
              <w:rPr>
                <w:sz w:val="20"/>
                <w:szCs w:val="20"/>
                <w:color w:val="auto"/>
              </w:rPr>
            </w:pPr>
            <w:r>
              <w:rPr>
                <w:rFonts w:ascii="Arial" w:cs="Arial" w:eastAsia="Arial" w:hAnsi="Arial"/>
                <w:sz w:val="20"/>
                <w:szCs w:val="20"/>
                <w:color w:val="auto"/>
                <w:w w:val="99"/>
              </w:rPr>
              <w:t>$1.15 – $1.25</w:t>
            </w:r>
          </w:p>
        </w:tc>
      </w:tr>
      <w:tr>
        <w:trPr>
          <w:trHeight w:val="354"/>
        </w:trPr>
        <w:tc>
          <w:tcPr>
            <w:tcW w:w="3360" w:type="dxa"/>
            <w:vAlign w:val="bottom"/>
          </w:tcPr>
          <w:p>
            <w:pPr>
              <w:ind w:left="100"/>
              <w:spacing w:after="0"/>
              <w:rPr>
                <w:sz w:val="20"/>
                <w:szCs w:val="20"/>
                <w:color w:val="auto"/>
              </w:rPr>
            </w:pPr>
            <w:r>
              <w:rPr>
                <w:rFonts w:ascii="Arial" w:cs="Arial" w:eastAsia="Arial" w:hAnsi="Arial"/>
                <w:sz w:val="20"/>
                <w:szCs w:val="20"/>
                <w:color w:val="auto"/>
              </w:rPr>
              <w:t>Share</w:t>
            </w:r>
            <w:r>
              <w:rPr>
                <w:rFonts w:ascii="Arial" w:cs="Arial" w:eastAsia="Arial" w:hAnsi="Arial"/>
                <w:sz w:val="26"/>
                <w:szCs w:val="26"/>
                <w:color w:val="auto"/>
                <w:vertAlign w:val="superscript"/>
              </w:rPr>
              <w:t>3</w:t>
            </w:r>
          </w:p>
        </w:tc>
        <w:tc>
          <w:tcPr>
            <w:tcW w:w="3540" w:type="dxa"/>
            <w:vAlign w:val="bottom"/>
          </w:tcPr>
          <w:p>
            <w:pPr>
              <w:spacing w:after="0"/>
              <w:rPr>
                <w:sz w:val="24"/>
                <w:szCs w:val="24"/>
                <w:color w:val="auto"/>
              </w:rPr>
            </w:pPr>
          </w:p>
        </w:tc>
      </w:tr>
    </w:tbl>
    <w:p>
      <w:pPr>
        <w:spacing w:after="0" w:line="30" w:lineRule="exact"/>
        <w:rPr>
          <w:sz w:val="20"/>
          <w:szCs w:val="20"/>
          <w:color w:val="auto"/>
        </w:rPr>
      </w:pPr>
    </w:p>
    <w:p>
      <w:pPr>
        <w:jc w:val="both"/>
        <w:ind w:firstLine="4"/>
        <w:spacing w:after="0" w:line="223" w:lineRule="auto"/>
        <w:tabs>
          <w:tab w:leader="none" w:pos="76"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A reconciliation of the foregoing guidance for the non-GAAP metrics of Adjusted EBITDA and Adjusted Net Income to GAAP net income (loss) and Adjusted Diluted Earnings Per Share to GAAP diluted net income (loss) per share cannot be provided without unreasonable effort because of the inherent difficulty of accurately forecasting the occurrence and financial impact of the various adjusting items necessary for such reconciliation that have not yet occurred, are out of our control, or cannot be reasonably predicted. For the same reasons, the Company is unable to assess the probable significance of the unavailable information, which could have a material impact on its future GAAP financial results.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Actual results may differ materially from First Advantage’s full year 2026 guidance as a result of, among other things, the factors described under “Forward-Looking Statements” below.</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First Advantage will host a conference call to review its first quarter 2026 results today, May 7, 2026, at 8:30 a.m. ET.</w:t>
      </w:r>
    </w:p>
    <w:p>
      <w:pPr>
        <w:spacing w:after="0" w:line="128"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To participate in the conference call, please dial 800-274-8461 (domestic) or 203-518-9814 (international) approximately ten minutes before the 8:30 a.m. ET start. Please mention to the operator that you are dialing in for the First Advantage first quarter 2026 earnings call or provide the conference code FA1Q26. The call will also be webcast live on the Company’s investor relations website at https://investors.fadv.com under the “News &amp; Events” and then “Events &amp; Presentations” section, where related presentation materials will be posted prior to the conference call.</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Following the conference call, a replay of the webcast will be available on the Company’s investor relations website, https://investors.fadv.com. Alternatively, the live webcast and subsequent replay will be available at https://event.on24.com/wcc/r/5299677/C9C3CC4A5F89F22F622AC6FC6E51BB7B</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701040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Forward-Looking Statements</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These forward-looking statements are subject to various risks, uncertainties, assumptions, or changes in circumstances that are difficult to predict or quantify. Such risks and uncertainties include, but are not limited to, the following:</w:t>
      </w:r>
    </w:p>
    <w:p>
      <w:pPr>
        <w:spacing w:after="0" w:line="131" w:lineRule="exact"/>
        <w:rPr>
          <w:sz w:val="20"/>
          <w:szCs w:val="20"/>
          <w:color w:val="auto"/>
        </w:rPr>
      </w:pPr>
    </w:p>
    <w:p>
      <w:pPr>
        <w:ind w:left="880" w:hanging="436"/>
        <w:spacing w:after="0"/>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failure to realize the expected benefits of the Sterling Acquisition;</w:t>
      </w:r>
    </w:p>
    <w:p>
      <w:pPr>
        <w:spacing w:after="0" w:line="16" w:lineRule="exact"/>
        <w:rPr>
          <w:rFonts w:ascii="Times New Roman" w:cs="Times New Roman" w:eastAsia="Times New Roman" w:hAnsi="Times New Roman"/>
          <w:sz w:val="20"/>
          <w:szCs w:val="20"/>
          <w:color w:val="auto"/>
        </w:rPr>
      </w:pPr>
    </w:p>
    <w:p>
      <w:pPr>
        <w:jc w:val="both"/>
        <w:ind w:left="880" w:hanging="436"/>
        <w:spacing w:after="0" w:line="225"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adverse changes in external events beyond our control, including our customers’ onboarding volumes, economic drivers which are sensitive to macroeconomic cycles, such as interest rate volatility and inflation, geopolitical unrest, global trade disputes, uncertainty in financial markets, and changes in tax laws;</w:t>
      </w:r>
    </w:p>
    <w:p>
      <w:pPr>
        <w:jc w:val="both"/>
        <w:ind w:left="880" w:hanging="436"/>
        <w:spacing w:after="0" w:line="225"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operations in a highly regulated industry and the fact that we are subject to numerous and evolving laws and regulations, including with respect to personal data, data security, and artificial intelligence ("AI");</w:t>
      </w: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inability to identify and successfully implement our growth strategies on a timely basis or at all;</w:t>
      </w:r>
    </w:p>
    <w:p>
      <w:pPr>
        <w:jc w:val="both"/>
        <w:ind w:left="880" w:hanging="436"/>
        <w:spacing w:after="0" w:line="225"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potential harm to our business, brand, and reputation as a result of security breaches, cyber-attacks, social, ethical, and legal issues relating to the use of new and evolving technologies, employee or other internal misconduct, computer viruses, or the mishandling of personal data;</w:t>
      </w: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in a penetrated and competitive market;</w:t>
      </w: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reliance on third-party data providers;</w:t>
      </w:r>
    </w:p>
    <w:p>
      <w:pPr>
        <w:ind w:left="88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sales to government entities and higher-tier contractors to governmental customers which involve unique competitive, procurement, budget, administrative and contractual risks;</w:t>
      </w:r>
    </w:p>
    <w:p>
      <w:pPr>
        <w:spacing w:after="0" w:line="1" w:lineRule="exact"/>
        <w:rPr>
          <w:rFonts w:ascii="Times New Roman" w:cs="Times New Roman" w:eastAsia="Times New Roman" w:hAnsi="Times New Roman"/>
          <w:sz w:val="20"/>
          <w:szCs w:val="20"/>
          <w:color w:val="auto"/>
        </w:rPr>
      </w:pPr>
    </w:p>
    <w:p>
      <w:pPr>
        <w:jc w:val="both"/>
        <w:ind w:left="880" w:hanging="436"/>
        <w:spacing w:after="0" w:line="225"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due to the sensitive and privacy-driven nature of our products and solutions, we could face liability and legal or regulatory proceedings, which could be costly and time-consuming to defend and may not be fully covered by insurance;</w:t>
      </w: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international business exposes us to a number of risks;</w:t>
      </w:r>
    </w:p>
    <w:p>
      <w:pPr>
        <w:ind w:left="880" w:right="8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real or perceived errors, failures, or bugs in our products could adversely affect our business, results of operations, financial condition, and growth prospects;</w:t>
      </w:r>
    </w:p>
    <w:p>
      <w:pPr>
        <w:spacing w:after="0" w:line="1" w:lineRule="exact"/>
        <w:rPr>
          <w:rFonts w:ascii="Times New Roman" w:cs="Times New Roman" w:eastAsia="Times New Roman" w:hAnsi="Times New Roman"/>
          <w:sz w:val="20"/>
          <w:szCs w:val="20"/>
          <w:color w:val="auto"/>
        </w:rPr>
      </w:pP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identify attractive targets or successfully complete such transactions;</w:t>
      </w:r>
    </w:p>
    <w:p>
      <w:pPr>
        <w:ind w:left="880" w:right="2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failure to comply with anti-corruption, economic and trade sanctions, and anti-money laundering laws and regulations;</w:t>
      </w:r>
    </w:p>
    <w:p>
      <w:pPr>
        <w:spacing w:after="0" w:line="1" w:lineRule="exact"/>
        <w:rPr>
          <w:rFonts w:ascii="Times New Roman" w:cs="Times New Roman" w:eastAsia="Times New Roman" w:hAnsi="Times New Roman"/>
          <w:sz w:val="20"/>
          <w:szCs w:val="20"/>
          <w:color w:val="auto"/>
        </w:rPr>
      </w:pP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disruptions at our Operation Centers of Excellence and other operational sites;</w:t>
      </w:r>
    </w:p>
    <w:p>
      <w:pPr>
        <w:ind w:left="880" w:hanging="436"/>
        <w:spacing w:after="0" w:line="238"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contracts with our customers, which do not guarantee exclusivity or contracted volumes;</w:t>
      </w:r>
    </w:p>
    <w:p>
      <w:pPr>
        <w:ind w:left="88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timing, manner and volume of repurchases of common stock pursuant to our share repurchase program;</w:t>
      </w:r>
    </w:p>
    <w:p>
      <w:pPr>
        <w:spacing w:after="0" w:line="1" w:lineRule="exact"/>
        <w:rPr>
          <w:rFonts w:ascii="Times New Roman" w:cs="Times New Roman" w:eastAsia="Times New Roman" w:hAnsi="Times New Roman"/>
          <w:sz w:val="20"/>
          <w:szCs w:val="20"/>
          <w:color w:val="auto"/>
        </w:rPr>
      </w:pPr>
    </w:p>
    <w:p>
      <w:pPr>
        <w:ind w:left="88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disruptions, outages, or other errors with our technology and network infrastructure, including our data centers, servers, and third-party cloud and internet providers and our migration to the cloud;</w:t>
      </w:r>
    </w:p>
    <w:p>
      <w:pPr>
        <w:spacing w:after="0" w:line="1" w:lineRule="exact"/>
        <w:rPr>
          <w:rFonts w:ascii="Times New Roman" w:cs="Times New Roman" w:eastAsia="Times New Roman" w:hAnsi="Times New Roman"/>
          <w:sz w:val="20"/>
          <w:szCs w:val="20"/>
          <w:color w:val="auto"/>
        </w:rPr>
      </w:pPr>
    </w:p>
    <w:p>
      <w:pPr>
        <w:jc w:val="both"/>
        <w:ind w:left="880" w:hanging="436"/>
        <w:spacing w:after="0" w:line="225"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the continued integration of our platforms and solutions with human resource providers such as applicant tracking systems and human capital management systems as well as our relationships with such human resource providers;</w:t>
      </w:r>
    </w:p>
    <w:p>
      <w:pPr>
        <w:ind w:left="880" w:hanging="436"/>
        <w:spacing w:after="0" w:line="224" w:lineRule="auto"/>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risks relating to public opinion, which may be magnified by incidents or adverse publicity concerning our industry or operations;</w:t>
      </w:r>
    </w:p>
    <w:p>
      <w:pPr>
        <w:spacing w:after="0" w:line="1"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our reliance on third-party vendors to carry out certain portions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605790</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0" w:right="1099" w:bottom="1440" w:gutter="0" w:footer="0" w:header="0"/>
        </w:sectPr>
      </w:pPr>
    </w:p>
    <w:bookmarkStart w:id="6" w:name="page7"/>
    <w:bookmarkEnd w:id="6"/>
    <w:p>
      <w:pPr>
        <w:ind w:left="880" w:hanging="436"/>
        <w:spacing w:after="0" w:line="234"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dependence on the service of our key executives and other employees, and our ability to find and retain qualified employees;</w:t>
      </w:r>
    </w:p>
    <w:p>
      <w:pPr>
        <w:ind w:left="880" w:hanging="436"/>
        <w:spacing w:after="0" w:line="224"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obtain, maintain, protect and enforce our intellectual property and other proprietary information;</w:t>
      </w:r>
    </w:p>
    <w:p>
      <w:pPr>
        <w:spacing w:after="0" w:line="1" w:lineRule="exact"/>
        <w:rPr>
          <w:rFonts w:ascii="Times New Roman" w:cs="Times New Roman" w:eastAsia="Times New Roman" w:hAnsi="Times New Roman"/>
          <w:sz w:val="20"/>
          <w:szCs w:val="20"/>
          <w:color w:val="auto"/>
        </w:rPr>
      </w:pPr>
    </w:p>
    <w:p>
      <w:pPr>
        <w:ind w:left="880" w:hanging="436"/>
        <w:spacing w:after="0" w:line="238"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ability to maintain, protect, and enforce the confidentiality of our trade secrets;</w:t>
      </w:r>
    </w:p>
    <w:p>
      <w:pPr>
        <w:ind w:left="880" w:hanging="436"/>
        <w:spacing w:after="0" w:line="238"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use of open-source software in our applications;</w:t>
      </w:r>
    </w:p>
    <w:p>
      <w:pPr>
        <w:ind w:left="880" w:hanging="436"/>
        <w:spacing w:after="0" w:line="238"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seasonality in our operations from quarter to quarter;</w:t>
      </w:r>
    </w:p>
    <w:p>
      <w:pPr>
        <w:jc w:val="both"/>
        <w:ind w:left="880" w:hanging="436"/>
        <w:spacing w:after="0" w:line="225"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our indebtedness could adversely affect our ability to raise additional capital to fund our operations, limit our ability to react to changes in the economy or our industry, and prevent us from meeting our obligations;</w:t>
      </w:r>
    </w:p>
    <w:p>
      <w:pPr>
        <w:ind w:left="880" w:hanging="436"/>
        <w:spacing w:after="0" w:line="224" w:lineRule="auto"/>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Silver Lake’s control of us and the potential conflict of its interest with ours or those of our stockholders; and</w:t>
      </w:r>
    </w:p>
    <w:p>
      <w:pPr>
        <w:spacing w:after="0" w:line="1" w:lineRule="exact"/>
        <w:rPr>
          <w:rFonts w:ascii="Times New Roman" w:cs="Times New Roman" w:eastAsia="Times New Roman" w:hAnsi="Times New Roman"/>
          <w:sz w:val="20"/>
          <w:szCs w:val="20"/>
          <w:color w:val="auto"/>
        </w:rPr>
      </w:pPr>
    </w:p>
    <w:p>
      <w:pPr>
        <w:ind w:left="880" w:hanging="436"/>
        <w:spacing w:after="0"/>
        <w:tabs>
          <w:tab w:leader="none" w:pos="88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changing interpretations of tax laws.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For additional information on these and other factors that could cause First Advantage’s actual results to differ materially from expected results, please see our Annual Report on Form 10-K for the year ended December 31, 2025, filed with the Securities and Exchange Commission (the “SEC”), as such factors may be updated from time to time in our filings with the SEC, 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This press release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(“GAAP”). Specifically, we make use of the non-GAAP financial measures “Adjusted EBITDA,” “Adjusted EBITDA Margin,” “Adjusted Net Income,” and “Adjusted Diluted Earnings Per Share.”</w:t>
      </w:r>
    </w:p>
    <w:p>
      <w:pPr>
        <w:spacing w:after="0" w:line="134"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Adjusted EBITDA, Adjusted EBITDA Margin, Adjusted Net Income, and Adjusted Diluted Earnings Per Share have been presented in this press release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EBITDA, Adjusted EBITDA Margin, Adjusted Net Income, and Adjusted Diluted Earnings Per Share are not recognized terms under GAAP and should not be considered as an alternative to net income as a measure of financial performance or cash provided by operating activities as a measure of liquidity, or any other performance measure derived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701675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7" w:name="page8"/>
    <w:bookmarkEnd w:id="7"/>
    <w:p>
      <w:pPr>
        <w:jc w:val="both"/>
        <w:spacing w:after="0" w:line="230" w:lineRule="auto"/>
        <w:rPr>
          <w:sz w:val="20"/>
          <w:szCs w:val="20"/>
          <w:color w:val="auto"/>
        </w:rPr>
      </w:pPr>
      <w:r>
        <w:rPr>
          <w:rFonts w:ascii="Arial" w:cs="Arial" w:eastAsia="Arial" w:hAnsi="Arial"/>
          <w:sz w:val="20"/>
          <w:szCs w:val="20"/>
          <w:color w:val="auto"/>
        </w:rPr>
        <w:t>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define Adjusted EBITDA Margin as Adjusted EBITDA divided by total revenues. We define Adjusted Net Income for a particular period as net income before taxes adjusted for debt-related costs, acquisition-related depreciation and amortization, share-based compensation, transaction and acquisition-related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For reconciliations of these non-GAAP financial measures to the most directly comparable GAAP measures, see the reconciliations included at the end of this press release.</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Certain monetary amounts, percentages, and other figures have been subject to rounding adjustments. Percentage amounts have not in all cases been calculated on the basis of such rounded figures, but on the basis of such amounts prior to rounding. For this reason, percentage amounts may vary from those obtained by performing the same calculations using the figures in our press release. Certain other amounts that appear in this press release may not sum due to rounding.</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First Advantage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First Advantage (NASDAQ: FA)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With over 80,000 customers worldwide – including approximately two-thirds of the Fortune 100 – we deliver fast, comprehensive, and reliable solutions for employers, their candidates, and their employees. We conduct more than 200 million screens annually across over 200 countries and territories, supported by our verticalized go-to-market strategy, decades of experience, and proprietary databases containing over 1 billion records. For more information, please visit our website at https://fadv.com/.</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Stephanie Gorman</w:t>
      </w:r>
    </w:p>
    <w:p>
      <w:pPr>
        <w:spacing w:after="0" w:line="229" w:lineRule="auto"/>
        <w:rPr>
          <w:sz w:val="20"/>
          <w:szCs w:val="20"/>
          <w:color w:val="auto"/>
        </w:rPr>
      </w:pPr>
      <w:r>
        <w:rPr>
          <w:rFonts w:ascii="Arial" w:cs="Arial" w:eastAsia="Arial" w:hAnsi="Arial"/>
          <w:sz w:val="20"/>
          <w:szCs w:val="20"/>
          <w:color w:val="auto"/>
        </w:rPr>
        <w:t>Vice President, Investor Relations</w:t>
      </w:r>
    </w:p>
    <w:p>
      <w:pPr>
        <w:spacing w:after="0" w:line="226" w:lineRule="auto"/>
        <w:rPr>
          <w:sz w:val="20"/>
          <w:szCs w:val="20"/>
          <w:color w:val="auto"/>
        </w:rPr>
      </w:pPr>
      <w:r>
        <w:rPr>
          <w:rFonts w:ascii="Arial" w:cs="Arial" w:eastAsia="Arial" w:hAnsi="Arial"/>
          <w:sz w:val="20"/>
          <w:szCs w:val="20"/>
          <w:color w:val="auto"/>
        </w:rPr>
        <w:t>Investors@fadv.com</w:t>
      </w:r>
    </w:p>
    <w:p>
      <w:pPr>
        <w:spacing w:after="0"/>
        <w:rPr>
          <w:sz w:val="20"/>
          <w:szCs w:val="20"/>
          <w:color w:val="auto"/>
        </w:rPr>
      </w:pPr>
      <w:r>
        <w:rPr>
          <w:rFonts w:ascii="Arial" w:cs="Arial" w:eastAsia="Arial" w:hAnsi="Arial"/>
          <w:sz w:val="20"/>
          <w:szCs w:val="20"/>
          <w:color w:val="auto"/>
        </w:rPr>
        <w:t>(678) 868-4151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598170</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2" w:right="109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20"/>
          <w:szCs w:val="20"/>
          <w:b w:val="1"/>
          <w:bCs w:val="1"/>
          <w:color w:val="auto"/>
        </w:rPr>
        <w:t>Condensed Financial Statements</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amounts)</w:t>
            </w:r>
          </w:p>
        </w:tc>
        <w:tc>
          <w:tcPr>
            <w:tcW w:w="140" w:type="dxa"/>
            <w:vAlign w:val="bottom"/>
          </w:tcPr>
          <w:p>
            <w:pPr>
              <w:spacing w:after="0"/>
              <w:rPr>
                <w:sz w:val="15"/>
                <w:szCs w:val="15"/>
                <w:color w:val="auto"/>
              </w:rPr>
            </w:pPr>
          </w:p>
        </w:tc>
        <w:tc>
          <w:tcPr>
            <w:tcW w:w="13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225,908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239,998</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672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$8,327 and $8,084 at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14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287,676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297,281</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15,323</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9,010</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539,318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561,698</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237,039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250,865</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2,138,399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2,143,604</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820,653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857,111</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4,183</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14,604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16,341</w:t>
            </w:r>
          </w:p>
        </w:tc>
        <w:tc>
          <w:tcPr>
            <w:tcW w:w="6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3,754,164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3,833,802</w:t>
            </w:r>
          </w:p>
        </w:tc>
        <w:tc>
          <w:tcPr>
            <w:tcW w:w="6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7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107,193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109,888</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60,537</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42,347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49,140</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3,568</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2,298</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5,028</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203,497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230,459</w:t>
            </w:r>
          </w:p>
        </w:tc>
        <w:tc>
          <w:tcPr>
            <w:tcW w:w="6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6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debt (net of deferred financing costs of $32,603 and $34,498 at March 31,</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4"/>
        </w:trPr>
        <w:tc>
          <w:tcPr>
            <w:tcW w:w="660" w:type="dxa"/>
            <w:vAlign w:val="bottom"/>
          </w:tcPr>
          <w:p>
            <w:pPr>
              <w:spacing w:after="0"/>
              <w:rPr>
                <w:sz w:val="20"/>
                <w:szCs w:val="20"/>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4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2,056,934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2,080,039</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181,024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190,255</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5,525</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14,063</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13,972</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2,460,380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2,520,250</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r>
      <w:tr>
        <w:trPr>
          <w:trHeight w:val="198"/>
        </w:trPr>
        <w:tc>
          <w:tcPr>
            <w:tcW w:w="660" w:type="dxa"/>
            <w:vAlign w:val="bottom"/>
          </w:tcPr>
          <w:p>
            <w:pPr>
              <w:spacing w:after="0"/>
              <w:rPr>
                <w:sz w:val="17"/>
                <w:szCs w:val="17"/>
                <w:color w:val="auto"/>
              </w:rPr>
            </w:pPr>
          </w:p>
        </w:tc>
        <w:tc>
          <w:tcPr>
            <w:tcW w:w="6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$0.001 par value; 1,000,000,000 shares authorized, 172,705,863 and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174,190,461 shares issued and outstanding at March 31, 2026 and December 31, 2025,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1,532,985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1,528,315</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(194,632)</w:t>
            </w:r>
          </w:p>
        </w:tc>
        <w:tc>
          <w:tcPr>
            <w:tcW w:w="6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6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1,293,784</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1,313,552</w:t>
            </w:r>
          </w:p>
        </w:tc>
        <w:tc>
          <w:tcPr>
            <w:tcW w:w="66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3,754,164</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3,833,802</w:t>
            </w:r>
          </w:p>
        </w:tc>
        <w:tc>
          <w:tcPr>
            <w:tcW w:w="660" w:type="dxa"/>
            <w:vAlign w:val="bottom"/>
          </w:tcPr>
          <w:p>
            <w:pPr>
              <w:spacing w:after="0"/>
              <w:rPr>
                <w:sz w:val="21"/>
                <w:szCs w:val="21"/>
                <w:color w:val="auto"/>
              </w:rPr>
            </w:pPr>
          </w:p>
        </w:tc>
      </w:tr>
      <w:tr>
        <w:trPr>
          <w:trHeight w:val="1175"/>
        </w:trPr>
        <w:tc>
          <w:tcPr>
            <w:tcW w:w="660" w:type="dxa"/>
            <w:vAlign w:val="bottom"/>
            <w:tcBorders>
              <w:bottom w:val="single" w:sz="8" w:color="9A9A9A"/>
            </w:tcBorders>
          </w:tcPr>
          <w:p>
            <w:pPr>
              <w:spacing w:after="0"/>
              <w:rPr>
                <w:sz w:val="24"/>
                <w:szCs w:val="24"/>
                <w:color w:val="auto"/>
              </w:rPr>
            </w:pPr>
          </w:p>
        </w:tc>
        <w:tc>
          <w:tcPr>
            <w:tcW w:w="672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-5125720</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-4293870</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-2193925</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-1087755</wp:posOffset>
            </wp:positionV>
            <wp:extent cx="596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-796290</wp:posOffset>
            </wp:positionV>
            <wp:extent cx="59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-779780</wp:posOffset>
            </wp:positionV>
            <wp:extent cx="59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040"/>
          </w:cols>
          <w:pgMar w:left="420" w:top="977"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60" w:type="dxa"/>
            <w:vAlign w:val="bottom"/>
          </w:tcPr>
          <w:p>
            <w:pPr>
              <w:spacing w:after="0"/>
              <w:rPr>
                <w:sz w:val="15"/>
                <w:szCs w:val="15"/>
                <w:color w:val="auto"/>
              </w:rPr>
            </w:pPr>
          </w:p>
        </w:tc>
        <w:tc>
          <w:tcPr>
            <w:tcW w:w="3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2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385,201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354,588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 below)</w:t>
            </w:r>
          </w:p>
        </w:tc>
        <w:tc>
          <w:tcPr>
            <w:tcW w:w="26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211,411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192,565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24,605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27,155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65,585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62,190</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61,666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351,681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346,971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33,520</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7,617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46,580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30,215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46,580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2,231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2,168</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(41,194)</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67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5,453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6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173,903,625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172,756,497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174,922,780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172,756,497</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7"/>
        </w:trPr>
        <w:tc>
          <w:tcPr>
            <w:tcW w:w="6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-3488055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-3196590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-2639695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-2065020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-2048510</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-1765300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5"/>
                <w:szCs w:val="15"/>
                <w:color w:val="auto"/>
              </w:rPr>
            </w:pPr>
          </w:p>
        </w:tc>
        <w:tc>
          <w:tcPr>
            <w:tcW w:w="3640" w:type="dxa"/>
            <w:vAlign w:val="bottom"/>
            <w:gridSpan w:val="7"/>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(41,194)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and impairment of long-lived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(13,204)</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(10,628)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First Lien Credit Facility</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repurchases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(19,492)</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under share-based compensation plans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settlement of share-based compensation plan awards</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(2,204)</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(5,993)</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cash, cash equivalents, and restricted cash</w:t>
            </w:r>
          </w:p>
        </w:tc>
        <w:tc>
          <w:tcPr>
            <w:tcW w:w="3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240,084</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169,483</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226,019</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on account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Excise taxes on share repurchases incurred but not paid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5"/>
        </w:trPr>
        <w:tc>
          <w:tcPr>
            <w:tcW w:w="66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-4139565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-4139565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-3582670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-3582670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-2468245</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-2468245</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5436235</wp:posOffset>
            </wp:positionH>
            <wp:positionV relativeFrom="paragraph">
              <wp:posOffset>-1902460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6533515</wp:posOffset>
            </wp:positionH>
            <wp:positionV relativeFrom="paragraph">
              <wp:posOffset>-1902460</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Reconciliation of Consolidated Non-GAAP Financial Measures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4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8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9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2,168</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(41,194)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29,841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46,580</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62,190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61,666</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420" w:type="dxa"/>
            <w:vAlign w:val="bottom"/>
          </w:tcPr>
          <w:p>
            <w:pPr>
              <w:spacing w:after="0"/>
              <w:rPr>
                <w:sz w:val="18"/>
                <w:szCs w:val="18"/>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4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105,287</w:t>
            </w:r>
          </w:p>
        </w:tc>
        <w:tc>
          <w:tcPr>
            <w:tcW w:w="5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92,112</w:t>
            </w:r>
          </w:p>
        </w:tc>
        <w:tc>
          <w:tcPr>
            <w:tcW w:w="0" w:type="dxa"/>
            <w:vAlign w:val="bottom"/>
          </w:tcPr>
          <w:p>
            <w:pPr>
              <w:spacing w:after="0"/>
              <w:rPr>
                <w:sz w:val="1"/>
                <w:szCs w:val="1"/>
                <w:color w:val="auto"/>
              </w:rPr>
            </w:pPr>
          </w:p>
        </w:tc>
      </w:tr>
      <w:tr>
        <w:trPr>
          <w:trHeight w:val="197"/>
        </w:trPr>
        <w:tc>
          <w:tcPr>
            <w:tcW w:w="5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385,201</w:t>
            </w:r>
          </w:p>
        </w:tc>
        <w:tc>
          <w:tcPr>
            <w:tcW w:w="8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71"/>
              <w:spacing w:after="0" w:line="196" w:lineRule="exact"/>
              <w:rPr>
                <w:sz w:val="20"/>
                <w:szCs w:val="20"/>
                <w:color w:val="auto"/>
              </w:rPr>
            </w:pPr>
            <w:r>
              <w:rPr>
                <w:rFonts w:ascii="Times New Roman" w:cs="Times New Roman" w:eastAsia="Times New Roman" w:hAnsi="Times New Roman"/>
                <w:sz w:val="18"/>
                <w:szCs w:val="18"/>
                <w:color w:val="auto"/>
              </w:rPr>
              <w:t>354,588</w:t>
            </w:r>
          </w:p>
        </w:tc>
        <w:tc>
          <w:tcPr>
            <w:tcW w:w="0" w:type="dxa"/>
            <w:vAlign w:val="bottom"/>
          </w:tcPr>
          <w:p>
            <w:pPr>
              <w:spacing w:after="0"/>
              <w:rPr>
                <w:sz w:val="1"/>
                <w:szCs w:val="1"/>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-450850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-433705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43" w:lineRule="exact"/>
        <w:rPr>
          <w:sz w:val="20"/>
          <w:szCs w:val="20"/>
          <w:color w:val="auto"/>
        </w:rPr>
      </w:pPr>
    </w:p>
    <w:p>
      <w:pPr>
        <w:jc w:val="both"/>
        <w:ind w:left="200" w:hanging="196"/>
        <w:spacing w:after="0" w:line="229"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March 31, 2026 and 2025 includes approximately $0.6 million and $1.9 million, respectively, of incrementally recognized expense associated with the May 2023 modification of the vesting terms of outstanding unvested and unearned performance-based options, restricted stock units, and restricted stock awards.</w:t>
      </w:r>
    </w:p>
    <w:p>
      <w:pPr>
        <w:jc w:val="both"/>
        <w:ind w:left="200" w:hanging="196"/>
        <w:spacing w:after="0" w:line="221"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March 31, 2026 and 2025 include approximately $0.2 million and $3.8 million, respectively, of expense associated with the Sterling Acquisition.</w:t>
      </w:r>
    </w:p>
    <w:p>
      <w:pPr>
        <w:jc w:val="both"/>
        <w:ind w:left="200" w:hanging="196"/>
        <w:spacing w:after="0" w:line="233" w:lineRule="auto"/>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2026 and 2025 include approximately $1.4 million and $7.8 million, respectively, of expense associated with the integration of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593725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7"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Reconciliation of Consolidated Non-GAAP Financial Measures (continued)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00" w:type="dxa"/>
            <w:vAlign w:val="bottom"/>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2,168</w:t>
            </w:r>
          </w:p>
        </w:tc>
        <w:tc>
          <w:tcPr>
            <w:tcW w:w="5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(41,194)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6,803</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50,914</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50,039</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4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7,967</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4,582</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60,627</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40,708</w:t>
            </w:r>
          </w:p>
        </w:tc>
        <w:tc>
          <w:tcPr>
            <w:tcW w:w="0" w:type="dxa"/>
            <w:vAlign w:val="bottom"/>
          </w:tcPr>
          <w:p>
            <w:pPr>
              <w:spacing w:after="0"/>
              <w:rPr>
                <w:sz w:val="1"/>
                <w:szCs w:val="1"/>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15,508</w:t>
            </w: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49"/>
        </w:trPr>
        <w:tc>
          <w:tcPr>
            <w:tcW w:w="5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45,119</w:t>
            </w:r>
          </w:p>
        </w:tc>
        <w:tc>
          <w:tcPr>
            <w:tcW w:w="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30,486</w:t>
            </w:r>
          </w:p>
        </w:tc>
        <w:tc>
          <w:tcPr>
            <w:tcW w:w="0" w:type="dxa"/>
            <w:vAlign w:val="bottom"/>
          </w:tcPr>
          <w:p>
            <w:pPr>
              <w:spacing w:after="0"/>
              <w:rPr>
                <w:sz w:val="1"/>
                <w:szCs w:val="1"/>
                <w:color w:val="auto"/>
              </w:rPr>
            </w:pPr>
          </w:p>
        </w:tc>
      </w:tr>
      <w:tr>
        <w:trPr>
          <w:trHeight w:val="399"/>
        </w:trPr>
        <w:tc>
          <w:tcPr>
            <w:tcW w:w="58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7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(loss) per share (GAAP)</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44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Transaction and acquisition related charges</w:t>
            </w:r>
            <w:r>
              <w:rPr>
                <w:rFonts w:ascii="Times New Roman" w:cs="Times New Roman" w:eastAsia="Times New Roman" w:hAnsi="Times New Roman"/>
                <w:sz w:val="24"/>
                <w:szCs w:val="24"/>
                <w:color w:val="auto"/>
                <w:vertAlign w:val="superscript"/>
              </w:rPr>
              <w:t>(d)</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440" w:type="dxa"/>
            <w:vAlign w:val="bottom"/>
          </w:tcPr>
          <w:p>
            <w:pPr>
              <w:spacing w:after="0"/>
              <w:rPr>
                <w:sz w:val="18"/>
                <w:szCs w:val="18"/>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FF0FC"/>
            </w:tcBorders>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0.26</w:t>
            </w: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 used in computation of</w:t>
            </w: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outstanding—diluted (GAAP and Non-</w:t>
            </w: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GAAP)</w:t>
            </w: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174,922,780</w:t>
            </w: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172,756,497</w:t>
            </w:r>
          </w:p>
        </w:tc>
        <w:tc>
          <w:tcPr>
            <w:tcW w:w="0" w:type="dxa"/>
            <w:vAlign w:val="bottom"/>
          </w:tcPr>
          <w:p>
            <w:pPr>
              <w:spacing w:after="0"/>
              <w:rPr>
                <w:sz w:val="1"/>
                <w:szCs w:val="1"/>
                <w:color w:val="auto"/>
              </w:rPr>
            </w:pPr>
          </w:p>
        </w:tc>
      </w:tr>
      <w:tr>
        <w:trPr>
          <w:trHeight w:val="198"/>
        </w:trPr>
        <w:tc>
          <w:tcPr>
            <w:tcW w:w="5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Options and restricted stock not included in weighted average number of</w:t>
            </w:r>
          </w:p>
        </w:tc>
        <w:tc>
          <w:tcPr>
            <w:tcW w:w="440" w:type="dxa"/>
            <w:vAlign w:val="bottom"/>
          </w:tcPr>
          <w:p>
            <w:pPr>
              <w:spacing w:after="0"/>
              <w:rPr>
                <w:sz w:val="17"/>
                <w:szCs w:val="17"/>
                <w:color w:val="auto"/>
              </w:rPr>
            </w:pPr>
          </w:p>
        </w:tc>
        <w:tc>
          <w:tcPr>
            <w:tcW w:w="14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2,217,580</w:t>
            </w:r>
          </w:p>
        </w:tc>
        <w:tc>
          <w:tcPr>
            <w:tcW w:w="0" w:type="dxa"/>
            <w:vAlign w:val="bottom"/>
          </w:tcPr>
          <w:p>
            <w:pPr>
              <w:spacing w:after="0"/>
              <w:rPr>
                <w:sz w:val="1"/>
                <w:szCs w:val="1"/>
                <w:color w:val="auto"/>
              </w:rPr>
            </w:pPr>
          </w:p>
        </w:tc>
      </w:tr>
      <w:tr>
        <w:trPr>
          <w:trHeight w:val="221"/>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outstanding—diluted (GAAP) (using treasury stock method)</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800" w:type="dxa"/>
            <w:vAlign w:val="bottom"/>
            <w:shd w:val="clear" w:color="auto" w:fill="CFF0FC"/>
          </w:tcPr>
          <w:p>
            <w:pPr>
              <w:ind w:left="180"/>
              <w:spacing w:after="0" w:line="191" w:lineRule="exact"/>
              <w:rPr>
                <w:sz w:val="20"/>
                <w:szCs w:val="20"/>
                <w:color w:val="auto"/>
              </w:rPr>
            </w:pPr>
            <w:r>
              <w:rPr>
                <w:rFonts w:ascii="Times New Roman" w:cs="Times New Roman" w:eastAsia="Times New Roman" w:hAnsi="Times New Roman"/>
                <w:sz w:val="18"/>
                <w:szCs w:val="18"/>
                <w:color w:val="auto"/>
              </w:rPr>
              <w:t>Adjusted weighted average number of shares outstanding—diluted (Non-</w:t>
            </w:r>
          </w:p>
        </w:tc>
        <w:tc>
          <w:tcPr>
            <w:tcW w:w="440" w:type="dxa"/>
            <w:vAlign w:val="bottom"/>
            <w:shd w:val="clear" w:color="auto" w:fill="CFF0FC"/>
          </w:tcPr>
          <w:p>
            <w:pPr>
              <w:spacing w:after="0"/>
              <w:rPr>
                <w:sz w:val="16"/>
                <w:szCs w:val="16"/>
                <w:color w:val="auto"/>
              </w:rPr>
            </w:pPr>
          </w:p>
        </w:tc>
        <w:tc>
          <w:tcPr>
            <w:tcW w:w="14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174,922,780</w:t>
            </w: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8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174,974,077</w:t>
            </w:r>
          </w:p>
        </w:tc>
        <w:tc>
          <w:tcPr>
            <w:tcW w:w="0" w:type="dxa"/>
            <w:vAlign w:val="bottom"/>
          </w:tcPr>
          <w:p>
            <w:pPr>
              <w:spacing w:after="0"/>
              <w:rPr>
                <w:sz w:val="1"/>
                <w:szCs w:val="1"/>
                <w:color w:val="auto"/>
              </w:rPr>
            </w:pPr>
          </w:p>
        </w:tc>
      </w:tr>
      <w:tr>
        <w:trPr>
          <w:trHeight w:val="234"/>
        </w:trPr>
        <w:tc>
          <w:tcPr>
            <w:tcW w:w="5800" w:type="dxa"/>
            <w:vAlign w:val="bottom"/>
            <w:tcBorders>
              <w:bottom w:val="single" w:sz="8" w:color="CFF0FC"/>
            </w:tcBorders>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GAAP)</w:t>
            </w:r>
          </w:p>
        </w:tc>
        <w:tc>
          <w:tcPr>
            <w:tcW w:w="4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-3042285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-3025140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-1405255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-24765</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-7620</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jc w:val="both"/>
        <w:ind w:left="200" w:hanging="196"/>
        <w:spacing w:after="0" w:line="229"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loss on extinguishment and non-cash interest expense related to the amortization of debt issuance costs related to the refinancing of the Company’s First Lien Credit Facility. This adjustment also includes the impact of the change in fair value of interest rate swaps, which represents the difference between the fair value gains or losses and actual cash payments and receipts on the interest rate swaps.</w:t>
      </w:r>
    </w:p>
    <w:p>
      <w:pPr>
        <w:jc w:val="both"/>
        <w:ind w:left="200" w:hanging="196"/>
        <w:spacing w:after="0" w:line="221"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depreciation and amortization expense related to incremental intangible and developed technology assets recorded due to the application of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a result, the purchase accounting related depreciation and amortization expense will recur in future periods until the related assets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depreciated or amortized, and the related purchase accounting assets may contribute to revenue generation.</w:t>
      </w:r>
    </w:p>
    <w:p>
      <w:pPr>
        <w:jc w:val="both"/>
        <w:ind w:left="200" w:hanging="196"/>
        <w:spacing w:after="0" w:line="221"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months ended March 31, 2026 and 2025 includes approximately $0.6 million and $1.9 million, respectively, of incrementally recognized expense associated with the May 2023 modification of the vesting terms of outstanding unvested and unearned performance-based options, restricted stock units, and restricted stock awards.</w:t>
      </w:r>
    </w:p>
    <w:p>
      <w:pPr>
        <w:jc w:val="both"/>
        <w:ind w:left="200" w:hanging="196"/>
        <w:spacing w:after="0" w:line="221"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months ended March 31, 2026 and 2025 include approximately $0.2 million and $3.8 million, respectively, of expense associated with the Sterling Acquisition.</w:t>
      </w:r>
    </w:p>
    <w:p>
      <w:pPr>
        <w:jc w:val="both"/>
        <w:ind w:left="200" w:hanging="196"/>
        <w:spacing w:after="0" w:line="233" w:lineRule="auto"/>
        <w:tabs>
          <w:tab w:leader="none" w:pos="2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 Integration, restructuring, and other charges for the three months ended March 31, 2026 and 2025 include approximately $1.4 million and $7.8 million, respectively, of expense associated with the integration of Sterling.</w:t>
      </w:r>
    </w:p>
    <w:p>
      <w:pPr>
        <w:spacing w:after="0" w:line="1" w:lineRule="exact"/>
        <w:rPr>
          <w:rFonts w:ascii="Times New Roman" w:cs="Times New Roman" w:eastAsia="Times New Roman" w:hAnsi="Times New Roman"/>
          <w:sz w:val="14"/>
          <w:szCs w:val="14"/>
          <w:color w:val="auto"/>
        </w:rPr>
      </w:pPr>
    </w:p>
    <w:p>
      <w:pPr>
        <w:ind w:left="200" w:hanging="196"/>
        <w:spacing w:after="0" w:line="219" w:lineRule="auto"/>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Effective tax rates of approximately 25.6% and 25.1% have been used to compute Adjusted Net Income and Adjusted Diluted Earnings Per Share for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731520</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77" w:right="109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2026-05-07T05:24:01Z</dcterms:created>
  <dcterms:modified xsi:type="dcterms:W3CDTF">2026-05-07T05:24:01Z</dcterms:modified>
</cp:coreProperties>
</file>