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373"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9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001-31666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First Advantage Corporation</w:t>
      </w:r>
    </w:p>
    <w:p>
      <w:pPr>
        <w:sectPr>
          <w:pgSz w:w="11900" w:h="16838" w:orient="portrait"/>
          <w:cols w:equalWidth="0" w:num="1">
            <w:col w:w="11240"/>
          </w:cols>
          <w:pgMar w:left="320" w:top="1280"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1 Concourse Parkway NE, Suite 200</w:t>
      </w:r>
    </w:p>
    <w:p>
      <w:pPr>
        <w:spacing w:after="0" w:line="4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Atlanta, GA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84-3884690</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30328</w:t>
      </w:r>
    </w:p>
    <w:p>
      <w:pPr>
        <w:spacing w:after="0" w:line="38" w:lineRule="exact"/>
        <w:rPr>
          <w:sz w:val="24"/>
          <w:szCs w:val="24"/>
          <w:color w:val="auto"/>
        </w:rPr>
      </w:pPr>
    </w:p>
    <w:p>
      <w:pPr>
        <w:sectPr>
          <w:pgSz w:w="11900" w:h="16838" w:orient="portrait"/>
          <w:cols w:equalWidth="0" w:num="2">
            <w:col w:w="7700" w:space="240"/>
            <w:col w:w="3300"/>
          </w:cols>
          <w:pgMar w:left="320" w:top="1280"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314-9761</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FA</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3, 2024, the registrant had 145,197,595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1019810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40" w:type="dxa"/>
            <w:vAlign w:val="bottom"/>
            <w:tcBorders>
              <w:bottom w:val="single" w:sz="8" w:color="0563C1"/>
            </w:tcBorders>
            <w:gridSpan w:val="17"/>
          </w:tcPr>
          <w:p>
            <w:pPr>
              <w:spacing w:after="0"/>
              <w:rPr>
                <w:sz w:val="20"/>
                <w:szCs w:val="20"/>
                <w:color w:val="auto"/>
              </w:rPr>
            </w:pPr>
            <w:r>
              <w:rPr>
                <w:rFonts w:ascii="Times New Roman" w:cs="Times New Roman" w:eastAsia="Times New Roman" w:hAnsi="Times New Roman"/>
                <w:sz w:val="18"/>
                <w:szCs w:val="18"/>
                <w:color w:val="0563C1"/>
                <w:w w:val="99"/>
              </w:rPr>
              <w:t>Condensed Consolidated Statements of Operations and Comprehensive (Loss) Income</w:t>
            </w:r>
          </w:p>
        </w:tc>
        <w:tc>
          <w:tcPr>
            <w:tcW w:w="30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60" w:type="dxa"/>
            <w:vAlign w:val="bottom"/>
            <w:tcBorders>
              <w:bottom w:val="single" w:sz="8" w:color="0563C1"/>
            </w:tcBorders>
            <w:gridSpan w:val="16"/>
          </w:tcPr>
          <w:p>
            <w:pPr>
              <w:spacing w:after="0"/>
              <w:rPr>
                <w:sz w:val="20"/>
                <w:szCs w:val="20"/>
                <w:color w:val="auto"/>
              </w:rPr>
            </w:pPr>
            <w:r>
              <w:rPr>
                <w:rFonts w:ascii="Times New Roman" w:cs="Times New Roman" w:eastAsia="Times New Roman" w:hAnsi="Times New Roman"/>
                <w:sz w:val="18"/>
                <w:szCs w:val="18"/>
                <w:color w:val="0563C1"/>
                <w:w w:val="99"/>
              </w:rPr>
              <w:t>Condensed Consolidated Statements of Changes in Stockholders’ Equity</w:t>
            </w:r>
          </w:p>
        </w:tc>
        <w:tc>
          <w:tcPr>
            <w:tcW w:w="40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w w:val="99"/>
              </w:rPr>
              <w:t>Notes to Unaudited Condensed Consolidated Financial Statements</w:t>
            </w:r>
          </w:p>
        </w:tc>
        <w:tc>
          <w:tcPr>
            <w:tcW w:w="450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563C1"/>
              <w:bottom w:val="single" w:sz="8" w:color="0563C1"/>
            </w:tcBorders>
            <w:gridSpan w:val="14"/>
          </w:tcPr>
          <w:p>
            <w:pPr>
              <w:spacing w:after="0"/>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080" w:type="dxa"/>
            <w:vAlign w:val="bottom"/>
            <w:tcBorders>
              <w:top w:val="single" w:sz="8" w:color="0563C1"/>
            </w:tcBorders>
            <w:gridSpan w:val="4"/>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18"/>
                <w:szCs w:val="18"/>
                <w:color w:val="0563C1"/>
                <w:w w:val="98"/>
              </w:rPr>
              <w:t>OTHER INFORMATION</w:t>
            </w:r>
          </w:p>
        </w:tc>
        <w:tc>
          <w:tcPr>
            <w:tcW w:w="74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563C1"/>
              <w:bottom w:val="single" w:sz="8" w:color="0563C1"/>
            </w:tcBorders>
            <w:gridSpan w:val="2"/>
          </w:tcPr>
          <w:p>
            <w:pPr>
              <w:spacing w:after="0"/>
              <w:rPr>
                <w:sz w:val="20"/>
                <w:szCs w:val="20"/>
                <w:color w:val="auto"/>
              </w:rPr>
            </w:pPr>
            <w:r>
              <w:rPr>
                <w:rFonts w:ascii="Times New Roman" w:cs="Times New Roman" w:eastAsia="Times New Roman" w:hAnsi="Times New Roman"/>
                <w:sz w:val="18"/>
                <w:szCs w:val="18"/>
                <w:color w:val="0563C1"/>
                <w:w w:val="99"/>
              </w:rPr>
              <w:t>Risk Factors</w:t>
            </w:r>
          </w:p>
        </w:tc>
        <w:tc>
          <w:tcPr>
            <w:tcW w:w="420" w:type="dxa"/>
            <w:vAlign w:val="bottom"/>
            <w:tcBorders>
              <w:top w:val="single" w:sz="8" w:color="0563C1"/>
            </w:tcBorders>
            <w:gridSpan w:val="2"/>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563C1"/>
            </w:tcBorders>
            <w:gridSpan w:val="13"/>
          </w:tcPr>
          <w:p>
            <w:pPr>
              <w:spacing w:after="0"/>
              <w:rPr>
                <w:sz w:val="20"/>
                <w:szCs w:val="20"/>
                <w:color w:val="auto"/>
              </w:rPr>
            </w:pPr>
            <w:r>
              <w:rPr>
                <w:rFonts w:ascii="Times New Roman" w:cs="Times New Roman" w:eastAsia="Times New Roman" w:hAnsi="Times New Roman"/>
                <w:sz w:val="18"/>
                <w:szCs w:val="18"/>
                <w:color w:val="0563C1"/>
                <w:w w:val="99"/>
              </w:rPr>
              <w:t>Unregistered Sales of Equity Securities and Use of Proceeds</w:t>
            </w:r>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w w:val="99"/>
              </w:rPr>
              <w:t>Defaults Upon Senior Securities</w:t>
            </w:r>
          </w:p>
        </w:tc>
        <w:tc>
          <w:tcPr>
            <w:tcW w:w="69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Mine Safety Disclosures</w:t>
            </w:r>
          </w:p>
        </w:tc>
        <w:tc>
          <w:tcPr>
            <w:tcW w:w="75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rPr>
              <w:t>Exhibits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563C1"/>
              </w:rPr>
              <w:t>Signatures</w:t>
            </w:r>
          </w:p>
        </w:tc>
        <w:tc>
          <w:tcPr>
            <w:tcW w:w="600" w:type="dxa"/>
            <w:vAlign w:val="bottom"/>
            <w:tcBorders>
              <w:top w:val="single" w:sz="8" w:color="0563C1"/>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66"/>
        </w:trPr>
        <w:tc>
          <w:tcPr>
            <w:tcW w:w="20" w:type="dxa"/>
            <w:vAlign w:val="bottom"/>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gridSpan w:val="15"/>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245,436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213,774</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$893 and $1,036 at March 31, 2024</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129,011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142,690</w:t>
            </w:r>
          </w:p>
        </w:tc>
      </w:tr>
      <w:tr>
        <w:trPr>
          <w:trHeight w:val="250"/>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21,795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13,426</w:t>
            </w: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receivable</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2,568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3,710</w:t>
            </w:r>
          </w:p>
        </w:tc>
      </w:tr>
      <w:tr>
        <w:trPr>
          <w:trHeight w:val="237"/>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399,545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373,738</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71,352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79,441</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819,633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820,654</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names, net</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64,370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66,229</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lists, net</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262,876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275,528</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2,257</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asset, net</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2,786</w:t>
            </w: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9,202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10,021</w:t>
            </w:r>
          </w:p>
        </w:tc>
      </w:tr>
      <w:tr>
        <w:trPr>
          <w:trHeight w:val="27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1,631,913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1,630,654</w:t>
            </w:r>
          </w:p>
        </w:tc>
      </w:tr>
      <w:tr>
        <w:trPr>
          <w:trHeight w:val="221"/>
        </w:trPr>
        <w:tc>
          <w:tcPr>
            <w:tcW w:w="7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r>
      <w:tr>
        <w:trPr>
          <w:trHeight w:val="245"/>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47,956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47,024</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12,742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16,379</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24,102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16,162</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3,367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3,354</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r>
      <w:tr>
        <w:trPr>
          <w:trHeight w:val="247"/>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1,856</w:t>
            </w:r>
          </w:p>
        </w:tc>
      </w:tr>
      <w:tr>
        <w:trPr>
          <w:trHeight w:val="232"/>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93,198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85,039</w:t>
            </w:r>
          </w:p>
        </w:tc>
      </w:tr>
      <w:tr>
        <w:trPr>
          <w:trHeight w:val="21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 (net of deferred financing costs of $5,815 and $6,268 at March 31, 2024 and</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4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558,909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558,456</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63,604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71,274</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5,632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5,931</w:t>
            </w: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2,826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3,221</w:t>
            </w:r>
          </w:p>
        </w:tc>
      </w:tr>
      <w:tr>
        <w:trPr>
          <w:trHeight w:val="236"/>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724,169</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723,921</w:t>
            </w: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r>
      <w:tr>
        <w:trPr>
          <w:trHeight w:val="21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$0.001 par value; 1,000,000,000 shares authorized, 145,195,030 and</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145,074,802 shares issued and outstanding as of March 31, 2024 and December 31, 2023, respectively</w:t>
            </w: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r>
      <w:tr>
        <w:trPr>
          <w:trHeight w:val="250"/>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982,982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977,290</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(52,453 )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(49,545 )</w:t>
            </w:r>
          </w:p>
        </w:tc>
      </w:tr>
      <w:tr>
        <w:trPr>
          <w:trHeight w:val="247"/>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(22,930 )</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(21,157 )</w:t>
            </w:r>
          </w:p>
        </w:tc>
      </w:tr>
      <w:tr>
        <w:trPr>
          <w:trHeight w:val="236"/>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907,744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906,733</w:t>
            </w:r>
          </w:p>
        </w:tc>
      </w:tr>
      <w:tr>
        <w:trPr>
          <w:trHeight w:val="277"/>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1,631,913</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1,630,654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-3754120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-3736975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-2493645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-351155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Borders>
              <w:bottom w:val="single" w:sz="8" w:color="auto"/>
            </w:tcBorders>
          </w:tcPr>
          <w:p>
            <w:pPr>
              <w:spacing w:after="0"/>
              <w:rPr>
                <w:sz w:val="16"/>
                <w:szCs w:val="16"/>
                <w:color w:val="auto"/>
              </w:rPr>
            </w:pPr>
          </w:p>
        </w:tc>
      </w:tr>
      <w:tr>
        <w:trPr>
          <w:trHeight w:val="169"/>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5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7"/>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169,416</w:t>
            </w:r>
          </w:p>
        </w:tc>
        <w:tc>
          <w:tcPr>
            <w:tcW w:w="9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175,520</w:t>
            </w:r>
          </w:p>
        </w:tc>
      </w:tr>
      <w:tr>
        <w:trPr>
          <w:trHeight w:val="243"/>
        </w:trPr>
        <w:tc>
          <w:tcPr>
            <w:tcW w:w="6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9"/>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 (exclusive of depreciation and amortization below)</w:t>
            </w:r>
          </w:p>
        </w:tc>
        <w:tc>
          <w:tcPr>
            <w:tcW w:w="500" w:type="dxa"/>
            <w:vAlign w:val="bottom"/>
          </w:tcPr>
          <w:p>
            <w:pPr>
              <w:spacing w:after="0"/>
              <w:rPr>
                <w:sz w:val="20"/>
                <w:szCs w:val="20"/>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87,192</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91,061</w:t>
            </w:r>
          </w:p>
        </w:tc>
      </w:tr>
      <w:tr>
        <w:trPr>
          <w:trHeight w:val="247"/>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5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12,466</w:t>
            </w: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12,624</w:t>
            </w:r>
          </w:p>
        </w:tc>
      </w:tr>
      <w:tr>
        <w:trPr>
          <w:trHeight w:val="239"/>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500" w:type="dxa"/>
            <w:vAlign w:val="bottom"/>
          </w:tcPr>
          <w:p>
            <w:pPr>
              <w:spacing w:after="0"/>
              <w:rPr>
                <w:sz w:val="20"/>
                <w:szCs w:val="20"/>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40,662</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28,682</w:t>
            </w:r>
          </w:p>
        </w:tc>
      </w:tr>
      <w:tr>
        <w:trPr>
          <w:trHeight w:val="247"/>
        </w:trPr>
        <w:tc>
          <w:tcPr>
            <w:tcW w:w="6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29,822</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31,866</w:t>
            </w:r>
          </w:p>
        </w:tc>
      </w:tr>
      <w:tr>
        <w:trPr>
          <w:trHeight w:val="236"/>
        </w:trPr>
        <w:tc>
          <w:tcPr>
            <w:tcW w:w="6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170,142</w:t>
            </w: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164,233</w:t>
            </w:r>
          </w:p>
        </w:tc>
      </w:tr>
      <w:tr>
        <w:trPr>
          <w:trHeight w:val="237"/>
        </w:trPr>
        <w:tc>
          <w:tcPr>
            <w:tcW w:w="6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50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10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-333375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36" w:lineRule="exact"/>
        <w:rPr>
          <w:sz w:val="20"/>
          <w:szCs w:val="20"/>
          <w:color w:val="auto"/>
        </w:rPr>
      </w:pPr>
    </w:p>
    <w:p>
      <w:pPr>
        <w:ind w:left="200" w:right="1220" w:hanging="179"/>
        <w:spacing w:after="0" w:line="310" w:lineRule="auto"/>
        <w:rPr>
          <w:sz w:val="20"/>
          <w:szCs w:val="20"/>
          <w:color w:val="auto"/>
        </w:rPr>
      </w:pPr>
      <w:r>
        <w:rPr>
          <w:rFonts w:ascii="Times New Roman" w:cs="Times New Roman" w:eastAsia="Times New Roman" w:hAnsi="Times New Roman"/>
          <w:sz w:val="18"/>
          <w:szCs w:val="18"/>
          <w:color w:val="auto"/>
        </w:rPr>
        <w:t>(LOSS) INCOME BEFORE PROVISION FOR INCOME TAXES (Benefit)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8,681</w:t>
            </w:r>
          </w:p>
        </w:tc>
      </w:tr>
      <w:tr>
        <w:trPr>
          <w:trHeight w:val="239"/>
        </w:trPr>
        <w:tc>
          <w:tcPr>
            <w:tcW w:w="8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8,681</w:t>
            </w:r>
          </w:p>
        </w:tc>
      </w:tr>
      <w:tr>
        <w:trPr>
          <w:trHeight w:val="232"/>
        </w:trPr>
        <w:tc>
          <w:tcPr>
            <w:tcW w:w="8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2,606</w:t>
            </w:r>
          </w:p>
        </w:tc>
      </w:tr>
      <w:tr>
        <w:trPr>
          <w:trHeight w:val="245"/>
        </w:trPr>
        <w:tc>
          <w:tcPr>
            <w:tcW w:w="8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(1,388 )</w:t>
            </w:r>
          </w:p>
        </w:tc>
        <w:tc>
          <w:tcPr>
            <w:tcW w:w="1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681</w:t>
            </w:r>
          </w:p>
        </w:tc>
      </w:tr>
      <w:tr>
        <w:trPr>
          <w:trHeight w:val="239"/>
        </w:trPr>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(2,908 )</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1,925</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64"/>
        </w:trPr>
        <w:tc>
          <w:tcPr>
            <w:tcW w:w="8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(1,773 )</w:t>
            </w: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869</w:t>
            </w:r>
          </w:p>
        </w:tc>
      </w:tr>
      <w:tr>
        <w:trPr>
          <w:trHeight w:val="239"/>
        </w:trPr>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(4,681 )</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2,794</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720"/>
            <w:col w:w="4460"/>
          </w:cols>
          <w:pgMar w:left="320" w:top="981"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9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(2,908 )</w:t>
            </w:r>
          </w:p>
        </w:tc>
        <w:tc>
          <w:tcPr>
            <w:tcW w:w="70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1,925</w:t>
            </w:r>
          </w:p>
        </w:tc>
      </w:tr>
      <w:tr>
        <w:trPr>
          <w:trHeight w:val="23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19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r>
      <w:tr>
        <w:trPr>
          <w:trHeight w:val="24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19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70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r>
      <w:tr>
        <w:trPr>
          <w:trHeight w:val="23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940" w:type="dxa"/>
            <w:vAlign w:val="bottom"/>
          </w:tcPr>
          <w:p>
            <w:pPr>
              <w:spacing w:after="0"/>
              <w:rPr>
                <w:sz w:val="20"/>
                <w:szCs w:val="20"/>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143,591,713</w:t>
            </w:r>
          </w:p>
        </w:tc>
        <w:tc>
          <w:tcPr>
            <w:tcW w:w="70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145,862,562</w:t>
            </w:r>
          </w:p>
        </w:tc>
      </w:tr>
      <w:tr>
        <w:trPr>
          <w:trHeight w:val="24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94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143,591,713</w:t>
            </w:r>
          </w:p>
        </w:tc>
        <w:tc>
          <w:tcPr>
            <w:tcW w:w="70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147,031,866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(2,908 )</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1,925</w:t>
            </w: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31,866</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Bad debt recovery</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(7,808 )</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2,058</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foreign currency exchange rates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fixed assets and impairment of ROU assets</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1,222</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(7,045 )</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1,879</w:t>
            </w: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13,736</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15,980</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2,933</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(7,618 )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accrued liabilities</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6,608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(11,828 )</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980</w:t>
            </w:r>
          </w:p>
        </w:tc>
      </w:tr>
      <w:tr>
        <w:trPr>
          <w:trHeight w:val="243"/>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receivable and payable, net</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3,863</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836</w:t>
            </w:r>
          </w:p>
        </w:tc>
      </w:tr>
      <w:tr>
        <w:trPr>
          <w:trHeight w:val="237"/>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38,329</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38,599</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5"/>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(6,056 )</w:t>
            </w:r>
          </w:p>
        </w:tc>
      </w:tr>
      <w:tr>
        <w:trPr>
          <w:trHeight w:val="247"/>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4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36"/>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(7,031 )</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(6,083 )</w:t>
            </w: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paid</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 repurchases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(25,266 )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share-based compensation plans</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1,399</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deferred purchase agreements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7"/>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settlement of share-based compensation plan awards</w:t>
            </w:r>
          </w:p>
        </w:tc>
        <w:tc>
          <w:tcPr>
            <w:tcW w:w="4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(24,163 )</w:t>
            </w:r>
          </w:p>
        </w:tc>
      </w:tr>
      <w:tr>
        <w:trPr>
          <w:trHeight w:val="23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31,659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r>
      <w:tr>
        <w:trPr>
          <w:trHeight w:val="247"/>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213,912</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391,796</w:t>
            </w:r>
          </w:p>
        </w:tc>
      </w:tr>
      <w:tr>
        <w:trPr>
          <w:trHeight w:val="23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245,571</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400,296</w:t>
            </w:r>
          </w:p>
        </w:tc>
      </w:tr>
      <w:tr>
        <w:trPr>
          <w:trHeight w:val="20"/>
        </w:trPr>
        <w:tc>
          <w:tcPr>
            <w:tcW w:w="7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41"/>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5"/>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2,510</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2,049</w:t>
            </w: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11,954</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10,625</w:t>
            </w: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acquired on account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585</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property and equipment additions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540</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taxes on share repurchases incurred but not paid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-3928745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-3302635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-2051050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-1416685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9" w:lineRule="exact"/>
        <w:rPr>
          <w:sz w:val="20"/>
          <w:szCs w:val="20"/>
          <w:color w:val="auto"/>
        </w:rPr>
      </w:pPr>
    </w:p>
    <w:p>
      <w:pPr>
        <w:ind w:left="20" w:right="156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BALANCE – December 31, 2023 </w:t>
      </w:r>
      <w:r>
        <w:rPr>
          <w:rFonts w:ascii="Times New Roman" w:cs="Times New Roman" w:eastAsia="Times New Roman" w:hAnsi="Times New Roman"/>
          <w:sz w:val="18"/>
          <w:szCs w:val="18"/>
          <w:color w:val="auto"/>
        </w:rPr>
        <w:t>Share-based compensation</w:t>
      </w:r>
    </w:p>
    <w:p>
      <w:pPr>
        <w:spacing w:after="0" w:line="2" w:lineRule="exact"/>
        <w:rPr>
          <w:sz w:val="20"/>
          <w:szCs w:val="20"/>
          <w:color w:val="auto"/>
        </w:rPr>
      </w:pPr>
    </w:p>
    <w:p>
      <w:pPr>
        <w:ind w:left="20" w:right="140"/>
        <w:spacing w:after="0" w:line="271" w:lineRule="auto"/>
        <w:rPr>
          <w:sz w:val="20"/>
          <w:szCs w:val="20"/>
          <w:color w:val="auto"/>
        </w:rPr>
      </w:pPr>
      <w:r>
        <w:rPr>
          <w:rFonts w:ascii="Times New Roman" w:cs="Times New Roman" w:eastAsia="Times New Roman" w:hAnsi="Times New Roman"/>
          <w:sz w:val="18"/>
          <w:szCs w:val="18"/>
          <w:color w:val="auto"/>
        </w:rPr>
        <w:t>Forfeitures of previously declared cash dividends Proceeds from issuance of common stock under share-based compensation plans</w:t>
      </w:r>
    </w:p>
    <w:p>
      <w:pPr>
        <w:spacing w:after="0" w:line="1"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Common stock withheld for tax obligations on restricted stock unit and option settlement</w:t>
      </w:r>
    </w:p>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2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977,290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(49,545 )</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(21,157 )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906,733</w:t>
            </w: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4,751</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59"/>
        </w:trPr>
        <w:tc>
          <w:tcPr>
            <w:tcW w:w="100" w:type="dxa"/>
            <w:vAlign w:val="bottom"/>
          </w:tcPr>
          <w:p>
            <w:pPr>
              <w:spacing w:after="0"/>
              <w:rPr>
                <w:sz w:val="24"/>
                <w:szCs w:val="24"/>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459"/>
        </w:trPr>
        <w:tc>
          <w:tcPr>
            <w:tcW w:w="100" w:type="dxa"/>
            <w:vAlign w:val="bottom"/>
          </w:tcPr>
          <w:p>
            <w:pPr>
              <w:spacing w:after="0"/>
              <w:rPr>
                <w:sz w:val="24"/>
                <w:szCs w:val="24"/>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(1,773 )</w:t>
            </w:r>
          </w:p>
        </w:tc>
        <w:tc>
          <w:tcPr>
            <w:tcW w:w="0" w:type="dxa"/>
            <w:vAlign w:val="bottom"/>
          </w:tcPr>
          <w:p>
            <w:pPr>
              <w:spacing w:after="0"/>
              <w:rPr>
                <w:sz w:val="1"/>
                <w:szCs w:val="1"/>
                <w:color w:val="auto"/>
              </w:rPr>
            </w:pPr>
          </w:p>
        </w:tc>
      </w:tr>
      <w:tr>
        <w:trPr>
          <w:trHeight w:val="250"/>
        </w:trPr>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(2,908 )</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(2,908 )</w:t>
            </w:r>
          </w:p>
        </w:tc>
        <w:tc>
          <w:tcPr>
            <w:tcW w:w="0" w:type="dxa"/>
            <w:vAlign w:val="bottom"/>
          </w:tcPr>
          <w:p>
            <w:pPr>
              <w:spacing w:after="0"/>
              <w:rPr>
                <w:sz w:val="1"/>
                <w:szCs w:val="1"/>
                <w:color w:val="auto"/>
              </w:rPr>
            </w:pPr>
          </w:p>
        </w:tc>
      </w:tr>
      <w:tr>
        <w:trPr>
          <w:trHeight w:val="239"/>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982,982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(52,453 )</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(22,930 )</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907,744</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2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-2116455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-1807845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-1362075</wp:posOffset>
            </wp:positionV>
            <wp:extent cx="7132320"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-916305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100" w:space="260"/>
            <w:col w:w="688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1,176,163</w:t>
            </w:r>
          </w:p>
        </w:tc>
        <w:tc>
          <w:tcPr>
            <w:tcW w:w="1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(27,363 )</w:t>
            </w:r>
          </w:p>
        </w:tc>
        <w:tc>
          <w:tcPr>
            <w:tcW w:w="1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(22,331 )</w:t>
            </w: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1,126,618</w:t>
            </w: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2,058</w:t>
            </w: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5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(25,515 )</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(25,517 )</w:t>
            </w: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compensation plans</w:t>
            </w:r>
          </w:p>
        </w:tc>
        <w:tc>
          <w:tcPr>
            <w:tcW w:w="5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1,399</w:t>
            </w:r>
          </w:p>
        </w:tc>
      </w:tr>
      <w:tr>
        <w:trPr>
          <w:trHeight w:val="21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5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869</w:t>
            </w:r>
          </w:p>
        </w:tc>
      </w:tr>
      <w:tr>
        <w:trPr>
          <w:trHeight w:val="247"/>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1,925</w:t>
            </w:r>
          </w:p>
        </w:tc>
      </w:tr>
      <w:tr>
        <w:trPr>
          <w:trHeight w:val="23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1,179,595</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(50,953 )</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(21,462 )</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1,107,327</w:t>
            </w:r>
          </w:p>
        </w:tc>
      </w:tr>
      <w:tr>
        <w:trPr>
          <w:trHeight w:val="20"/>
        </w:trPr>
        <w:tc>
          <w:tcPr>
            <w:tcW w:w="4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-187960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-187960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-187960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-187960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Nature of Business, and Basis of Presentation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First Advantage Corporation, a Delaware corporation, was formed on November 15, 2019. Hereafter, First Advantage Corporation and its subsidiaries will collectively be referred to as the “Company.”</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derives its revenues from a variety of background check and compliance services performed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Post-onboarding services are comprised of continuous monitoring and re-screening solutions, which are important tools to help keep their end customers, workforces, and other stakeholders safer, more productive, and more compliant. Our post-monitoring solutions include criminal records, healthcare sanctions, motor vehicle records, social media, and global sanctions screening continuously or at regular intervals selected by our customers.</w:t>
      </w:r>
    </w:p>
    <w:p>
      <w:pPr>
        <w:spacing w:after="0" w:line="12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Adjacent products include products that complement our pre-onboarding and post-onboarding products and solutions. This includes fleet / vehicle compliance, hiring tax credits and incentives, resident / tenant screening, employment eligibility, and investigative research.</w:t>
      </w:r>
    </w:p>
    <w:p>
      <w:pPr>
        <w:spacing w:after="0" w:line="10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accompanying unaudited condensed consolidated financial statements have been prepared in accordance with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Annual Report on Form 10-K for the year ended December 31, 2023.</w:t>
      </w:r>
    </w:p>
    <w:p>
      <w:pPr>
        <w:spacing w:after="0" w:line="1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historically experienced seasonality with respect to certain customer industries as a result of fluctuations in hiring volumes and other economic activities. Generally, the Company’s highest revenues have historically occurred between October and November of each year, driven by many customers’ pre-holiday season hiring initiatives.</w:t>
      </w:r>
    </w:p>
    <w:p>
      <w:pPr>
        <w:spacing w:after="0" w:line="11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the condensed consolidated financial statements in accordance with GAAP requires management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condensed consolidated financial statements and accompanying notes.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Significant estimates, judgments, and assumptions, include, but are not limited to, the determination of the fair value and useful lives of assets acquired and liabilities assumed through business combinations, goodwill impairment,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 Certain financial assets and liabilities are reported at fair value in the accompanying consolidated balance sheets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accordance with Financial Accounting Standards Board (“FASB”) Accounting Standards Codification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for identical instruments in active markets.</w:t>
      </w:r>
    </w:p>
    <w:p>
      <w:pPr>
        <w:spacing w:after="0" w:line="171"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for similar instruments in active markets, quoted prices for identical or similar instruments in markets that are not active,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model-derived valuations whose inputs are observable or whose significant value drivers are observable.</w:t>
      </w:r>
    </w:p>
    <w:p>
      <w:pPr>
        <w:spacing w:after="0" w:line="10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inputs to the valuation model are unobservable (supported by little or no market activities). These inputs may be used with internally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methodologies that reflect the Company’s best estimate of fair value from a market participant.</w:t>
      </w:r>
    </w:p>
    <w:p>
      <w:pPr>
        <w:spacing w:after="0" w:line="1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fair value of an asset is considered to be the price at which the asset could be sold in an orderly transaction between unrelated knowledgeable and willing parties. A liability’s fair value is defined as the amount that would be paid to transfer the liability to a new obligor, rather than the amount that would be paid to settle the liability with the creditor. Assets and liabilities recorded at fair value are measured using a three-tier fair value hierarchy, which prioritizes the inputs used in measuring fair value.</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receivables, and accounts payable approximate fair value due to the short-term maturities of these financial instruments (Level 1). The fair values and carrying values of the Company’s long-term debt are disclosed in Note 6.</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and their assigned levels within the valuation hierarchy as of March 31, 2024 (in thousands):</w:t>
      </w:r>
    </w:p>
    <w:p>
      <w:pPr>
        <w:spacing w:after="0" w:line="115" w:lineRule="exact"/>
        <w:rPr>
          <w:sz w:val="20"/>
          <w:szCs w:val="20"/>
          <w:color w:val="auto"/>
        </w:rPr>
      </w:pPr>
    </w:p>
    <w:p>
      <w:pPr>
        <w:ind w:left="6800"/>
        <w:spacing w:after="0"/>
        <w:tabs>
          <w:tab w:leader="none" w:pos="8020" w:val="left"/>
          <w:tab w:leader="none" w:pos="926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16510</wp:posOffset>
            </wp:positionV>
            <wp:extent cx="23056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6" w:lineRule="exact"/>
        <w:rPr>
          <w:sz w:val="20"/>
          <w:szCs w:val="20"/>
          <w:color w:val="auto"/>
        </w:rPr>
      </w:pPr>
    </w:p>
    <w:p>
      <w:pPr>
        <w:ind w:left="1320"/>
        <w:spacing w:after="0"/>
        <w:tabs>
          <w:tab w:leader="none" w:pos="6480" w:val="left"/>
          <w:tab w:leader="none" w:pos="7340" w:val="left"/>
          <w:tab w:leader="none" w:pos="7740" w:val="left"/>
          <w:tab w:leader="none" w:pos="8360" w:val="left"/>
          <w:tab w:leader="none" w:pos="8960" w:val="left"/>
          <w:tab w:leader="none" w:pos="9820" w:val="left"/>
        </w:tabs>
        <w:rPr>
          <w:sz w:val="20"/>
          <w:szCs w:val="20"/>
          <w:color w:val="auto"/>
        </w:rPr>
      </w:pPr>
      <w:r>
        <w:rPr>
          <w:rFonts w:ascii="Times New Roman" w:cs="Times New Roman" w:eastAsia="Times New Roman" w:hAnsi="Times New Roman"/>
          <w:sz w:val="18"/>
          <w:szCs w:val="18"/>
          <w:color w:val="auto"/>
        </w:rPr>
        <w:t>Interest rate swaps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3,876</w:t>
        <w:tab/>
        <w:t>$</w:t>
      </w:r>
      <w:r>
        <w:rPr>
          <w:sz w:val="20"/>
          <w:szCs w:val="20"/>
          <w:color w:val="auto"/>
        </w:rPr>
        <w:tab/>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17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Other intangible assets are subject to nonrecurring fair value measurement as the result of business acquisitions. The fair values of these assets were estimated using the present value of expected future cash flows through unobservable inputs (Level 3).</w:t>
      </w:r>
    </w:p>
    <w:p>
      <w:pPr>
        <w:spacing w:after="0" w:line="10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 The Company records business combinations using the acquisition method of accounting in accordance with ASC 805,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valuing the trade names, customer lists, and software developed for internal use,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spacing w:after="0" w:line="1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Concentrations of Credit Risk — </w:t>
      </w:r>
      <w:r>
        <w:rPr>
          <w:rFonts w:ascii="Times New Roman" w:cs="Times New Roman" w:eastAsia="Times New Roman" w:hAnsi="Times New Roman"/>
          <w:sz w:val="18"/>
          <w:szCs w:val="18"/>
          <w:color w:val="auto"/>
        </w:rPr>
        <w:t>Financial instruments which potentially subject the Company to concentrations of credit risk consist principally of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cash equivalents and accounts receivable. Cash is deposited with major financial institutions and, at times, such balances with each financial institution may be in excess of insured limits. The Company has not experienced, and does not anticipate, any losses with respect to its cash deposits. Accounts receivable represent credit granted to customers for services provided. The Company performs ongoing credit evaluations of its customers’ financial condition and generally does not require collateral on accounts receivable. The Company had one customer which represented approximately 11% of its consolidated revenues during the three months ended March 31, 2024. The Company did not have any customers which represented 10% or more of its consolidated revenues during the three months ended March 31, 2023. Additionally, the Company did not have any customers which represented 10% or more of its consolidated accounts receivable, net for any period presented.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entered into interest rate derivative agreements with a counterparty bank to reduce its exposure to interest rate volatility. The Company has determined the counterparty bank to be a high credit quality institution. The Company does not enter into financial instruments for trading or speculative purposes.</w:t>
      </w:r>
    </w:p>
    <w:p>
      <w:pPr>
        <w:spacing w:after="0" w:line="11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 The functional currency of all of the Company’s foreign subsidiaries is the applicable local currency. The translation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Currency translation (loss) income included in accumulated other comprehensive loss was approximately $(1.8) million and $0.9 million for the three months ended March 31, 2024 and 2023, respectively.</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Gains or losses resulting from foreign currency transactions are included in the accompanying condensed consolidated statements of operations and comprehensive (loss) income, except for those relating to intercompany transactions of a long-term investment nature, which are captured in a separate component of equity as accumulated other comprehensive loss. Currency transaction (loss) income included in the accompanying condensed consolidated statements of operations and comprehensive (loss) income was approximately $0.0 million and $(0.5) million for the three months ended March 31, 2024 and 2023, respectively.</w:t>
      </w:r>
    </w:p>
    <w:p>
      <w:pPr>
        <w:spacing w:after="0" w:line="1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There were no accounting pronouncements issued during the three months ended March 31, 2024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have a material impact on the condensed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 of Sterling Check Corp.</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28, 2024, we entered into an Agreement and Plan of Merger (the “Merger Agreement”), by and among First Advantage, Sterling Check Corp., a Delaware corporation (“Sterling”), and Starter Merger Sub, Inc., a Delaware corporation and an indirect, wholly owned subsidiary of First Advantage (“Merger Sub”). The Merger Agreement provides that, upon the terms and subject to the conditions set forth therein, Merger Sub will be merged with and into Sterling, with Sterling continuing as the surviving corporation in such merger and becoming an indirect, wholly owned subsidiary of First Advantage. The cash-and-stock transaction (the “Acquisition”) valued Sterling at approximately $2.2 billion as of the date of the Merger Agreement.</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Acquisition is subject to satisfaction or waiver of customary closing conditions, including, among others, adoption of the Merger Agreement by Sterling stockholders, the expiration or termination of the waiting period under the Hart-Scott-Rodino Antitrust Improvement Act of 1976 (the “HSR Act”) and clearance under the antitrust and foreign direct investment laws of certain other jurisdictions, and the effectiveness of a registration statement on Form S-4 to be filed by First Advantage in connection with the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September 1, 2023, the Company acquired 100% of the equity interest of a digital identity and biometrics solutions company headquartered in New York, for $41.0 million. The acquired company operates under the trade name Infinite ID. The acquisition expands the Company’s network and portfolio of identity solutions in the United States. The acquired company was determined to constitute a business and the Company was deemed to be the acquirer under ASC 805. As a result, the Company has recorded the related purchase accounting as of September 1, 2023.</w:t>
      </w:r>
    </w:p>
    <w:p>
      <w:pPr>
        <w:spacing w:after="0" w:line="12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is based on the fair value of assets acquired and liabilities assumed as of the acquisition date. The following table summarizes the consideration paid and the amounts recognized for the assets acquired and liabilities assumed (in thousands):</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purchase price</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41,000</w:t>
            </w:r>
          </w:p>
        </w:tc>
      </w:tr>
      <w:tr>
        <w:trPr>
          <w:trHeight w:val="243"/>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transaction adjustments</w:t>
            </w:r>
          </w:p>
        </w:tc>
        <w:tc>
          <w:tcPr>
            <w:tcW w:w="6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fair value of consideration transferred</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41,097</w:t>
            </w:r>
          </w:p>
        </w:tc>
      </w:tr>
      <w:tr>
        <w:trPr>
          <w:trHeight w:val="239"/>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1,335</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including software developed for internal use</w:t>
            </w:r>
          </w:p>
        </w:tc>
        <w:tc>
          <w:tcPr>
            <w:tcW w:w="6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5,959</w:t>
            </w:r>
          </w:p>
        </w:tc>
      </w:tr>
      <w:tr>
        <w:trPr>
          <w:trHeight w:val="247"/>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6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3,800</w:t>
            </w:r>
          </w:p>
        </w:tc>
      </w:tr>
      <w:tr>
        <w:trPr>
          <w:trHeight w:val="247"/>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2,400</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r>
      <w:tr>
        <w:trPr>
          <w:trHeight w:val="243"/>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(1,427 )</w:t>
            </w:r>
          </w:p>
        </w:tc>
      </w:t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14,603</w:t>
            </w:r>
          </w:p>
        </w:tc>
      </w:tr>
      <w:tr>
        <w:trPr>
          <w:trHeight w:val="277"/>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26,494</w:t>
            </w:r>
          </w:p>
        </w:tc>
      </w:tr>
    </w:tbl>
    <w:p>
      <w:pPr>
        <w:spacing w:after="0" w:line="14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Goodwill recognized is not expected to be deductible for tax purposes. Results of operations have been included in the condensed consolidated financial statements of the Company’s Americas segment since the date of acquisition. The acquisition is not material to the Company’s financial position as of March 31, 2024 or results of operations for the three months ended March 31, 2024, and therefore, pro forma operating results and other disclosures for the acquisitions are not presented.</w:t>
      </w:r>
    </w:p>
    <w:p>
      <w:pPr>
        <w:spacing w:after="0" w:line="12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As of the date these condensed consolidated financial statements were issued, the purchase accounting related to this acquisition was incomplete as the valuation of deferred taxes and certain customary transaction adjustments were not yet finalized. The Company has reflected the provisional amounts in these condensed consolidated financial statements. As such, the above balances may be adjusted in a future period as the valuation is finalized and these adjustments may be material to the condensed consolidated financial statements.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as of March 31, 2024 and December 31, 2023 consisted of the following (in thousands):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26,673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26,576</w:t>
            </w:r>
          </w:p>
        </w:tc>
      </w:tr>
      <w:tr>
        <w:trPr>
          <w:trHeight w:val="23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for internal use, acquired by business combination</w:t>
            </w:r>
          </w:p>
        </w:tc>
        <w:tc>
          <w:tcPr>
            <w:tcW w:w="18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232,361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232,505</w:t>
            </w:r>
          </w:p>
        </w:tc>
      </w:tr>
      <w:tr>
        <w:trPr>
          <w:trHeight w:val="247"/>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for internal use, developed internally or otherwise purchased</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93,525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86,704</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2,275</w:t>
            </w:r>
          </w:p>
        </w:tc>
      </w:tr>
      <w:tr>
        <w:trPr>
          <w:trHeight w:val="237"/>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355,369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348,060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(284,017 )</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(268,619 )</w:t>
            </w:r>
          </w:p>
        </w:tc>
      </w:tr>
      <w:tr>
        <w:trPr>
          <w:trHeight w:val="276"/>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71,352</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was approximately $15.5 million and $16.4 million for the three months ended March 31,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Trade Names, Customer Lists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months ended March 31, 2024 by reportable segment were as follows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703,797</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116,857</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820,654</w:t>
            </w:r>
          </w:p>
        </w:tc>
      </w:tr>
      <w:tr>
        <w:trPr>
          <w:trHeight w:val="23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initial purchase price allocations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7"/>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(1,008 )</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(996 )</w:t>
            </w:r>
          </w:p>
        </w:tc>
      </w:tr>
      <w:tr>
        <w:trPr>
          <w:trHeight w:val="237"/>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703,784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115,849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819,633</w:t>
            </w:r>
          </w:p>
        </w:tc>
      </w:tr>
      <w:tr>
        <w:trPr>
          <w:trHeight w:val="20"/>
        </w:trPr>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summarizes the gross carrying value and accumulated amortization for the Company’s trade names, customer lists, and other intangible assets as of March 31, 2024 and December 31, 2023 (in thousands):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31"/>
        </w:trPr>
        <w:tc>
          <w:tcPr>
            <w:tcW w:w="5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100" w:type="dxa"/>
            <w:vAlign w:val="bottom"/>
            <w:gridSpan w:val="2"/>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434"/>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87"/>
        </w:trPr>
        <w:tc>
          <w:tcPr>
            <w:tcW w:w="5280" w:type="dxa"/>
            <w:vAlign w:val="bottom"/>
          </w:tcPr>
          <w:p>
            <w:pPr>
              <w:spacing w:after="0"/>
              <w:rPr>
                <w:sz w:val="16"/>
                <w:szCs w:val="16"/>
                <w:color w:val="auto"/>
              </w:rPr>
            </w:pPr>
          </w:p>
        </w:tc>
        <w:tc>
          <w:tcPr>
            <w:tcW w:w="1160" w:type="dxa"/>
            <w:vAlign w:val="bottom"/>
            <w:tcBorders>
              <w:bottom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6"/>
                <w:szCs w:val="16"/>
                <w:color w:val="auto"/>
              </w:rPr>
            </w:pPr>
          </w:p>
        </w:tc>
        <w:tc>
          <w:tcPr>
            <w:tcW w:w="110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96,208</w:t>
            </w:r>
          </w:p>
        </w:tc>
        <w:tc>
          <w:tcPr>
            <w:tcW w:w="34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(31,838 )</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64,370</w:t>
            </w:r>
          </w:p>
        </w:tc>
        <w:tc>
          <w:tcPr>
            <w:tcW w:w="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2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519,543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(256,667 )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262,876</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 years</w:t>
            </w:r>
          </w:p>
        </w:tc>
      </w:tr>
      <w:tr>
        <w:trPr>
          <w:trHeight w:val="24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2,138</w:t>
            </w:r>
          </w:p>
        </w:tc>
        <w:tc>
          <w:tcPr>
            <w:tcW w:w="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7"/>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618,151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(288,767 )</w:t>
            </w:r>
          </w:p>
        </w:tc>
        <w:tc>
          <w:tcPr>
            <w:tcW w:w="1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329,384</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34"/>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31"/>
        </w:trPr>
        <w:tc>
          <w:tcPr>
            <w:tcW w:w="5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100" w:type="dxa"/>
            <w:vAlign w:val="bottom"/>
            <w:gridSpan w:val="2"/>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434"/>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87"/>
        </w:trPr>
        <w:tc>
          <w:tcPr>
            <w:tcW w:w="5280" w:type="dxa"/>
            <w:vAlign w:val="bottom"/>
          </w:tcPr>
          <w:p>
            <w:pPr>
              <w:spacing w:after="0"/>
              <w:rPr>
                <w:sz w:val="16"/>
                <w:szCs w:val="16"/>
                <w:color w:val="auto"/>
              </w:rPr>
            </w:pPr>
          </w:p>
        </w:tc>
        <w:tc>
          <w:tcPr>
            <w:tcW w:w="1160" w:type="dxa"/>
            <w:vAlign w:val="bottom"/>
            <w:tcBorders>
              <w:bottom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6"/>
                <w:szCs w:val="16"/>
                <w:color w:val="auto"/>
              </w:rPr>
            </w:pPr>
          </w:p>
        </w:tc>
        <w:tc>
          <w:tcPr>
            <w:tcW w:w="110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96,321</w:t>
            </w:r>
          </w:p>
        </w:tc>
        <w:tc>
          <w:tcPr>
            <w:tcW w:w="34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(30,092 )</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66,229</w:t>
            </w:r>
          </w:p>
        </w:tc>
        <w:tc>
          <w:tcPr>
            <w:tcW w:w="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2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520,105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(244,577 )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275,528</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 years</w:t>
            </w:r>
          </w:p>
        </w:tc>
      </w:tr>
      <w:tr>
        <w:trPr>
          <w:trHeight w:val="24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7"/>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618,826</w:t>
            </w:r>
          </w:p>
        </w:tc>
        <w:tc>
          <w:tcPr>
            <w:tcW w:w="3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(274,812 )</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344,014</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-1414145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-1414145</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-1414145</wp:posOffset>
            </wp:positionV>
            <wp:extent cx="59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-187960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-187960</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596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2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Amortization expense of trade names, customer lists, and other intangible assets was approximately $14.3 million and $15.4 million for the three months ended March 31, 2024 and 2023, respectively. Trade names and customer lists are amortized on an accelerated basis based upon their estimated useful life. Other intangible assets are amortized on a straight-line or accelerated basis over their expected useful life of five years.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6. Long-term Debt</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obligation approximated its book value as of March 31, 2024 and December 31, 2023 and consisted of the following (in thousands):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Credit Facility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564,724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564,724</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(5,815 )</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(6,268 )</w:t>
            </w:r>
          </w:p>
        </w:tc>
      </w:tr>
      <w:tr>
        <w:trPr>
          <w:trHeight w:val="277"/>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558,909</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558,456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10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1028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a party to a First Lien Credit Agreement (as amended, “Credit Agreement”), which provides for a term loan of $766.6 million due January 31, 2027, carrying an interest rate of 2.75% to 3.00%, based on the first lien ratio, plus LIBOR (“First Lien Credit Facility”) and a $100.0 million revolving credit facility due July 31, 2026 (“Revolver”). Pursuant to an amendment in June 2023, the reference rate under the Credit Agreement was transitioned from LIBOR to SOFR (the Secured Overnight Financing Rate as administered by the Federal Reserve Bank of New York), with the addition of an applicable margin. The Credit Agreement is collateralized by substantially all assets and capital stock owned by direct and indirect domestic subsidiaries and are governed by certain restrictive covenants including limitations on indebtedness, liens, and other corporate actions such as investments and acquisitions. In the event the Company’s outstanding indebtedness under the Revolver exceeds 35% of the aggregate principal amount of the revolving commitments then in effect, it is required to maintain a consolidated first lien leverage ratio no greater than 7.75 to 1.00. As of March 31, 2024, there were no outstanding borrowings under the Revolver and $564.7 million outstanding under the First Lien Credit Facility. As the Company had no outstanding amounts under the Revolver, it was not subject to the consolidated first lien leverage ratio covenant. The Company was compliant with all other covenants under the agreement as of March 31, 2024.</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on February 28, 2024, First Advantage Holdings, LLC, a subsidiary of the Company (the “Borrower”), entered into a commitment letter with certain financial institutions that committed to provide, subject to the terms and conditions of the commitment letter, an incremental term loan in an aggregate principal amount of up to $1.820 billion and incremental revolving commitments in an aggregate principal amount of $150 million, in each case, under the Credit Agreement. Such financial institutions also agreed to extend the maturity date of the Revolver from July 31, 2026 to the date that is the fifth anniversary of the closing date of the Acquisition.</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7. Derivatives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reduce exposure to variability in expected future cash outflows on variable rate debt attributable to the changes in one-month LIBOR, the Company has historically entered into interest rate derivative instruments to economically offset a portion of this risk and may do so in the future. In June 2023, the Company transitioned the reference rate for its interest rate derivative agreements from one-month LIBOR to one-month SOFR.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had the following outstanding derivatives that were not designated as a hedge in qualifying hedging relationships: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237"/>
        </w:trPr>
        <w:tc>
          <w:tcPr>
            <w:tcW w:w="2580" w:type="dxa"/>
            <w:vAlign w:val="bottom"/>
            <w:shd w:val="clear" w:color="auto" w:fill="CFF0FC"/>
          </w:tcPr>
          <w:p>
            <w:pPr>
              <w:jc w:val="center"/>
              <w:spacing w:after="0" w:line="236" w:lineRule="exact"/>
              <w:rPr>
                <w:sz w:val="20"/>
                <w:szCs w:val="20"/>
                <w:color w:val="auto"/>
              </w:rPr>
            </w:pPr>
            <w:r>
              <w:rPr>
                <w:rFonts w:ascii="Times New Roman" w:cs="Times New Roman" w:eastAsia="Times New Roman" w:hAnsi="Times New Roman"/>
                <w:sz w:val="18"/>
                <w:szCs w:val="18"/>
                <w:color w:val="auto"/>
                <w:w w:val="98"/>
              </w:rPr>
              <w:t>Interest rate swap</w:t>
            </w:r>
            <w:r>
              <w:rPr>
                <w:rFonts w:ascii="Times New Roman" w:cs="Times New Roman" w:eastAsia="Times New Roman" w:hAnsi="Times New Roman"/>
                <w:sz w:val="24"/>
                <w:szCs w:val="24"/>
                <w:color w:val="auto"/>
                <w:w w:val="98"/>
                <w:vertAlign w:val="superscript"/>
              </w:rPr>
              <w:t>(a)</w:t>
            </w:r>
          </w:p>
        </w:tc>
        <w:tc>
          <w:tcPr>
            <w:tcW w:w="120" w:type="dxa"/>
            <w:vAlign w:val="bottom"/>
            <w:shd w:val="clear" w:color="auto" w:fill="CFF0FC"/>
          </w:tcPr>
          <w:p>
            <w:pPr>
              <w:spacing w:after="0"/>
              <w:rPr>
                <w:sz w:val="20"/>
                <w:szCs w:val="20"/>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c>
          <w:tcPr>
            <w:tcW w:w="120" w:type="dxa"/>
            <w:vAlign w:val="bottom"/>
            <w:shd w:val="clear" w:color="auto" w:fill="CFF0FC"/>
          </w:tcPr>
          <w:p>
            <w:pPr>
              <w:spacing w:after="0"/>
              <w:rPr>
                <w:sz w:val="20"/>
                <w:szCs w:val="20"/>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28, 2026</w:t>
            </w:r>
          </w:p>
        </w:tc>
        <w:tc>
          <w:tcPr>
            <w:tcW w:w="120" w:type="dxa"/>
            <w:vAlign w:val="bottom"/>
            <w:shd w:val="clear" w:color="auto" w:fill="CFF0FC"/>
          </w:tcPr>
          <w:p>
            <w:pPr>
              <w:spacing w:after="0"/>
              <w:rPr>
                <w:sz w:val="20"/>
                <w:szCs w:val="20"/>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$100.0 million</w:t>
            </w:r>
          </w:p>
        </w:tc>
        <w:tc>
          <w:tcPr>
            <w:tcW w:w="19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4.32%</w:t>
            </w:r>
          </w:p>
        </w:tc>
      </w:tr>
      <w:tr>
        <w:trPr>
          <w:trHeight w:val="239"/>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29, 2023</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 million</w:t>
            </w:r>
          </w:p>
        </w:tc>
        <w:tc>
          <w:tcPr>
            <w:tcW w:w="1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3.86%</w:t>
            </w:r>
          </w:p>
        </w:tc>
      </w:tr>
      <w:tr>
        <w:trPr>
          <w:trHeight w:val="247"/>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20" w:type="dxa"/>
            <w:vAlign w:val="bottom"/>
            <w:shd w:val="clear" w:color="auto" w:fill="CFF0FC"/>
          </w:tcPr>
          <w:p>
            <w:pPr>
              <w:spacing w:after="0"/>
              <w:rPr>
                <w:sz w:val="21"/>
                <w:szCs w:val="21"/>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120" w:type="dxa"/>
            <w:vAlign w:val="bottom"/>
            <w:shd w:val="clear" w:color="auto" w:fill="CFF0FC"/>
          </w:tcPr>
          <w:p>
            <w:pPr>
              <w:spacing w:after="0"/>
              <w:rPr>
                <w:sz w:val="21"/>
                <w:szCs w:val="21"/>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$150.0 million</w:t>
            </w:r>
          </w:p>
        </w:tc>
        <w:tc>
          <w:tcPr>
            <w:tcW w:w="19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3.76%</w:t>
            </w:r>
          </w:p>
        </w:tc>
      </w:tr>
    </w:tbl>
    <w:p>
      <w:pPr>
        <w:spacing w:after="0" w:line="1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 In conjunction with the June 2023 transition of the reference rate from LIBOR to SOFR, the fixed rate was reduced from 4.36% to 4.32%.</w:t>
      </w:r>
    </w:p>
    <w:p>
      <w:pPr>
        <w:spacing w:after="0" w:line="15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Derivatives not designated as hedges are not speculative and are used to manage the Company’s exposure to interest rate movements; however, the Company has not elected to apply hedge accounting for these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location and fair value of the financial positions recorded related to the derivative instruments (in thousands):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tcPr>
          <w:p>
            <w:pPr>
              <w:jc w:val="right"/>
              <w:ind w:right="741"/>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jc w:val="right"/>
              <w:ind w:right="739"/>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7"/>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00" w:type="dxa"/>
            <w:vAlign w:val="bottom"/>
          </w:tcPr>
          <w:p>
            <w:pPr>
              <w:spacing w:after="0"/>
              <w:rPr>
                <w:sz w:val="16"/>
                <w:szCs w:val="16"/>
                <w:color w:val="auto"/>
              </w:rPr>
            </w:pPr>
          </w:p>
        </w:tc>
        <w:tc>
          <w:tcPr>
            <w:tcW w:w="3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7"/>
        </w:trPr>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100" w:type="dxa"/>
            <w:vAlign w:val="bottom"/>
            <w:shd w:val="clear" w:color="auto" w:fill="CFF0FC"/>
          </w:tcPr>
          <w:p>
            <w:pPr>
              <w:spacing w:after="0"/>
              <w:rPr>
                <w:sz w:val="20"/>
                <w:szCs w:val="20"/>
                <w:color w:val="auto"/>
              </w:rPr>
            </w:pPr>
          </w:p>
        </w:tc>
        <w:tc>
          <w:tcPr>
            <w:tcW w:w="38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34"/>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100" w:type="dxa"/>
            <w:vAlign w:val="bottom"/>
          </w:tcPr>
          <w:p>
            <w:pPr>
              <w:spacing w:after="0"/>
              <w:rPr>
                <w:sz w:val="20"/>
                <w:szCs w:val="20"/>
                <w:color w:val="auto"/>
              </w:rPr>
            </w:pPr>
          </w:p>
        </w:tc>
        <w:tc>
          <w:tcPr>
            <w:tcW w:w="3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Prepaid expenses and other 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3,876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location and amount of gains and (losses) recorded related to the derivative instruments (in thousands):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100" w:type="dxa"/>
            <w:vAlign w:val="bottom"/>
            <w:vMerge w:val="restart"/>
          </w:tcPr>
          <w:p>
            <w:pPr>
              <w:spacing w:after="0"/>
              <w:rPr>
                <w:sz w:val="11"/>
                <w:szCs w:val="11"/>
                <w:color w:val="auto"/>
              </w:rPr>
            </w:pPr>
          </w:p>
        </w:tc>
        <w:tc>
          <w:tcPr>
            <w:tcW w:w="116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00" w:type="dxa"/>
            <w:vAlign w:val="bottom"/>
          </w:tcPr>
          <w:p>
            <w:pPr>
              <w:spacing w:after="0"/>
              <w:rPr>
                <w:sz w:val="16"/>
                <w:szCs w:val="16"/>
                <w:color w:val="auto"/>
              </w:rPr>
            </w:pPr>
          </w:p>
        </w:tc>
        <w:tc>
          <w:tcPr>
            <w:tcW w:w="3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collars</w:t>
            </w:r>
          </w:p>
        </w:tc>
        <w:tc>
          <w:tcPr>
            <w:tcW w:w="100" w:type="dxa"/>
            <w:vAlign w:val="bottom"/>
            <w:shd w:val="clear" w:color="auto" w:fill="CFF0FC"/>
          </w:tcPr>
          <w:p>
            <w:pPr>
              <w:spacing w:after="0"/>
              <w:rPr>
                <w:sz w:val="20"/>
                <w:szCs w:val="20"/>
                <w:color w:val="auto"/>
              </w:rPr>
            </w:pPr>
          </w:p>
        </w:tc>
        <w:tc>
          <w:tcPr>
            <w:tcW w:w="38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Interest expense, net</w:t>
            </w: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951</w:t>
            </w:r>
          </w:p>
        </w:tc>
        <w:tc>
          <w:tcPr>
            <w:tcW w:w="12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34"/>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100" w:type="dxa"/>
            <w:vAlign w:val="bottom"/>
          </w:tcPr>
          <w:p>
            <w:pPr>
              <w:spacing w:after="0"/>
              <w:rPr>
                <w:sz w:val="20"/>
                <w:szCs w:val="20"/>
                <w:color w:val="auto"/>
              </w:rPr>
            </w:pPr>
          </w:p>
        </w:tc>
        <w:tc>
          <w:tcPr>
            <w:tcW w:w="3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Interest expense, net</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6,094</w:t>
            </w:r>
          </w:p>
        </w:tc>
        <w:tc>
          <w:tcPr>
            <w:tcW w:w="120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expense and balance sheet accounts reflect the results of the Company and its subsidiaries.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 estimated the annual effective tax rate based on projected income for the full year and recorded a quarterly tax provision in accordance with the annual effective tax rate and adjusted for discrete tax items in the period.</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2024 was 32.3%. The Company’s effective income tax rate for the three months ended March 31, 2024 was higher than the U.S. federal statutory rate of 21% primarily due to nondeductible share-based compensation and U.S. state income taxes.</w:t>
      </w:r>
    </w:p>
    <w:p>
      <w:pPr>
        <w:spacing w:after="0" w:line="12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2023 was 26.1%. The Company’s effective income tax rate for the three months ended March 31, 2023 was higher than the U.S. federal statutory rate of 21% primarily due to the GILTI inclusion, nondeductible share-based compensation, and U.S. state income taxes.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9. Revenues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considers negotiated and anticipated incentives and estimated adjustments, including historical collections experience, when recording revenues.</w:t>
      </w:r>
    </w:p>
    <w:p>
      <w:pPr>
        <w:spacing w:after="0" w:line="10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Contract balances are generated when the revenues recognized in a given period varies from billing. A contract asset is created when the Company performs a service for a customer and recognizes more revenues than what has been billed. The contract asset balance was $6.7 million and $4.8 million as of March 31, 2024 and December 31, 2023, respectively, and is included in accounts receivable, net in the accompanying condensed consolidated balance sheets.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The contract liability balance was $2.0 million and $1.9 million as of March 31, 2024 and December 31, 2023, respectively, and is included in deferred revenues in the accompanying condensed consolidated balance sheets. An immaterial amount of revenues was recognized in the current period related to the beginning balance of deferred revenues.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disclosures about the disaggregation of our revenues, see Note 15, “Reportable Segments.”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Share-based Compensation</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is recognized in cost of services, product and technology expense, and selling, general, and administrative expense, in the accompanying condensed consolidated statements of operations and comprehensive (loss) income as follows (in thousands):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4"/>
                <w:szCs w:val="14"/>
                <w:color w:val="auto"/>
              </w:rPr>
            </w:pPr>
          </w:p>
        </w:tc>
      </w:tr>
      <w:tr>
        <w:trPr>
          <w:trHeight w:val="23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r>
      <w:tr>
        <w:trPr>
          <w:trHeight w:val="23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r>
      <w:tr>
        <w:trPr>
          <w:trHeight w:val="247"/>
        </w:trPr>
        <w:tc>
          <w:tcPr>
            <w:tcW w:w="6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457</w:t>
            </w: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1,326</w:t>
            </w:r>
          </w:p>
        </w:tc>
      </w:tr>
      <w:tr>
        <w:trPr>
          <w:trHeight w:val="276"/>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-25400</wp:posOffset>
            </wp:positionV>
            <wp:extent cx="60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0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Prior to the IPO, all share-based awards were issued by Fastball Holdco, L.P., the Company’s previous parent company, under individual grant agreements and the partnership agreement of such parent company (collectively, the “the 2020 Equity Plan”). In connection with the IPO, the Company adopted the 2021 Omnibus Incentive Plan (as amended by the First Amendment, dated as of May 10, 2023, the “2021 Equity Plan”).</w:t>
      </w:r>
    </w:p>
    <w:p>
      <w:pPr>
        <w:spacing w:after="0" w:line="12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In May 2023, the Company’s Board of Directors approved a modification of the vesting terms of outstanding unvested and unearned performance-based options, restricted stock units, and restricted stock (collectively, “Performance Awards”) previously issued under its equity plans. The modification, effective May 10, 2023, allowed for unvested and unearned Performance Awards outstanding as of the date of the modification, to vest based on time on the fourth, fifth, and sixth anniversaries of the relevant vesting commencement date, as set forth in each grant agreement (the “Vesting Commencement Date”), while preserving the eligibility to vest upon the Company’s investors receiving a targeted money-on-money return, subject to continued service.</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Company’s declaration of a one-time special dividend in August 2023, the exercise price of outstanding stock option awards and stock purchases under the Company’s employee stock purchase plan (“ESPP”) was reduced by $1.50, in accordance with the non-discretionary anti-dilution provisions of the equity and stock purchase plans.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Plan</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Awards issued under the 2020 Equity Plan consist of options and profit interests. No awards were issued under the plan during the three months ended March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for the three months ended March 31, 2024 is as follows:</w:t>
      </w:r>
    </w:p>
    <w:p>
      <w:pPr>
        <w:spacing w:after="0" w:line="166"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1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140" w:type="dxa"/>
            <w:vAlign w:val="bottom"/>
          </w:tcPr>
          <w:p>
            <w:pPr>
              <w:jc w:val="right"/>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7"/>
        </w:trPr>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3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Grants outstanding</w:t>
            </w: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1,915,252</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680" w:type="dxa"/>
            <w:vAlign w:val="bottom"/>
          </w:tcPr>
          <w:p>
            <w:pPr>
              <w:spacing w:after="0"/>
              <w:rPr>
                <w:sz w:val="20"/>
                <w:szCs w:val="20"/>
                <w:color w:val="auto"/>
              </w:rPr>
            </w:pPr>
          </w:p>
        </w:tc>
        <w:tc>
          <w:tcPr>
            <w:tcW w:w="3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Grants 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(48,911 )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680" w:type="dxa"/>
            <w:vAlign w:val="bottom"/>
            <w:tcBorders>
              <w:bottom w:val="single" w:sz="8" w:color="CFF0FC"/>
            </w:tcBorders>
            <w:shd w:val="clear" w:color="auto" w:fill="CFF0FC"/>
          </w:tcPr>
          <w:p>
            <w:pPr>
              <w:spacing w:after="0"/>
              <w:rPr>
                <w:sz w:val="21"/>
                <w:szCs w:val="21"/>
                <w:color w:val="auto"/>
              </w:rPr>
            </w:pPr>
          </w:p>
        </w:tc>
        <w:tc>
          <w:tcPr>
            <w:tcW w:w="3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Grants cancelled/forfeited</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(16,978 )</w:t>
            </w:r>
          </w:p>
        </w:tc>
        <w:tc>
          <w:tcPr>
            <w:tcW w:w="2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3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Grants outstanding</w:t>
            </w: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1,849,363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Years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million</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3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Grants vested</w:t>
            </w: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823,589</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Years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 million</w:t>
            </w:r>
          </w:p>
        </w:tc>
        <w:tc>
          <w:tcPr>
            <w:tcW w:w="0" w:type="dxa"/>
            <w:vAlign w:val="bottom"/>
          </w:tcPr>
          <w:p>
            <w:pPr>
              <w:spacing w:after="0"/>
              <w:rPr>
                <w:sz w:val="1"/>
                <w:szCs w:val="1"/>
                <w:color w:val="auto"/>
              </w:rPr>
            </w:pPr>
          </w:p>
        </w:tc>
      </w:tr>
      <w:tr>
        <w:trPr>
          <w:trHeight w:val="234"/>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3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Grants unvested</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1,025,774</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-490855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Plan</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March 31, 2024, 20,037,028 shares were available for issuance under the 2021 Equity Plan.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for the three months ended March 31, 2024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1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30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3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Grants outstanding</w:t>
            </w:r>
          </w:p>
        </w:tc>
        <w:tc>
          <w:tcPr>
            <w:tcW w:w="13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4,686,659</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680" w:type="dxa"/>
            <w:vAlign w:val="bottom"/>
          </w:tcPr>
          <w:p>
            <w:pPr>
              <w:spacing w:after="0"/>
              <w:rPr>
                <w:sz w:val="20"/>
                <w:szCs w:val="20"/>
                <w:color w:val="auto"/>
              </w:rPr>
            </w:pPr>
          </w:p>
        </w:tc>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Grants issued</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146,401</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680" w:type="dxa"/>
            <w:vAlign w:val="bottom"/>
            <w:tcBorders>
              <w:bottom w:val="single" w:sz="8" w:color="CFF0FC"/>
            </w:tcBorders>
            <w:shd w:val="clear" w:color="auto" w:fill="CFF0FC"/>
          </w:tcPr>
          <w:p>
            <w:pPr>
              <w:spacing w:after="0"/>
              <w:rPr>
                <w:sz w:val="21"/>
                <w:szCs w:val="21"/>
                <w:color w:val="auto"/>
              </w:rPr>
            </w:pPr>
          </w:p>
        </w:tc>
        <w:tc>
          <w:tcPr>
            <w:tcW w:w="34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Grants cancelled/forfeited</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(6,600 )</w:t>
            </w:r>
          </w:p>
        </w:tc>
        <w:tc>
          <w:tcPr>
            <w:tcW w:w="2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Grants outstanding</w:t>
            </w: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4,826,460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Pr>
          <w:p>
            <w:pPr>
              <w:spacing w:after="0"/>
              <w:rPr>
                <w:sz w:val="20"/>
                <w:szCs w:val="20"/>
                <w:color w:val="auto"/>
              </w:rPr>
            </w:pPr>
          </w:p>
        </w:tc>
        <w:tc>
          <w:tcPr>
            <w:tcW w:w="11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7.6 Years</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million</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3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Grants vested</w:t>
            </w:r>
          </w:p>
        </w:tc>
        <w:tc>
          <w:tcPr>
            <w:tcW w:w="13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2,207,644</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5"/>
              </w:rPr>
              <w:t>7.3 Years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 million</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Grants unvested</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2,618,816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-490855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fair value for stock options granted for the three months ended March 31, 2024 was estimated at the date of grant using the Black-Scholes option-pricing model with the following weighted average assumptions: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20" w:type="dxa"/>
            <w:vAlign w:val="bottom"/>
          </w:tcPr>
          <w:p>
            <w:pPr>
              <w:spacing w:after="0"/>
              <w:rPr>
                <w:sz w:val="16"/>
                <w:szCs w:val="16"/>
                <w:color w:val="auto"/>
              </w:rPr>
            </w:pPr>
          </w:p>
        </w:tc>
      </w:tr>
      <w:tr>
        <w:trPr>
          <w:trHeight w:val="228"/>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34.98 %</w:t>
            </w:r>
          </w:p>
        </w:tc>
      </w:tr>
      <w:tr>
        <w:trPr>
          <w:trHeight w:val="245"/>
        </w:trPr>
        <w:tc>
          <w:tcPr>
            <w:tcW w:w="114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9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4.22 %</w:t>
            </w:r>
          </w:p>
        </w:tc>
      </w:tr>
      <w:tr>
        <w:trPr>
          <w:trHeight w:val="250"/>
        </w:trPr>
        <w:tc>
          <w:tcPr>
            <w:tcW w:w="114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6.25</w:t>
            </w:r>
          </w:p>
        </w:tc>
        <w:tc>
          <w:tcPr>
            <w:tcW w:w="1120" w:type="dxa"/>
            <w:vAlign w:val="bottom"/>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Fair-value of the underlying unit</w:t>
            </w:r>
          </w:p>
        </w:tc>
        <w:tc>
          <w:tcPr>
            <w:tcW w:w="3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15.81</w:t>
            </w:r>
          </w:p>
        </w:tc>
        <w:tc>
          <w:tcPr>
            <w:tcW w:w="1120" w:type="dxa"/>
            <w:vAlign w:val="bottom"/>
          </w:tcPr>
          <w:p>
            <w:pPr>
              <w:spacing w:after="0"/>
              <w:rPr>
                <w:sz w:val="20"/>
                <w:szCs w:val="20"/>
                <w:color w:val="auto"/>
              </w:rPr>
            </w:pPr>
          </w:p>
        </w:tc>
      </w:tr>
      <w:tr>
        <w:trPr>
          <w:trHeight w:val="441"/>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26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49"/>
        </w:trPr>
        <w:tc>
          <w:tcPr>
            <w:tcW w:w="11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-1379220</wp:posOffset>
            </wp:positionV>
            <wp:extent cx="570039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units (“RSU”) activity for the three months ended March 31, 2024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240" w:type="dxa"/>
            <w:vAlign w:val="bottom"/>
            <w:gridSpan w:val="2"/>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16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6"/>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Nonvested RSUs</w:t>
            </w: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507,143</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39"/>
        </w:trPr>
        <w:tc>
          <w:tcPr>
            <w:tcW w:w="1600" w:type="dxa"/>
            <w:vAlign w:val="bottom"/>
          </w:tcPr>
          <w:p>
            <w:pPr>
              <w:spacing w:after="0"/>
              <w:rPr>
                <w:sz w:val="20"/>
                <w:szCs w:val="20"/>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167,472</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47"/>
        </w:trPr>
        <w:tc>
          <w:tcPr>
            <w:tcW w:w="1600" w:type="dxa"/>
            <w:vAlign w:val="bottom"/>
            <w:shd w:val="clear" w:color="auto" w:fill="CFF0FC"/>
          </w:tcPr>
          <w:p>
            <w:pPr>
              <w:spacing w:after="0"/>
              <w:rPr>
                <w:sz w:val="21"/>
                <w:szCs w:val="21"/>
                <w:color w:val="auto"/>
              </w:rPr>
            </w:pPr>
          </w:p>
        </w:tc>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(9,443 )</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43"/>
        </w:trPr>
        <w:tc>
          <w:tcPr>
            <w:tcW w:w="1600" w:type="dxa"/>
            <w:vAlign w:val="bottom"/>
          </w:tcPr>
          <w:p>
            <w:pPr>
              <w:spacing w:after="0"/>
              <w:rPr>
                <w:sz w:val="21"/>
                <w:szCs w:val="21"/>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(3,777 )</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77"/>
        </w:trPr>
        <w:tc>
          <w:tcPr>
            <w:tcW w:w="1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Nonvested RSUs</w:t>
            </w:r>
          </w:p>
        </w:tc>
        <w:tc>
          <w:tcPr>
            <w:tcW w:w="12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661,395</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activity for the three months ended March 31, 2024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240" w:type="dxa"/>
            <w:vAlign w:val="bottom"/>
            <w:gridSpan w:val="2"/>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16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7"/>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1,954,630</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43"/>
        </w:trPr>
        <w:tc>
          <w:tcPr>
            <w:tcW w:w="1600" w:type="dxa"/>
            <w:vAlign w:val="bottom"/>
          </w:tcPr>
          <w:p>
            <w:pPr>
              <w:spacing w:after="0"/>
              <w:rPr>
                <w:sz w:val="21"/>
                <w:szCs w:val="21"/>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(586,927 )</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77"/>
        </w:trPr>
        <w:tc>
          <w:tcPr>
            <w:tcW w:w="1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2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1,367,703</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-25400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approximately $36.4 million of unrecognized pre-tax non-cash compensation expense, comprised of approximately $12.1 million related to restricted stock, $8.1 million related to RSUs, and approximately $16.2 million related to stock options, which the Company expects to recognize over a weighted average period of 1.3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adopted the ESPP, which allows eligible employees to voluntarily make after-tax contributions of up to 15% of such employee’s cash compensation to acquire Company stock during designated offering periods. Each offering period consists of one six-month purchase period. During the holding period, ESPP purchased shares are not eligible for sale or broker transfer. The Company recorded an associated expense of approximately $0.2 million for both the three months ended March 31, 2024 and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250,000,000 shares of Preferred Stock were authorized, and no Preferred Stock was issued or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three months ended March 31, 2024. As of March 31, 2024, the remaining authorized value of shares available to be repurchased under the Repurchase Program was approximately $80.5 million. In connection with the execution of the Merger Agreement, the Company will be suspending purchases under its Repurchase Program.</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Company’s contractual obligations as compared to December 31, 2023.</w:t>
      </w:r>
    </w:p>
    <w:p>
      <w:pPr>
        <w:spacing w:after="0" w:line="17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from time to time in the ordinary course of business. At times, the Company, given the nature of its background screening business, could become subject to lawsuits, or potential class action lawsuits, in multiple jurisdictions, related to claims brought primarily by consumers or individuals who were the subject of its screening services.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all pending matters, the Company believes it has meritorious defenses and intends to defend vigorously or otherwise seek indemnification from other parties as appropriate. However, the Company has recorded a liability of $4.7 million and $5.2 million at March 31, 2024 and December 31, 2023, respectively, for matters that it believes a loss is both probable and estimable. This is included in accrued liabilities in the accompanying condensed consolidated balance sheets.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will continue to evaluate information as it becomes known and will record an estimate for losses at the time when it is both probable that a loss has been incurred and the amount of the loss is reasonably estimable.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material related party transactions for the three months ended March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Income Per Share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The potentially dilutive securities outstanding during the three months ended March 31, 2024, had an anti-dilutive effect and were therefore not included in the calculation of diluted net loss per share. Basic and diluted net (loss) income per share was calculated as follows:</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0.01</w:t>
            </w: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0.01</w:t>
            </w:r>
          </w:p>
        </w:tc>
      </w:tr>
      <w:tr>
        <w:trPr>
          <w:trHeight w:val="24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(in thousands)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(2,908 )</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1,925</w:t>
            </w:r>
          </w:p>
        </w:tc>
      </w:tr>
      <w:tr>
        <w:trPr>
          <w:trHeight w:val="24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440" w:type="dxa"/>
            <w:vAlign w:val="bottom"/>
          </w:tcPr>
          <w:p>
            <w:pPr>
              <w:spacing w:after="0"/>
              <w:rPr>
                <w:sz w:val="20"/>
                <w:szCs w:val="20"/>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143,591,713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145,862,562</w:t>
            </w:r>
          </w:p>
        </w:tc>
      </w:tr>
      <w:tr>
        <w:trPr>
          <w:trHeight w:val="247"/>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stock options to purchase shares and restricted stock units</w:t>
            </w:r>
          </w:p>
        </w:tc>
        <w:tc>
          <w:tcPr>
            <w:tcW w:w="4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1,169,304</w:t>
            </w:r>
          </w:p>
        </w:tc>
      </w:tr>
      <w:tr>
        <w:trPr>
          <w:trHeight w:val="23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143,591,713</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147,031,866</w:t>
            </w:r>
          </w:p>
        </w:tc>
      </w:tr>
      <w:tr>
        <w:trPr>
          <w:trHeight w:val="20"/>
        </w:trPr>
        <w:tc>
          <w:tcPr>
            <w:tcW w:w="6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-187960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3,287,852 and 2,913,298 stock options and RSUs were excluded from the calculation of diluted net (loss) income per share, respectively, because their effect was anti-dilutive.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15. Reportable Segments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two reportable segments, Americas and International. Our chief operating decision maker (“CODM”) uses the profit measure of Adjusted EBITDA, on both a consolidated and a segment basis, to allocate resources and assess performance of our businesses. We use Adjusted EBITDA as our profit measure because it eliminates the impact of certain items that we do not consider indicative of operating performance, which is useful to compare operating results between periods. Our CODM also uses Adjusted EBITDA as a compensation measure for both segment and corporate management under our incentive compensation plans. Adjusted EBITDA is also a measure frequently used by securities analysts, investors, and other interested parties in their evaluation of the operating performance of companies similar to ours.</w:t>
      </w:r>
    </w:p>
    <w:p>
      <w:pPr>
        <w:spacing w:after="0" w:line="1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define Adjusted EBITDA as net (loss)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segment financial information below aligns with how we report information to our CODM to assess operating performance and how the Company manages the business. Corporate costs are generally allocated to the segments based upon estimated revenue levels and other assumptions that management considers reasonable. The CODM does not review the Company’s assets by segment; therefore, such information is not presented. The accounting policies of the segments are the same as described in Note 2, “Summary of Significant Accounting Policies” and Note 9, “Revenues.”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two reportable segments:</w:t>
      </w:r>
    </w:p>
    <w:p>
      <w:pPr>
        <w:spacing w:after="0" w:line="167" w:lineRule="exact"/>
        <w:rPr>
          <w:sz w:val="20"/>
          <w:szCs w:val="20"/>
          <w:color w:val="auto"/>
        </w:rPr>
      </w:pPr>
    </w:p>
    <w:p>
      <w:pPr>
        <w:ind w:left="5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Americas. </w:t>
      </w:r>
      <w:r>
        <w:rPr>
          <w:rFonts w:ascii="Times New Roman" w:cs="Times New Roman" w:eastAsia="Times New Roman" w:hAnsi="Times New Roman"/>
          <w:sz w:val="18"/>
          <w:szCs w:val="18"/>
          <w:color w:val="auto"/>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industry verticals in the United States, Canada, and Latin America markets.</w:t>
      </w:r>
    </w:p>
    <w:p>
      <w:pPr>
        <w:spacing w:after="0" w:line="68" w:lineRule="exact"/>
        <w:rPr>
          <w:sz w:val="20"/>
          <w:szCs w:val="20"/>
          <w:color w:val="auto"/>
        </w:rPr>
      </w:pPr>
    </w:p>
    <w:p>
      <w:pPr>
        <w:ind w:left="5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color w:val="auto"/>
        </w:rPr>
        <w:t>The International segment provides services similar to our Americas segment in regions outside of the Americas. We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 our solutions across multiple industry verticals in the Europe, India, and Asia Pacific markets.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Segment Adjusted EBITDA to net (loss) income for the three months ended March 31, 2024 and 2023 is as follows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169"/>
        </w:trPr>
        <w:tc>
          <w:tcPr>
            <w:tcW w:w="6220" w:type="dxa"/>
            <w:vAlign w:val="bottom"/>
          </w:tcPr>
          <w:p>
            <w:pPr>
              <w:spacing w:after="0"/>
              <w:rPr>
                <w:sz w:val="14"/>
                <w:szCs w:val="14"/>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4"/>
                <w:szCs w:val="14"/>
                <w:color w:val="auto"/>
              </w:rPr>
            </w:pPr>
          </w:p>
        </w:tc>
      </w:tr>
      <w:tr>
        <w:trPr>
          <w:trHeight w:val="237"/>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8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r>
      <w:tr>
        <w:trPr>
          <w:trHeight w:val="239"/>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1180" w:type="dxa"/>
            <w:vAlign w:val="bottom"/>
          </w:tcPr>
          <w:p>
            <w:pPr>
              <w:jc w:val="right"/>
              <w:ind w:right="99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43,669</w:t>
            </w:r>
          </w:p>
        </w:tc>
        <w:tc>
          <w:tcPr>
            <w:tcW w:w="12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44,656</w:t>
            </w:r>
          </w:p>
        </w:tc>
      </w:tr>
      <w:tr>
        <w:trPr>
          <w:trHeight w:val="247"/>
        </w:trPr>
        <w:tc>
          <w:tcPr>
            <w:tcW w:w="6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11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3,904</w:t>
            </w:r>
          </w:p>
        </w:tc>
      </w:tr>
      <w:tr>
        <w:trPr>
          <w:trHeight w:val="232"/>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jc w:val="right"/>
              <w:ind w:right="99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46,558</w:t>
            </w:r>
          </w:p>
        </w:tc>
        <w:tc>
          <w:tcPr>
            <w:tcW w:w="12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48,560</w:t>
            </w:r>
          </w:p>
        </w:tc>
      </w:tr>
      <w:tr>
        <w:trPr>
          <w:trHeight w:val="247"/>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to net (loss) income:</w:t>
            </w:r>
          </w:p>
        </w:tc>
        <w:tc>
          <w:tcPr>
            <w:tcW w:w="1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r>
      <w:tr>
        <w:trPr>
          <w:trHeight w:val="239"/>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1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8,681</w:t>
            </w:r>
          </w:p>
        </w:tc>
      </w:tr>
      <w:tr>
        <w:trPr>
          <w:trHeight w:val="247"/>
        </w:trPr>
        <w:tc>
          <w:tcPr>
            <w:tcW w:w="6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(1,388 )</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681</w:t>
            </w:r>
          </w:p>
        </w:tc>
      </w:tr>
      <w:tr>
        <w:trPr>
          <w:trHeight w:val="239"/>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29,822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31,866</w:t>
            </w:r>
          </w:p>
        </w:tc>
      </w:tr>
      <w:tr>
        <w:trPr>
          <w:trHeight w:val="247"/>
        </w:trPr>
        <w:tc>
          <w:tcPr>
            <w:tcW w:w="6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2,058</w:t>
            </w:r>
          </w:p>
        </w:tc>
      </w:tr>
      <w:tr>
        <w:trPr>
          <w:trHeight w:val="243"/>
        </w:trPr>
        <w:tc>
          <w:tcPr>
            <w:tcW w:w="6220" w:type="dxa"/>
            <w:vAlign w:val="bottom"/>
          </w:tcPr>
          <w:p>
            <w:pPr>
              <w:ind w:left="10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(a)</w:t>
            </w:r>
          </w:p>
        </w:tc>
        <w:tc>
          <w:tcPr>
            <w:tcW w:w="1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11,992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1,071</w:t>
            </w:r>
          </w:p>
        </w:tc>
      </w:tr>
      <w:tr>
        <w:trPr>
          <w:trHeight w:val="243"/>
        </w:trPr>
        <w:tc>
          <w:tcPr>
            <w:tcW w:w="6220" w:type="dxa"/>
            <w:vAlign w:val="bottom"/>
            <w:tcBorders>
              <w:bottom w:val="single" w:sz="8" w:color="CFF0FC"/>
            </w:tcBorders>
            <w:shd w:val="clear" w:color="auto" w:fill="CFF0FC"/>
          </w:tcPr>
          <w:p>
            <w:pPr>
              <w:ind w:left="10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(b)</w:t>
            </w:r>
          </w:p>
        </w:tc>
        <w:tc>
          <w:tcPr>
            <w:tcW w:w="11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2,278</w:t>
            </w:r>
          </w:p>
        </w:tc>
      </w:tr>
      <w:tr>
        <w:trPr>
          <w:trHeight w:val="23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180" w:type="dxa"/>
            <w:vAlign w:val="bottom"/>
          </w:tcPr>
          <w:p>
            <w:pPr>
              <w:jc w:val="right"/>
              <w:ind w:right="99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(2,908 )</w:t>
            </w:r>
          </w:p>
        </w:tc>
        <w:tc>
          <w:tcPr>
            <w:tcW w:w="12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1,925</w:t>
            </w:r>
          </w:p>
        </w:tc>
      </w:tr>
      <w:tr>
        <w:trPr>
          <w:trHeight w:val="20"/>
        </w:trPr>
        <w:tc>
          <w:tcPr>
            <w:tcW w:w="6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-1431290</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820" w:right="620" w:hanging="213"/>
        <w:spacing w:after="0" w:line="227" w:lineRule="auto"/>
        <w:tabs>
          <w:tab w:leader="none" w:pos="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three months ended March 31, 2024 includes approximately $11.1 million of expense associated with the pending acquisition of Sterling, primarily consisting of legal, regulatory, and diligence professional service fees. The three months ended March 31, 2024 and 2023 also include insurance costs incurred related to the initial public offering.</w:t>
      </w:r>
    </w:p>
    <w:p>
      <w:pPr>
        <w:ind w:left="820" w:right="880" w:hanging="213"/>
        <w:spacing w:after="0" w:line="239" w:lineRule="auto"/>
        <w:tabs>
          <w:tab w:leader="none" w:pos="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and (gains) losses on the sale of assets.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categorizes revenues by geographic region in which the revenues and invoicing are recorded. Other than the United States, no single country accounted for 10% or more of our total revenues during these periods.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revenues by geographical region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7"/>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149,127</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152,056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6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22,023</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24,848</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Eliminations</w:t>
            </w:r>
          </w:p>
        </w:tc>
        <w:tc>
          <w:tcPr>
            <w:tcW w:w="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4"/>
              </w:rPr>
              <w:t>(1,734 )</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169,416</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175,520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6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w w:val="99"/>
              </w:rPr>
              <w:t>The following table sets forth net long-lived assets by geographic area (in thousands):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84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Long-lived assets, net</w:t>
            </w: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country of domicile</w:t>
            </w:r>
          </w:p>
        </w:tc>
        <w:tc>
          <w:tcPr>
            <w:tcW w:w="9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1,062,684</w:t>
            </w: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1,083,318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6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All other countries</w:t>
            </w:r>
          </w:p>
        </w:tc>
        <w:tc>
          <w:tcPr>
            <w:tcW w:w="9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164,357</w:t>
            </w: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168,068</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long-lived assets, net</w:t>
            </w:r>
          </w:p>
        </w:tc>
        <w:tc>
          <w:tcPr>
            <w:tcW w:w="9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1,227,041</w:t>
            </w: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1,251,386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-1910715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-1894205</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-959485</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First Advantage Corporation’s financial condition and results of operations is provided as a supplement to the condensed consolidated financial statements for the three months ended March 31, 2024, and should be read in conjunction with the audited consolidated financial statements for the year ended December 31, 2023, our “Risk Factors,” and “Management’s Discussion and Analysis of Financial Condition and Results of Operations” included in the Company’s Annual Report on Form 10-K for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spacing w:after="0" w:line="13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various risks, uncertainties, assumptions, or changes in circumstances that are difficult to predict or quantify. Such risks and uncertainties include, but are not limited to, the following: negative changes in external events beyond our control, including our customers’ onboarding volumes, economic drivers which are sensitive to macroeconomic cycles, such as interest rate volatility and inflation, geopolitical unrest, uncertainty in financial markets; our operations in a highly regulated industry and the fact that we are subject to numerous and evolving laws and regulations, including with respect to personal data, data security, and artificial intelligence; inability to identify and successfully implement our growth strategies on a timely basis or at all; potential harm to our business, brand, and reputation as a result of security breaches, cyber-attacks, or the mishandling of personal data; operating in a penetrated and competitive market; our reliance on third-party data providers; due to the sensitive and privacy-driven nature of our products and solutions, we could face liability and legal or regulatory proceedings, which could be costly and time-consuming to defend and may not be fully covered by insurance; our international business exposes us to a number of risks; real or perceived errors, failures, or bugs in our products could adversely affect our business, results of operations, financial condition, and growth prospects; our ability to identify attractive targets or successfully complete such transactions; the timing, manner and volume of repurchases of common stock pursuant to our share repurchase program; failure to comply with anti-corruption laws and regulations; disruptions at our Global Operating Center and other operating centers; our contracts with our customers, which do not guarantee exclusivity or contracted volumes; disruptions, outages, or other errors with our technology and network infrastructure, including our data centers, servers, and third-party cloud and internet providers and our migration to the cloud;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reliance on third-party vendors to carry out certain portions of our operations; our dependence on the service of our key executive and other employees, and our ability to find and retain qualified employees; our ability to obtain, maintain, protect and enforce our intellectual property and other proprietary information; our ability to maintain, protect, and enforce the confidentiality of our trade secrets; the use of open-source software in our applications; the indemnification provisions in our contracts with our customers and third-party data suppliers; seasonality in our operations from quarter to quarter; our indebtedness could adversely affect our ability to raise additional capital to fund our operations, limit our ability to react to changes in the economy or our industry, and prevent us from meeting our obligations; Silver Lake’s control of us and the potential conflict of its interest with ours or those of our stockholders; and changing interpretations of tax laws.</w:t>
      </w:r>
    </w:p>
    <w:p>
      <w:pPr>
        <w:spacing w:after="0" w:line="15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For additional information on these and other factors that could cause First Advantage’s actual results to differ materially from expected results, please see our Annual Report on Form 10-K for the year ended December 31, 2023, filed with the Securities and Exchange Commission (the “SEC”), as such factors may be updated from time to time in our periodic filings with the SEC, which are accessible on the SEC’s website at www.sec.gov. The forward-looking statements included in this Quarterly Report on Form 10-Q speak only as of the date of this Form 10-Q, and we undertake no obligation to publicly update or review any forward-looking statement, whether as a result of new information, future developments, or otherwise, except as required by law.</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Glossary of Selected Terminology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are used in this Form 10-Q, unless otherwise noted or indicated by the context:</w:t>
      </w:r>
    </w:p>
    <w:p>
      <w:pPr>
        <w:spacing w:after="0" w:line="171" w:lineRule="exact"/>
        <w:rPr>
          <w:sz w:val="20"/>
          <w:szCs w:val="20"/>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 regards to our business, means the United States, Canada, and Latin America;</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customers” means our customers who contribute $500,000 or more to our revenues in a calendar year;</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Advantage,” the “Company,” “we,” “us,” and “our” mean the business of First Advantage Corporation and its subsidiaries;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in regards to our business, means all geographical regions outside of the United States, Canada, and Latin America;</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attributable to the Company’s acquisitions” means revenues recognized in the first year following each acquisition; and</w:t>
      </w:r>
    </w:p>
    <w:p>
      <w:pPr>
        <w:spacing w:after="0" w:line="171"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Lake” means Silver Lake Group, L.L.C., together with its affiliates, successors, and assignees.</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consolidated financial statements included elsewhere in this Quarterly Report on Form 10-Q. Certain other amounts that appear in this Quarterly Report on Form 10-Q may not sum due to rounding.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First Advantage is a leading provider of employment background screening, identity, and verification solutions. We deliver innovative services and insights that help our customers manage risk and hire the best talent. Enabled by our proprietary technology, we help companies protect their brands and provide safer environments for their customers and their most important resources: employees, contractors, contingent workers, tenants, and drivers.</w:t>
      </w:r>
    </w:p>
    <w:p>
      <w:pPr>
        <w:spacing w:after="0" w:line="12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comprehensive product suite includes criminal background checks, drug / health screening, extended workforce screening, biometrics and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Our more than 30,000 customers are global enterprises, mid-sized companies, and small companies, and our products and solutions are used by personnel in recruiting, human resources, risk, compliance, vendor management, safety, and/or security.</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products are sold both individually and packaged. The First Advantage platform offers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pass-through and third-party out of pocket costs, and bundling of products.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1" w:name="page22"/>
    <w:bookmarkEnd w:id="21"/>
    <w:p>
      <w:pPr>
        <w:spacing w:after="0" w:line="256" w:lineRule="auto"/>
        <w:rPr>
          <w:sz w:val="20"/>
          <w:szCs w:val="20"/>
          <w:color w:val="auto"/>
        </w:rPr>
      </w:pPr>
      <w:r>
        <w:rPr>
          <w:rFonts w:ascii="Times New Roman" w:cs="Times New Roman" w:eastAsia="Times New Roman" w:hAnsi="Times New Roman"/>
          <w:sz w:val="18"/>
          <w:szCs w:val="18"/>
          <w:color w:val="auto"/>
        </w:rPr>
        <w:t>We enter into contracts with our customers that are typically three years in length. These contracts set forth the general terms and pricing of our products and solutions but generally do not include minimum order volumes or committed order volumes. Accordingly, contracts do not provide guarantees of future revenues. Due to our contract terms and the nature of the background screening industry, we determined our contract terms for ASC 606 purposes are less than one year. We typically bill our customers at the end of each month and recognize revenues as completed orders are reported or otherwise made available to our customers. Approximately 90% of our criminal searches performed in the United States in 2023 were completed the same day they were submitted.</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generated revenues of $169.4 million for the three months ended March 31, 2024, which represents a decline of 3.5% as compared to $175.5 million for the three months ended March 31, 2023. Approximately 87% of our revenues for the three months ended March 31, 2024 was generated in the Americas, predominantly in the United States, while the remaining 13% was generated internationally. Other than the United States, no single country accounted for 10% or more of our total revenues for the three months ended March 31, 2024. Please refer to “Results of Operations” for further details.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business and report our financial results in two reportable segments, Americas and International:</w:t>
      </w:r>
    </w:p>
    <w:p>
      <w:pPr>
        <w:spacing w:after="0" w:line="167" w:lineRule="exact"/>
        <w:rPr>
          <w:sz w:val="20"/>
          <w:szCs w:val="20"/>
          <w:color w:val="auto"/>
        </w:rPr>
      </w:pPr>
    </w:p>
    <w:p>
      <w:pPr>
        <w:ind w:left="740" w:right="40" w:hanging="223"/>
        <w:spacing w:after="0" w:line="26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Americas. </w:t>
      </w:r>
      <w:r>
        <w:rPr>
          <w:rFonts w:ascii="Times New Roman" w:cs="Times New Roman" w:eastAsia="Times New Roman" w:hAnsi="Times New Roman"/>
          <w:sz w:val="18"/>
          <w:szCs w:val="18"/>
          <w:color w:val="auto"/>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industry verticals in the United States, Canada, and Latin America markets.</w:t>
      </w:r>
    </w:p>
    <w:p>
      <w:pPr>
        <w:spacing w:after="0" w:line="68" w:lineRule="exact"/>
        <w:rPr>
          <w:rFonts w:ascii="Times New Roman" w:cs="Times New Roman" w:eastAsia="Times New Roman" w:hAnsi="Times New Roman"/>
          <w:sz w:val="18"/>
          <w:szCs w:val="18"/>
          <w:color w:val="auto"/>
        </w:rPr>
      </w:pPr>
    </w:p>
    <w:p>
      <w:pPr>
        <w:ind w:left="740" w:right="280" w:hanging="223"/>
        <w:spacing w:after="0" w:line="286"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color w:val="auto"/>
        </w:rPr>
        <w:t>The International segment provides services similar to our Americas segment in regions outside of the Americas. We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 our solutions across multiple industry verticals in the Europe, India, and Asia Pacific markets.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U.S. holiday season and lowest in December and at the beginning of the new year, following the U.S. holiday hiring season. Certain customers across various industries also historically increase their hiring throughout the second quarter of the year as winter concludes, commercial activity tied to outdoor activities increases, and the school year ends, giving rise to student and graduate hiring. We expect that further growth in e-commerce, the continued digital transformation of the economy, and other economic forces may impact future seasonality, but we are unable to predict these potential shifts and how our business may be impacted.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 of Sterling Check Corp.</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28, 2024, we entered into an Agreement and Plan of Merger (the “Merger Agreement”), by and among First Advantage, Sterling Check Corp., a Delaware corporation (“Sterling”), and Starter Merger Sub, Inc., a Delaware corporation and an indirect, wholly owned subsidiary of First Advantage (“Merger Sub”). The Merger Agreement provides that, upon the terms and subject to the conditions set forth therein, Merger Sub will be merged with and into Sterling, with Sterling continuing as the surviving corporation in such merger and becoming an indirect, wholly owned subsidiary of First Advantage. The cash-and-stock transaction (the “Acquisition”) valued Sterling at approximately $2.2 billion as of the date of the Merger Agreement.</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Acquisition is subject to satisfaction or waiver of customary closing conditions, including, among others, adoption of the Merger Agreement by Sterling stockholders, the expiration or termination of the waiting period under the Hart-Scott-Rodino Antitrust Improvement Act of 1976 (the “HSR Act”) and clearance under the antitrust and foreign direct investment laws of certain other jurisdictions, and the effectiveness of a registration statement on Form S-4 filed by First Advantage in connection with the Acquisition.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execution of the Merger Agreement, the Borrower, entered into a commitment letter with certain financial institutions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committed to provide, subject to the terms and conditions of the commitment letter, an incremental term loan in an aggregate principal amount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$1.820 billion and incremental revolving commitments in an aggregate principal amount of $150 million, in each case, under the Borrower’s existing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Such financial institutions also agreed to extend the maturity date of the Borrower’s revolving credit facility from July 31, 2026 to the date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the fifth anniversary of the closing date of the Acquisition.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Economic Conditions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Macroeconomic factors, including inflation, interest rates, recent declines in hiring activity and job openings, stability of the global banking system, global health crises, global supply chain constraints, and global economic and geopolitical developments, have negatively impacted significant portions of the global economy, and created volatility in the financial markets.</w:t>
      </w:r>
    </w:p>
    <w:p>
      <w:pPr>
        <w:spacing w:after="0" w:line="12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If the economic uncertainty is sustained or increases, we may experience a negative impact on new business, customer renewals and demand levels, sales and marketing efforts, revenues growth rates, customer deployments, customer collections, product development, or other financial metrics. Any of these factors could harm our business, financial condition, and operating results.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Despite the continuing uncertainty associated with these events, we are confident in the overall long-term health of our business, the strength of our product offerings, and our ability to continue to execute on our strategy and help our customers hire smarter and onboard faster. Our ability to deliver innovative products and solutions that enhance workplace safety and address compliance risks has contributed to the durability of our financial results. For additional information, see our “Risk Factors” and “Management’s Discussion and Analysis of Financial Condition and Results of Operations” included in the Company’s Annual Report on Form 10-K for the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Company derives revenues from a variety of background screening and adjacent products that cover all phases of the workforce lifecycle from pre-onboarding screening services to post-onboarding and ongoing monitoring services, covering employees, contractors, contingent workers, tenants, and drivers. We generally classify our products and solutions into three major categories: pre-onboarding, post-onboarding, and adjacent products, each of which is enabled by our technology, proprietary internal databases, and data analytics capabilities. Pre-onboarding products, which comprise the substantial majority of our revenues, span an extensive array of products that customers typically utilize to enhance their applicant evaluation process and help ensure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more productive, and more compliant. Adjacent products include products that complement our pre-onboarding and post-onboarding solutions such as fleet / vehicle compliance, hiring tax credits and incentives, resident / tenant screening, employment eligibility, and investigative research.</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 the following expenses related to our cost of revenues and operating expenses:</w:t>
      </w:r>
    </w:p>
    <w:p>
      <w:pPr>
        <w:spacing w:after="0" w:line="169" w:lineRule="exact"/>
        <w:rPr>
          <w:sz w:val="20"/>
          <w:szCs w:val="20"/>
          <w:color w:val="auto"/>
        </w:rPr>
      </w:pPr>
    </w:p>
    <w:p>
      <w:pPr>
        <w:ind w:left="740" w:right="40" w:hanging="223"/>
        <w:spacing w:after="0" w:line="255"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Services (exclusive of depreciation and amortization below)</w:t>
      </w:r>
      <w:r>
        <w:rPr>
          <w:rFonts w:ascii="Times New Roman" w:cs="Times New Roman" w:eastAsia="Times New Roman" w:hAnsi="Times New Roman"/>
          <w:sz w:val="18"/>
          <w:szCs w:val="18"/>
          <w:color w:val="auto"/>
        </w:rPr>
        <w:t>: Consists of amounts paid to third parties for access to government records,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third-party data and services, and our 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3" w:name="page24"/>
    <w:bookmarkEnd w:id="23"/>
    <w:p>
      <w:pPr>
        <w:ind w:left="740" w:right="160" w:hanging="223"/>
        <w:spacing w:after="0" w:line="256"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and Technology Expense</w:t>
      </w:r>
      <w:r>
        <w:rPr>
          <w:rFonts w:ascii="Times New Roman" w:cs="Times New Roman" w:eastAsia="Times New Roman" w:hAnsi="Times New Roman"/>
          <w:sz w:val="18"/>
          <w:szCs w:val="18"/>
          <w:color w:val="auto"/>
        </w:rPr>
        <w:t>: Consists of salaries and benefits of personnel involved in the maintenance of our technology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spacing w:after="0" w:line="74" w:lineRule="exact"/>
        <w:rPr>
          <w:rFonts w:ascii="Times New Roman" w:cs="Times New Roman" w:eastAsia="Times New Roman" w:hAnsi="Times New Roman"/>
          <w:sz w:val="18"/>
          <w:szCs w:val="18"/>
          <w:color w:val="auto"/>
        </w:rPr>
      </w:pPr>
    </w:p>
    <w:p>
      <w:pPr>
        <w:ind w:left="740" w:hanging="223"/>
        <w:spacing w:after="0" w:line="255"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Consists of sales, customer success, marketing, and general and administrative expenses.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success, and marketing expenses consist primarily of employee compensation such as salaries, bonuses, sales commissions, share-based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our IPO and our pending acquisition of Sterling. We expect our selling, general, and administrative expenses to increase in the short-term, primarily as a result of additional public company related reporting and compliance costs. Over the long-term, we expect our selling, general, and administrative expenses to decrease as a percentage of revenues as we leverage our past investments. We do not allocate depreciation and amortization to selling, general, and administrative expenses.</w:t>
      </w:r>
    </w:p>
    <w:p>
      <w:pPr>
        <w:spacing w:after="0" w:line="76" w:lineRule="exact"/>
        <w:rPr>
          <w:rFonts w:ascii="Times New Roman" w:cs="Times New Roman" w:eastAsia="Times New Roman" w:hAnsi="Times New Roman"/>
          <w:sz w:val="18"/>
          <w:szCs w:val="18"/>
          <w:color w:val="auto"/>
        </w:rPr>
      </w:pPr>
    </w:p>
    <w:p>
      <w:pPr>
        <w:ind w:left="740" w:right="260" w:hanging="223"/>
        <w:spacing w:after="0" w:line="267"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w:t>
      </w:r>
      <w:r>
        <w:rPr>
          <w:rFonts w:ascii="Times New Roman" w:cs="Times New Roman" w:eastAsia="Times New Roman" w:hAnsi="Times New Roman"/>
          <w:sz w:val="18"/>
          <w:szCs w:val="18"/>
          <w:color w:val="auto"/>
        </w:rPr>
        <w:t>n: Property and equipment consisting mainly of capitalized software costs, furniture, hardware, and leasehold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are depreciated or amortized and reflected as operating expenses. We also amortize the capitalized costs of finite-life intangible assets acquired in connection with business combinations.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 flexible cost structure that allows our business to adjust quickly to the impacts of macroeconomic events and scale to meet the needs of large new customers. Operating expenses are influenced by the amount of revenues, customer mix, and product mix that contribute to our revenues for any given period. As revenues grow, we would generally expect cost of services to grow in a similar fashion, albeit influenced by the effects of automation, productivity, and other efficiency initiatives as well as customer and product mix shifts and third-party pass-through costs. We regularly review expenses and investments in the context of revenues growth and any shifts we identify in the business in order to align with our overall financial objectives. While we expect operating expenses to increase in absolute dollars to support our continued growth, we believe that, in the long term, operating expenses as a percentage of total revenues will decline gradually in the future as our business grows and our operating efficiency and automation initiatives continue to advance.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other expense, net consists of interest expense, net. Interest expense, net relates primarily to our debt service costs, the interest-related unrealized gains and losses of our interest rate derivative instruments and, to a lesser extent, the interest on our capital lease obligations and the amortization of deferred financing costs. Additionally, interest expense, net includes interest income earnings on our cash and cash equivalent balances held in interest-bearing accounts. We also earn interest income on our short-term investments which are fixed-time deposits having a maturity date within twelve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information contained below should be read in conjunction with our accompanying historical condensed consolidated financial statements and the related notes.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three months ended March 31, 2024 compared to the three months ended March 31,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80" w:type="dxa"/>
            <w:vAlign w:val="bottom"/>
            <w:gridSpan w:val="6"/>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8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169,416</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175,520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 (exclusive of depreciation and amortization below)</w:t>
            </w:r>
          </w:p>
        </w:tc>
        <w:tc>
          <w:tcPr>
            <w:tcW w:w="480" w:type="dxa"/>
            <w:vAlign w:val="bottom"/>
          </w:tcPr>
          <w:p>
            <w:pPr>
              <w:spacing w:after="0"/>
              <w:rPr>
                <w:sz w:val="20"/>
                <w:szCs w:val="20"/>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87,192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91,061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12,466</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12,624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80" w:type="dxa"/>
            <w:vAlign w:val="bottom"/>
          </w:tcPr>
          <w:p>
            <w:pPr>
              <w:spacing w:after="0"/>
              <w:rPr>
                <w:sz w:val="20"/>
                <w:szCs w:val="20"/>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40,662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28,682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29,822</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31,866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170,142</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164,233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48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11,287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48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4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4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(1,388 )</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(2,908 )</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margin</w:t>
            </w: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4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441"/>
        </w:trPr>
        <w:tc>
          <w:tcPr>
            <w:tcW w:w="6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80" w:type="dxa"/>
            <w:vAlign w:val="bottom"/>
            <w:gridSpan w:val="6"/>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149,127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152,056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22,023</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24,848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4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(1,734 )</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169,416</w:t>
            </w:r>
          </w:p>
        </w:tc>
        <w:tc>
          <w:tcPr>
            <w:tcW w:w="1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175,520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-3093720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-2767965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-2134235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-1816735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$169.4 million for the three months ended March 31, 2024, compared to $175.5 million for the three months ended March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three months ended March 31, 2024 decreased by $6.1 million, or 3.5%, compared to the three months ended March 31, 2023.</w:t>
      </w:r>
    </w:p>
    <w:p>
      <w:pPr>
        <w:spacing w:after="0" w:line="15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decrease in revenues was primarily due to a net decrease of $17.8 million, or 10.2%, in existing customer revenues, primarily driven by reduced demand from our customers more impacted by the macroeconomic events, primarily in the International segment, and the impact of lost accounts. These consolidated decreases were partially offset by ongoing strength in upselling and cross-selling to existing customers, contributing $7.7 million, or 4.4%, of additional revenues, and increased revenues from certain existing customers that were impacted by macroeconomic conditions, to a lesser extent, as compared to other existing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existing customer revenues was offset by:</w:t>
      </w:r>
    </w:p>
    <w:p>
      <w:pPr>
        <w:spacing w:after="0" w:line="171" w:lineRule="exact"/>
        <w:rPr>
          <w:sz w:val="20"/>
          <w:szCs w:val="20"/>
          <w:color w:val="auto"/>
        </w:rPr>
      </w:pPr>
    </w:p>
    <w:p>
      <w:pPr>
        <w:ind w:left="740" w:hanging="223"/>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$8.9 million, or 5.1%, from new customers, primarily attributable to our Americas segment; and</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$2.8 million, or 1.6%, attributable to the Infinite ID acquisition in the Americas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remained relatively stable across all periods.</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1"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80" w:type="dxa"/>
            <w:vAlign w:val="bottom"/>
            <w:gridSpan w:val="5"/>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8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23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48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87,192</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91,061</w:t>
            </w:r>
          </w:p>
        </w:tc>
        <w:tc>
          <w:tcPr>
            <w:tcW w:w="60" w:type="dxa"/>
            <w:vAlign w:val="bottom"/>
          </w:tcPr>
          <w:p>
            <w:pPr>
              <w:spacing w:after="0"/>
              <w:rPr>
                <w:sz w:val="20"/>
                <w:szCs w:val="20"/>
                <w:color w:val="auto"/>
              </w:rPr>
            </w:pP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169,416</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175,520</w:t>
            </w:r>
          </w:p>
        </w:tc>
        <w:tc>
          <w:tcPr>
            <w:tcW w:w="60" w:type="dxa"/>
            <w:vAlign w:val="bottom"/>
          </w:tcPr>
          <w:p>
            <w:pPr>
              <w:spacing w:after="0"/>
              <w:rPr>
                <w:sz w:val="20"/>
                <w:szCs w:val="20"/>
                <w:color w:val="auto"/>
              </w:rPr>
            </w:pPr>
          </w:p>
        </w:tc>
      </w:tr>
      <w:tr>
        <w:trPr>
          <w:trHeight w:val="23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as a % of revenue</w:t>
            </w:r>
          </w:p>
        </w:tc>
        <w:tc>
          <w:tcPr>
            <w:tcW w:w="480" w:type="dxa"/>
            <w:vAlign w:val="bottom"/>
          </w:tcPr>
          <w:p>
            <w:pPr>
              <w:spacing w:after="0"/>
              <w:rPr>
                <w:sz w:val="20"/>
                <w:szCs w:val="20"/>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51.5 %</w:t>
            </w:r>
          </w:p>
        </w:tc>
        <w:tc>
          <w:tcPr>
            <w:tcW w:w="4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services was $87.2 million for the three months ended March 31, 2024, compared to $91.1 million for the three months ended March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services for the three months ended March 31, 2024 decreased by $3.9 million, or 4.2%, compared to the three months ended March 31,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cost of services was primarily due to:</w:t>
      </w:r>
    </w:p>
    <w:p>
      <w:pPr>
        <w:spacing w:after="0" w:line="171" w:lineRule="exact"/>
        <w:rPr>
          <w:sz w:val="20"/>
          <w:szCs w:val="20"/>
          <w:color w:val="auto"/>
        </w:rPr>
      </w:pPr>
    </w:p>
    <w:p>
      <w:pPr>
        <w:ind w:left="740" w:right="300" w:hanging="223"/>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million decrease in variable third-party data expenses as a result of decreased revenue volumes, variation in customer ordering mix, and increased automation; and</w:t>
      </w:r>
    </w:p>
    <w:p>
      <w:pPr>
        <w:spacing w:after="0" w:line="107" w:lineRule="exact"/>
        <w:rPr>
          <w:rFonts w:ascii="Times New Roman" w:cs="Times New Roman" w:eastAsia="Times New Roman" w:hAnsi="Times New Roman"/>
          <w:sz w:val="18"/>
          <w:szCs w:val="18"/>
          <w:color w:val="auto"/>
        </w:rPr>
      </w:pPr>
    </w:p>
    <w:p>
      <w:pPr>
        <w:ind w:left="740" w:right="580" w:hanging="223"/>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decrease in personnel expenses in our operations and customer care functions as a result of cost savings actions taken by the Company, as well as productivity efficiencies from the implementation of additional automation programs.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Cost of services as a percentage of revenues was 51.5% for the three months ended March 31, 2024, compared to 51.9% for the three months ended March 31, 2023. The cost of services percentage of revenues for the first quarter of 2024 was impacted by cost savings from the Company’s continued implementation of automation and other process efficiencies, as well as certain cost savings actions taken by the Company. These decreases were partially offset by slight increases in certain third-party data costs, primarily due to variation in customer ordering mix.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and Technology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52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80" w:type="dxa"/>
            <w:vAlign w:val="bottom"/>
            <w:tcBorders>
              <w:bottom w:val="single" w:sz="8" w:color="auto"/>
            </w:tcBorders>
          </w:tcPr>
          <w:p>
            <w:pPr>
              <w:spacing w:after="0"/>
              <w:rPr>
                <w:sz w:val="16"/>
                <w:szCs w:val="16"/>
                <w:color w:val="auto"/>
              </w:rPr>
            </w:pP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4"/>
                <w:szCs w:val="14"/>
                <w:color w:val="auto"/>
              </w:rPr>
            </w:pPr>
          </w:p>
        </w:tc>
      </w:tr>
      <w:tr>
        <w:trPr>
          <w:trHeight w:val="23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1300" w:type="dxa"/>
            <w:vAlign w:val="bottom"/>
            <w:shd w:val="clear" w:color="auto" w:fill="CFF0FC"/>
          </w:tcPr>
          <w:p>
            <w:pPr>
              <w:jc w:val="right"/>
              <w:ind w:right="112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12,466</w:t>
            </w:r>
          </w:p>
        </w:tc>
        <w:tc>
          <w:tcPr>
            <w:tcW w:w="1420" w:type="dxa"/>
            <w:vAlign w:val="bottom"/>
            <w:gridSpan w:val="2"/>
            <w:shd w:val="clear" w:color="auto" w:fill="CFF0FC"/>
          </w:tcPr>
          <w:p>
            <w:pPr>
              <w:jc w:val="right"/>
              <w:ind w:right="11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12,624</w:t>
            </w:r>
          </w:p>
        </w:tc>
      </w:tr>
    </w:tbl>
    <w:p>
      <w:pPr>
        <w:spacing w:after="0" w:line="14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Product and technology expense was $12.5 million for the three months ended March 31, 2024, compared to $12.6 million for the three months ended March 31, 2023. Product and technology expense for the three months ended March 31, 2024 decreased by $0.2 million, or 1.3%, compared to the three months ended March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and technology expense decreased primarily due to:</w:t>
      </w:r>
    </w:p>
    <w:p>
      <w:pPr>
        <w:spacing w:after="0" w:line="171" w:lineRule="exact"/>
        <w:rPr>
          <w:sz w:val="20"/>
          <w:szCs w:val="20"/>
          <w:color w:val="auto"/>
        </w:rPr>
      </w:pPr>
    </w:p>
    <w:p>
      <w:pPr>
        <w:ind w:left="780" w:hanging="263"/>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$0.7 million decrease in software licensing related expenses; and</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other corporate expenses that decreased primarily as a result of cost savings actions taken by the Company.</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decrease in product and technology expense was partially offset by $0.9 million increase in personnel expenses, primarily due to increased share-based compensation expense and additional investments made to enhance our product, solutions, and technology platforms.</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3" w:right="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52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80" w:type="dxa"/>
            <w:vAlign w:val="bottom"/>
            <w:tcBorders>
              <w:bottom w:val="single" w:sz="8" w:color="auto"/>
            </w:tcBorders>
          </w:tcPr>
          <w:p>
            <w:pPr>
              <w:spacing w:after="0"/>
              <w:rPr>
                <w:sz w:val="16"/>
                <w:szCs w:val="16"/>
                <w:color w:val="auto"/>
              </w:rPr>
            </w:pP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4"/>
                <w:szCs w:val="14"/>
                <w:color w:val="auto"/>
              </w:rPr>
            </w:pPr>
          </w:p>
        </w:tc>
      </w:tr>
      <w:tr>
        <w:trPr>
          <w:trHeight w:val="23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300" w:type="dxa"/>
            <w:vAlign w:val="bottom"/>
            <w:shd w:val="clear" w:color="auto" w:fill="CFF0FC"/>
          </w:tcPr>
          <w:p>
            <w:pPr>
              <w:jc w:val="right"/>
              <w:ind w:right="112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40,662</w:t>
            </w:r>
          </w:p>
        </w:tc>
        <w:tc>
          <w:tcPr>
            <w:tcW w:w="1420" w:type="dxa"/>
            <w:vAlign w:val="bottom"/>
            <w:gridSpan w:val="2"/>
            <w:shd w:val="clear" w:color="auto" w:fill="CFF0FC"/>
          </w:tcPr>
          <w:p>
            <w:pPr>
              <w:jc w:val="right"/>
              <w:ind w:right="11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28,682</w:t>
            </w:r>
          </w:p>
        </w:tc>
      </w:tr>
    </w:tbl>
    <w:p>
      <w:pPr>
        <w:spacing w:after="0" w:line="14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was $40.7 million for the three months ended March 31, 2024, compared to $28.7 million for the three months ended March 31, 2023. Selling, general, and administrative expense for the three months ended March 31, 2024 increased by $12.0 million, or 41.8%, compared to the three months ended March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 increased primarily due to:</w:t>
      </w:r>
    </w:p>
    <w:p>
      <w:pPr>
        <w:spacing w:after="0" w:line="171" w:lineRule="exact"/>
        <w:rPr>
          <w:sz w:val="20"/>
          <w:szCs w:val="20"/>
          <w:color w:val="auto"/>
        </w:rPr>
      </w:pPr>
    </w:p>
    <w:p>
      <w:pPr>
        <w:ind w:left="740" w:hanging="223"/>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$11.1 million increase in professional service and legal fees incurred related to the Company’s pending acquisition of Sterling;</w:t>
      </w:r>
    </w:p>
    <w:p>
      <w:pPr>
        <w:spacing w:after="0" w:line="117" w:lineRule="exact"/>
        <w:rPr>
          <w:rFonts w:ascii="Times New Roman" w:cs="Times New Roman" w:eastAsia="Times New Roman" w:hAnsi="Times New Roman"/>
          <w:sz w:val="18"/>
          <w:szCs w:val="18"/>
          <w:color w:val="auto"/>
        </w:rPr>
      </w:pPr>
    </w:p>
    <w:p>
      <w:pPr>
        <w:ind w:left="740" w:right="120" w:hanging="223"/>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 million increase in share-based compensation expense primarily as a result of a modification to the vesting terms of outstanding unvested and unearned performance-based equity awards in May 2023 and incremental awards granted; and</w:t>
      </w:r>
    </w:p>
    <w:p>
      <w:pPr>
        <w:spacing w:after="0" w:line="53"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increase in expenses related to litigation in the ordinary course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selling, general, and administrative expense was partially offset by:</w:t>
      </w:r>
    </w:p>
    <w:p>
      <w:pPr>
        <w:spacing w:after="0" w:line="171" w:lineRule="exact"/>
        <w:rPr>
          <w:sz w:val="20"/>
          <w:szCs w:val="20"/>
          <w:color w:val="auto"/>
        </w:rPr>
      </w:pPr>
    </w:p>
    <w:p>
      <w:pPr>
        <w:ind w:left="720" w:hanging="203"/>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decrease in personnel expenses due to certain cost savings actions taken by the Company in the second half of 2023; and</w:t>
      </w:r>
    </w:p>
    <w:p>
      <w:pPr>
        <w:spacing w:after="0" w:line="117" w:lineRule="exact"/>
        <w:rPr>
          <w:rFonts w:ascii="Times New Roman" w:cs="Times New Roman" w:eastAsia="Times New Roman" w:hAnsi="Times New Roman"/>
          <w:sz w:val="18"/>
          <w:szCs w:val="18"/>
          <w:color w:val="auto"/>
        </w:rPr>
      </w:pPr>
    </w:p>
    <w:p>
      <w:pPr>
        <w:ind w:left="720" w:right="140" w:hanging="203"/>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 million decrease in expenses related to the impairment of certain operating lease assets resulting from office space exited in 2023 that did not reoccur in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52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80" w:type="dxa"/>
            <w:vAlign w:val="bottom"/>
            <w:tcBorders>
              <w:bottom w:val="single" w:sz="8" w:color="auto"/>
            </w:tcBorders>
          </w:tcPr>
          <w:p>
            <w:pPr>
              <w:spacing w:after="0"/>
              <w:rPr>
                <w:sz w:val="16"/>
                <w:szCs w:val="16"/>
                <w:color w:val="auto"/>
              </w:rPr>
            </w:pP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4"/>
                <w:szCs w:val="14"/>
                <w:color w:val="auto"/>
              </w:rPr>
            </w:pPr>
          </w:p>
        </w:tc>
      </w:tr>
      <w:tr>
        <w:trPr>
          <w:trHeight w:val="23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shd w:val="clear" w:color="auto" w:fill="CFF0FC"/>
          </w:tcPr>
          <w:p>
            <w:pPr>
              <w:jc w:val="right"/>
              <w:ind w:right="11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29,822</w:t>
            </w:r>
          </w:p>
        </w:tc>
        <w:tc>
          <w:tcPr>
            <w:tcW w:w="1400" w:type="dxa"/>
            <w:vAlign w:val="bottom"/>
            <w:gridSpan w:val="2"/>
            <w:shd w:val="clear" w:color="auto" w:fill="CFF0FC"/>
          </w:tcPr>
          <w:p>
            <w:pPr>
              <w:jc w:val="right"/>
              <w:ind w:right="11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31,866</w:t>
            </w:r>
          </w:p>
        </w:tc>
      </w:tr>
    </w:tbl>
    <w:p>
      <w:pPr>
        <w:spacing w:after="0" w:line="14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Depreciation and amortization was $29.8 million for the three months ended March 31, 2024, compared to $31.9 million for the three months ended March 31, 2023. Depreciation and amortization for the three months ended March 31, 2024 decreased by $2.0 million, or 6.4%, compared to the three months ended March 31, 2023. This decrease was partially offset by increases in depreciation related to assets placed in service during the three months ended March 31,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560" w:type="dxa"/>
            <w:vAlign w:val="bottom"/>
            <w:tcBorders>
              <w:bottom w:val="single" w:sz="8" w:color="auto"/>
            </w:tcBorders>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4"/>
                <w:szCs w:val="14"/>
                <w:color w:val="auto"/>
              </w:rPr>
            </w:pPr>
          </w:p>
        </w:tc>
      </w:tr>
      <w:tr>
        <w:trPr>
          <w:trHeight w:val="23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360" w:type="dxa"/>
            <w:vAlign w:val="bottom"/>
            <w:shd w:val="clear" w:color="auto" w:fill="CFF0FC"/>
          </w:tcPr>
          <w:p>
            <w:pPr>
              <w:jc w:val="right"/>
              <w:ind w:right="118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3,570</w:t>
            </w:r>
          </w:p>
        </w:tc>
        <w:tc>
          <w:tcPr>
            <w:tcW w:w="146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8,681</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was $3.6 million for the three months ended March 31, 2024, compared to $8.7 million for the three months ended March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for the three months ended March 31, 2024 decreased by $5.1 million or 58.9%, compared to the three months ended March 31, 2023.</w:t>
      </w:r>
    </w:p>
    <w:p>
      <w:pPr>
        <w:spacing w:after="0" w:line="15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net was primarily attributable to $7.0 million of unrealized gains on the interest rate swaps as a result of the increased interest rate volatility observed in the first quarter of 2024. This decrease was offset by higher interest expense on the First Lien Credit Facility as a result of increasing interest rates and lower interest income earned on cash held within interest bearing accounts as a result of lower cash on hand.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4"/>
          </w:tcPr>
          <w:p>
            <w:pPr>
              <w:jc w:val="right"/>
              <w:ind w:right="11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(1,388 )  $</w:t>
            </w:r>
          </w:p>
        </w:tc>
        <w:tc>
          <w:tcPr>
            <w:tcW w:w="1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681</w:t>
            </w:r>
          </w:p>
        </w:tc>
      </w:tr>
    </w:tbl>
    <w:p>
      <w:pPr>
        <w:spacing w:after="0" w:line="14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(benefit) provision for income taxes was $(1.4) million for the three months ended March 31, 2024, compared to $0.7 million for the three months ended March 31, 2023. Our provision for income taxes for the three months ended March 31, 2024 decreased by $2.1 million, compared to the three months ended March 31, 2023.</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decrease in our provision for income taxes was primarily due to the decrease of income before income taxes during the three months ended March 31, 2024, as compared to the three months ended March 31,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and Net (Loss) Income Margin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80" w:type="dxa"/>
            <w:vAlign w:val="bottom"/>
            <w:gridSpan w:val="5"/>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8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23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(2,908 )  $</w:t>
            </w:r>
          </w:p>
        </w:tc>
        <w:tc>
          <w:tcPr>
            <w:tcW w:w="16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1,925</w:t>
            </w:r>
          </w:p>
        </w:tc>
        <w:tc>
          <w:tcPr>
            <w:tcW w:w="60" w:type="dxa"/>
            <w:vAlign w:val="bottom"/>
          </w:tcPr>
          <w:p>
            <w:pPr>
              <w:spacing w:after="0"/>
              <w:rPr>
                <w:sz w:val="20"/>
                <w:szCs w:val="20"/>
                <w:color w:val="auto"/>
              </w:rPr>
            </w:pP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margin</w:t>
            </w:r>
          </w:p>
        </w:tc>
        <w:tc>
          <w:tcPr>
            <w:tcW w:w="480" w:type="dxa"/>
            <w:vAlign w:val="bottom"/>
          </w:tcPr>
          <w:p>
            <w:pPr>
              <w:spacing w:after="0"/>
              <w:rPr>
                <w:sz w:val="20"/>
                <w:szCs w:val="20"/>
                <w:color w:val="auto"/>
              </w:rPr>
            </w:pPr>
          </w:p>
        </w:tc>
        <w:tc>
          <w:tcPr>
            <w:tcW w:w="22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(1.7 )%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was $(2.9) million for the three months ended March 31, 2024, compared to $1.9 million for the three months ended March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for the three months ended March 31, 2024 decreased by $4.8 million compared to the three months ended March 31, 2023.</w:t>
      </w:r>
    </w:p>
    <w:p>
      <w:pPr>
        <w:spacing w:after="0" w:line="15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(loss) income margin was (1.7)% for the three months ended March 31, 2024 compared to 1.1% for the three months ended March 31, 2023, as increases in selling, general, and administrative expenses, as a result of the Company’s pending acquisition of Sterling and reduced demand from customers more impacted by macroeconomic events, contributed to lower profitability.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75"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7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Management believes that Adjusted EBITDA is a strong indicator of our overall operating performance and is useful to management and investors as a measure of comparative operating performance from period to period. We define Adjusted EBITDA as net (loss)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Adjusted EBITDA was $46.6 million for the three months ended March 31, 2024 and represented an Adjusted EBITDA Margin of 27.5%. Adjusted EBITDA was $48.6 million for the three months ended March 31, 2023 and represented an Adjusted EBITDA Margin of 27.7%. Adjusted EBITDA for the three months ended March 31, 2024 decreased by $2.0 million, or 4.1%, compared to the three months ended March 31, 2023.</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3" w:right="279" w:bottom="1440" w:gutter="0" w:footer="0" w:header="0"/>
        </w:sectPr>
      </w:pPr>
    </w:p>
    <w:bookmarkStart w:id="28" w:name="page29"/>
    <w:bookmarkEnd w:id="28"/>
    <w:p>
      <w:pPr>
        <w:ind w:right="120"/>
        <w:spacing w:after="0" w:line="289" w:lineRule="auto"/>
        <w:rPr>
          <w:sz w:val="20"/>
          <w:szCs w:val="20"/>
          <w:color w:val="auto"/>
        </w:rPr>
      </w:pPr>
      <w:r>
        <w:rPr>
          <w:rFonts w:ascii="Times New Roman" w:cs="Times New Roman" w:eastAsia="Times New Roman" w:hAnsi="Times New Roman"/>
          <w:sz w:val="17"/>
          <w:szCs w:val="17"/>
          <w:color w:val="auto"/>
        </w:rPr>
        <w:t>Adjusted EBITDA declined during the three months ended March 31, 2024, as macroeconomic events impacted our revenues attributed to existing customers. These decreases were partially offset by increased revenues from certain existing and new customers, including ongoing strength in upselling and cross-selling, cost structure benefits due to increased automation, operational efficiencies, and certain other cost savings actions taken by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4"/>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(2,908 )</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1,925</w:t>
            </w:r>
          </w:p>
        </w:tc>
      </w:tr>
      <w:tr>
        <w:trPr>
          <w:trHeight w:val="23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Pr>
          <w:p>
            <w:pPr>
              <w:spacing w:after="0"/>
              <w:rPr>
                <w:sz w:val="20"/>
                <w:szCs w:val="20"/>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8,681</w:t>
            </w:r>
          </w:p>
        </w:tc>
      </w:tr>
      <w:tr>
        <w:trPr>
          <w:trHeight w:val="24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(1,388 )</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681</w:t>
            </w:r>
          </w:p>
        </w:tc>
      </w:tr>
      <w:tr>
        <w:trPr>
          <w:trHeight w:val="23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20"/>
                <w:szCs w:val="20"/>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29,822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31,866</w:t>
            </w:r>
          </w:p>
        </w:tc>
      </w:tr>
      <w:tr>
        <w:trPr>
          <w:trHeight w:val="247"/>
        </w:trPr>
        <w:tc>
          <w:tcPr>
            <w:tcW w:w="694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(a)</w:t>
            </w: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2,058</w:t>
            </w:r>
          </w:p>
        </w:tc>
      </w:tr>
      <w:tr>
        <w:trPr>
          <w:trHeight w:val="243"/>
        </w:trPr>
        <w:tc>
          <w:tcPr>
            <w:tcW w:w="69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(b)</w:t>
            </w:r>
          </w:p>
        </w:tc>
        <w:tc>
          <w:tcPr>
            <w:tcW w:w="48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1,071</w:t>
            </w:r>
          </w:p>
        </w:tc>
      </w:tr>
      <w:tr>
        <w:trPr>
          <w:trHeight w:val="243"/>
        </w:trPr>
        <w:tc>
          <w:tcPr>
            <w:tcW w:w="694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(c)</w:t>
            </w:r>
          </w:p>
        </w:tc>
        <w:tc>
          <w:tcPr>
            <w:tcW w:w="4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2,278</w:t>
            </w:r>
          </w:p>
        </w:tc>
      </w:tr>
      <w:tr>
        <w:trPr>
          <w:trHeight w:val="23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46,558</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48,560</w:t>
            </w:r>
          </w:p>
        </w:tc>
      </w:tr>
      <w:tr>
        <w:trPr>
          <w:trHeight w:val="20"/>
        </w:trPr>
        <w:tc>
          <w:tcPr>
            <w:tcW w:w="69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-187960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240" w:right="500" w:hanging="232"/>
        <w:spacing w:after="0" w:line="233"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for the three months ended March 31, 2024, includes approximately $2.6 million of incrementally recognized expense associated with the May 2023 vesting modification. See Note 10 to the condensed consolidated financial statements included elsewhere in this Quarterly Report on Form 10-Q for further information.</w:t>
      </w:r>
    </w:p>
    <w:p>
      <w:pPr>
        <w:ind w:left="240" w:right="220" w:hanging="232"/>
        <w:spacing w:after="0" w:line="221"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three months ended March 31, 2024 includes approximately $11.1 million of expense associated with the pending acquisition of Sterling, primarily consisting of legal, regulatory, and diligence professional service fees. The three months ended March 31, 2024 and 2023 also include insurance costs incurred related to the initial public offering.</w:t>
      </w:r>
    </w:p>
    <w:p>
      <w:pPr>
        <w:spacing w:after="0" w:line="1" w:lineRule="exact"/>
        <w:rPr>
          <w:rFonts w:ascii="Times New Roman" w:cs="Times New Roman" w:eastAsia="Times New Roman" w:hAnsi="Times New Roman"/>
          <w:sz w:val="14"/>
          <w:szCs w:val="14"/>
          <w:color w:val="auto"/>
        </w:rPr>
      </w:pPr>
    </w:p>
    <w:p>
      <w:pPr>
        <w:ind w:left="240" w:right="180" w:hanging="232"/>
        <w:spacing w:after="0" w:line="239"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and (gains) losses on the sale of assets.</w:t>
      </w:r>
    </w:p>
    <w:p>
      <w:pPr>
        <w:spacing w:after="0" w:line="1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define Adjusted EBITDA Margin as Adjusted EBITDA divided by total revenues. The following table presents the calculation of Adjusted EBITDA Margin for the periods presented.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00" w:type="dxa"/>
            <w:vAlign w:val="bottom"/>
            <w:gridSpan w:val="5"/>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8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46,558</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48,560</w:t>
            </w:r>
          </w:p>
        </w:tc>
        <w:tc>
          <w:tcPr>
            <w:tcW w:w="80" w:type="dxa"/>
            <w:vAlign w:val="bottom"/>
          </w:tcPr>
          <w:p>
            <w:pPr>
              <w:spacing w:after="0"/>
              <w:rPr>
                <w:sz w:val="20"/>
                <w:szCs w:val="20"/>
                <w:color w:val="auto"/>
              </w:rPr>
            </w:pP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tcPr>
          <w:p>
            <w:pPr>
              <w:spacing w:after="0"/>
              <w:rPr>
                <w:sz w:val="20"/>
                <w:szCs w:val="20"/>
                <w:color w:val="auto"/>
              </w:rPr>
            </w:pPr>
          </w:p>
        </w:tc>
        <w:tc>
          <w:tcPr>
            <w:tcW w:w="16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169,416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175,520</w:t>
            </w:r>
          </w:p>
        </w:tc>
        <w:tc>
          <w:tcPr>
            <w:tcW w:w="80" w:type="dxa"/>
            <w:vAlign w:val="bottom"/>
          </w:tcPr>
          <w:p>
            <w:pPr>
              <w:spacing w:after="0"/>
              <w:rPr>
                <w:sz w:val="20"/>
                <w:szCs w:val="20"/>
                <w:color w:val="auto"/>
              </w:rPr>
            </w:pPr>
          </w:p>
        </w:tc>
      </w:tr>
      <w:tr>
        <w:trPr>
          <w:trHeight w:val="23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48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27.5 %</w:t>
            </w:r>
          </w:p>
        </w:tc>
        <w:tc>
          <w:tcPr>
            <w:tcW w:w="48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calculation of Adjusted EBITDA by segment for the periods presented. See Note 15, “Reportable Segments” to the condensed consolidated financial statements for a reconciliation of Adjusted EBITDA for the periods presented by segment.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00" w:type="dxa"/>
            <w:vAlign w:val="bottom"/>
            <w:gridSpan w:val="5"/>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8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694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(1)</w:t>
            </w:r>
          </w:p>
        </w:tc>
        <w:tc>
          <w:tcPr>
            <w:tcW w:w="48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43,669</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44,656</w:t>
            </w:r>
          </w:p>
        </w:tc>
        <w:tc>
          <w:tcPr>
            <w:tcW w:w="80" w:type="dxa"/>
            <w:vAlign w:val="bottom"/>
          </w:tcPr>
          <w:p>
            <w:pPr>
              <w:spacing w:after="0"/>
              <w:rPr>
                <w:sz w:val="20"/>
                <w:szCs w:val="20"/>
                <w:color w:val="auto"/>
              </w:rPr>
            </w:pPr>
          </w:p>
        </w:tc>
      </w:tr>
      <w:tr>
        <w:trPr>
          <w:trHeight w:val="247"/>
        </w:trPr>
        <w:tc>
          <w:tcPr>
            <w:tcW w:w="6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4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3,904</w:t>
            </w:r>
          </w:p>
        </w:tc>
        <w:tc>
          <w:tcPr>
            <w:tcW w:w="80" w:type="dxa"/>
            <w:vAlign w:val="bottom"/>
          </w:tcPr>
          <w:p>
            <w:pPr>
              <w:spacing w:after="0"/>
              <w:rPr>
                <w:sz w:val="21"/>
                <w:szCs w:val="21"/>
                <w:color w:val="auto"/>
              </w:rPr>
            </w:pPr>
          </w:p>
        </w:tc>
      </w:tr>
      <w:tr>
        <w:trPr>
          <w:trHeight w:val="23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46,558</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48,560</w:t>
            </w:r>
          </w:p>
        </w:tc>
        <w:tc>
          <w:tcPr>
            <w:tcW w:w="8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6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149,127</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152,056</w:t>
            </w:r>
          </w:p>
        </w:tc>
        <w:tc>
          <w:tcPr>
            <w:tcW w:w="80" w:type="dxa"/>
            <w:vAlign w:val="bottom"/>
          </w:tcPr>
          <w:p>
            <w:pPr>
              <w:spacing w:after="0"/>
              <w:rPr>
                <w:sz w:val="21"/>
                <w:szCs w:val="21"/>
                <w:color w:val="auto"/>
              </w:rPr>
            </w:pPr>
          </w:p>
        </w:tc>
      </w:tr>
      <w:tr>
        <w:trPr>
          <w:trHeight w:val="239"/>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480" w:type="dxa"/>
            <w:vAlign w:val="bottom"/>
          </w:tcPr>
          <w:p>
            <w:pPr>
              <w:spacing w:after="0"/>
              <w:rPr>
                <w:sz w:val="20"/>
                <w:szCs w:val="20"/>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22,023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24,848</w:t>
            </w:r>
          </w:p>
        </w:tc>
        <w:tc>
          <w:tcPr>
            <w:tcW w:w="80" w:type="dxa"/>
            <w:vAlign w:val="bottom"/>
          </w:tcPr>
          <w:p>
            <w:pPr>
              <w:spacing w:after="0"/>
              <w:rPr>
                <w:sz w:val="20"/>
                <w:szCs w:val="20"/>
                <w:color w:val="auto"/>
              </w:rPr>
            </w:pPr>
          </w:p>
        </w:tc>
      </w:tr>
      <w:tr>
        <w:trPr>
          <w:trHeight w:val="247"/>
        </w:trPr>
        <w:tc>
          <w:tcPr>
            <w:tcW w:w="6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intersegment eliminations</w:t>
            </w:r>
          </w:p>
        </w:tc>
        <w:tc>
          <w:tcPr>
            <w:tcW w:w="4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(1,734 )</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(1,384 )</w:t>
            </w:r>
          </w:p>
        </w:tc>
        <w:tc>
          <w:tcPr>
            <w:tcW w:w="80" w:type="dxa"/>
            <w:vAlign w:val="bottom"/>
          </w:tcPr>
          <w:p>
            <w:pPr>
              <w:spacing w:after="0"/>
              <w:rPr>
                <w:sz w:val="21"/>
                <w:szCs w:val="21"/>
                <w:color w:val="auto"/>
              </w:rPr>
            </w:pPr>
          </w:p>
        </w:tc>
      </w:tr>
      <w:tr>
        <w:trPr>
          <w:trHeight w:val="23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169,416</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175,520</w:t>
            </w:r>
          </w:p>
        </w:tc>
        <w:tc>
          <w:tcPr>
            <w:tcW w:w="8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6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4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29.3 %</w:t>
            </w:r>
          </w:p>
        </w:tc>
        <w:tc>
          <w:tcPr>
            <w:tcW w:w="48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29.4 %</w:t>
            </w:r>
          </w:p>
        </w:tc>
      </w:tr>
      <w:tr>
        <w:trPr>
          <w:trHeight w:val="243"/>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480" w:type="dxa"/>
            <w:vAlign w:val="bottom"/>
          </w:tcPr>
          <w:p>
            <w:pPr>
              <w:spacing w:after="0"/>
              <w:rPr>
                <w:sz w:val="21"/>
                <w:szCs w:val="21"/>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13.1 %</w:t>
            </w:r>
          </w:p>
        </w:tc>
        <w:tc>
          <w:tcPr>
            <w:tcW w:w="48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15.7 %</w:t>
            </w: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48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27.5 %</w:t>
            </w:r>
          </w:p>
        </w:tc>
        <w:tc>
          <w:tcPr>
            <w:tcW w:w="48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-1910715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-951230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240" w:right="320" w:hanging="232"/>
        <w:spacing w:after="0" w:line="261"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reconciliation of net (loss) income to Adjusted EBITDA above. Segment Adjusted EBITDA margins are calculated using segment gross revenues and segment Adjusted EBITDA. Consolidated Adjusted EBITDA margin is calculated using consolidated revenues and consolidated Adjusted EBITDA.</w:t>
      </w:r>
    </w:p>
    <w:p>
      <w:pPr>
        <w:spacing w:after="0" w:line="1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47"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(loss)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p>
    <w:p>
      <w:pPr>
        <w:spacing w:after="0" w:line="13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Adjusted Net Income was $24.8 million for the three months ended March 31, 2024, compared to $28.4 million for the three months ended March 31, 2023. Adjusted Net Income for the three months ended March 31, 2024 decreased by $3.6 million, or 12.6% compared to the three months ended March 31, 2023.</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Adjusted Diluted Earnings Per Share was $0.17 for the three months ended March 31, 2024, compared to $0.19 for the three months ended March 31, 2023. Adjusted Diluted Earnings Per Share for the three months ended March 31, 2024 decreased by $0.02, or 10.5% compared to the three months ended March 31, 2023.</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Adjusted Net Income and Adjusted Diluted Earnings Per Share declined during the three months ended March 31, 2024 as reduced demand from customers more impacted by macroeconomic events contributed to lower revenues and profitability. Adjusted Net Income and Adjusted Diluted Earnings Per Share were further impacted by changes in acquisition-related depreciation and amortization and changes in our capital structure that are captured in interest expense. Gains or losses and actual cash payments and receipts on the Company’s interest rate swaps impact the comparability of Adjusted Net Income and Adjusted Diluted Earnings Per Share across historical periods. Adjusted Diluted Earnings Per Share is further impacted by shares repurchased under the Company’s Repurchase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Net Income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4"/>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7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(2,908 )</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1,925</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3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(1,388 )</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681</w:t>
            </w:r>
          </w:p>
        </w:tc>
      </w:tr>
      <w:tr>
        <w:trPr>
          <w:trHeight w:val="23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2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(4,296 )</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2,606</w:t>
            </w:r>
          </w:p>
        </w:tc>
      </w:tr>
      <w:tr>
        <w:trPr>
          <w:trHeight w:val="243"/>
        </w:trPr>
        <w:tc>
          <w:tcPr>
            <w:tcW w:w="46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Debt-related charges</w:t>
            </w:r>
            <w:r>
              <w:rPr>
                <w:rFonts w:ascii="Times New Roman" w:cs="Times New Roman" w:eastAsia="Times New Roman" w:hAnsi="Times New Roman"/>
                <w:sz w:val="24"/>
                <w:szCs w:val="24"/>
                <w:color w:val="auto"/>
                <w:vertAlign w:val="superscript"/>
              </w:rPr>
              <w:t>(a)</w:t>
            </w:r>
          </w:p>
        </w:tc>
        <w:tc>
          <w:tcPr>
            <w:tcW w:w="2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4,468</w:t>
            </w:r>
          </w:p>
        </w:tc>
      </w:tr>
      <w:tr>
        <w:trPr>
          <w:trHeight w:val="243"/>
        </w:trPr>
        <w:tc>
          <w:tcPr>
            <w:tcW w:w="46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Acquisition-related depreciation and amortization</w:t>
            </w:r>
            <w:r>
              <w:rPr>
                <w:rFonts w:ascii="Times New Roman" w:cs="Times New Roman" w:eastAsia="Times New Roman" w:hAnsi="Times New Roman"/>
                <w:sz w:val="24"/>
                <w:szCs w:val="24"/>
                <w:color w:val="auto"/>
                <w:vertAlign w:val="superscript"/>
              </w:rPr>
              <w:t>(b)</w:t>
            </w:r>
          </w:p>
        </w:tc>
        <w:tc>
          <w:tcPr>
            <w:tcW w:w="2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25,485</w:t>
            </w:r>
          </w:p>
        </w:tc>
      </w:tr>
      <w:tr>
        <w:trPr>
          <w:trHeight w:val="243"/>
        </w:trPr>
        <w:tc>
          <w:tcPr>
            <w:tcW w:w="46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(c)</w:t>
            </w:r>
          </w:p>
        </w:tc>
        <w:tc>
          <w:tcPr>
            <w:tcW w:w="2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2,058</w:t>
            </w:r>
          </w:p>
        </w:tc>
      </w:tr>
      <w:tr>
        <w:trPr>
          <w:trHeight w:val="243"/>
        </w:trPr>
        <w:tc>
          <w:tcPr>
            <w:tcW w:w="46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(d)</w:t>
            </w:r>
          </w:p>
        </w:tc>
        <w:tc>
          <w:tcPr>
            <w:tcW w:w="2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11,992</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1,071</w:t>
            </w:r>
          </w:p>
        </w:tc>
      </w:tr>
      <w:tr>
        <w:trPr>
          <w:trHeight w:val="243"/>
        </w:trPr>
        <w:tc>
          <w:tcPr>
            <w:tcW w:w="46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(e)</w:t>
            </w:r>
          </w:p>
        </w:tc>
        <w:tc>
          <w:tcPr>
            <w:tcW w:w="23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2,278</w:t>
            </w:r>
          </w:p>
        </w:tc>
      </w:tr>
      <w:tr>
        <w:trPr>
          <w:trHeight w:val="23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 effect</w:t>
            </w:r>
          </w:p>
        </w:tc>
        <w:tc>
          <w:tcPr>
            <w:tcW w:w="2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32,777</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37,966</w:t>
            </w:r>
          </w:p>
        </w:tc>
      </w:tr>
      <w:tr>
        <w:trPr>
          <w:trHeight w:val="243"/>
        </w:trPr>
        <w:tc>
          <w:tcPr>
            <w:tcW w:w="46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Less: Adjusted income taxes</w:t>
            </w:r>
            <w:r>
              <w:rPr>
                <w:rFonts w:ascii="Times New Roman" w:cs="Times New Roman" w:eastAsia="Times New Roman" w:hAnsi="Times New Roman"/>
                <w:sz w:val="24"/>
                <w:szCs w:val="24"/>
                <w:color w:val="auto"/>
                <w:vertAlign w:val="superscript"/>
              </w:rPr>
              <w:t>(f)</w:t>
            </w:r>
          </w:p>
        </w:tc>
        <w:tc>
          <w:tcPr>
            <w:tcW w:w="23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7,991</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9,602</w:t>
            </w:r>
          </w:p>
        </w:tc>
      </w:tr>
      <w:tr>
        <w:trPr>
          <w:trHeight w:val="27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7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24,786</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28,364</w:t>
            </w:r>
          </w:p>
        </w:tc>
      </w:tr>
      <w:tr>
        <w:trPr>
          <w:trHeight w:val="413"/>
        </w:trPr>
        <w:tc>
          <w:tcPr>
            <w:tcW w:w="4640" w:type="dxa"/>
            <w:vAlign w:val="bottom"/>
            <w:tcBorders>
              <w:top w:val="single" w:sz="8" w:color="CFF0FC"/>
            </w:tcBorders>
          </w:tcPr>
          <w:p>
            <w:pPr>
              <w:spacing w:after="0"/>
              <w:rPr>
                <w:sz w:val="24"/>
                <w:szCs w:val="24"/>
                <w:color w:val="auto"/>
              </w:rPr>
            </w:pPr>
          </w:p>
        </w:tc>
        <w:tc>
          <w:tcPr>
            <w:tcW w:w="2300" w:type="dxa"/>
            <w:vAlign w:val="bottom"/>
            <w:tcBorders>
              <w:top w:val="single" w:sz="8" w:color="CFF0FC"/>
            </w:tcBorders>
          </w:tcPr>
          <w:p>
            <w:pPr>
              <w:jc w:val="right"/>
              <w:ind w:right="1130"/>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-796290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-779780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Adjusted Diluted Earnings Per Share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4"/>
          </w:tcPr>
          <w:p>
            <w:pPr>
              <w:jc w:val="right"/>
              <w:ind w:right="11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69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 (GAAP)</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4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Net Income adjustments per share</w:t>
            </w: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43"/>
        </w:trPr>
        <w:tc>
          <w:tcPr>
            <w:tcW w:w="69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Debt-related charges</w:t>
            </w:r>
            <w:r>
              <w:rPr>
                <w:rFonts w:ascii="Times New Roman" w:cs="Times New Roman" w:eastAsia="Times New Roman" w:hAnsi="Times New Roman"/>
                <w:sz w:val="24"/>
                <w:szCs w:val="24"/>
                <w:color w:val="auto"/>
                <w:vertAlign w:val="superscript"/>
              </w:rPr>
              <w:t>(a)</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3"/>
        </w:trPr>
        <w:tc>
          <w:tcPr>
            <w:tcW w:w="694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Acquisition-related depreciation and amortization</w:t>
            </w:r>
            <w:r>
              <w:rPr>
                <w:rFonts w:ascii="Times New Roman" w:cs="Times New Roman" w:eastAsia="Times New Roman" w:hAnsi="Times New Roman"/>
                <w:sz w:val="24"/>
                <w:szCs w:val="24"/>
                <w:color w:val="auto"/>
                <w:vertAlign w:val="superscript"/>
              </w:rPr>
              <w:t>(b)</w:t>
            </w: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43"/>
        </w:trPr>
        <w:tc>
          <w:tcPr>
            <w:tcW w:w="69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(c)</w:t>
            </w:r>
          </w:p>
        </w:tc>
        <w:tc>
          <w:tcPr>
            <w:tcW w:w="48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43"/>
        </w:trPr>
        <w:tc>
          <w:tcPr>
            <w:tcW w:w="694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(d)</w:t>
            </w: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43"/>
        </w:trPr>
        <w:tc>
          <w:tcPr>
            <w:tcW w:w="69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(e)</w:t>
            </w:r>
          </w:p>
        </w:tc>
        <w:tc>
          <w:tcPr>
            <w:tcW w:w="48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3"/>
        </w:trPr>
        <w:tc>
          <w:tcPr>
            <w:tcW w:w="6940" w:type="dxa"/>
            <w:vAlign w:val="bottom"/>
            <w:tcBorders>
              <w:bottom w:val="single" w:sz="8" w:color="CFF0FC"/>
            </w:tcBorders>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Adjusted income taxes</w:t>
            </w:r>
            <w:r>
              <w:rPr>
                <w:rFonts w:ascii="Times New Roman" w:cs="Times New Roman" w:eastAsia="Times New Roman" w:hAnsi="Times New Roman"/>
                <w:sz w:val="24"/>
                <w:szCs w:val="24"/>
                <w:color w:val="auto"/>
                <w:vertAlign w:val="superscript"/>
              </w:rPr>
              <w:t>(f)</w:t>
            </w:r>
          </w:p>
        </w:tc>
        <w:tc>
          <w:tcPr>
            <w:tcW w:w="4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0" w:type="dxa"/>
            <w:vAlign w:val="bottom"/>
          </w:tcPr>
          <w:p>
            <w:pPr>
              <w:spacing w:after="0"/>
              <w:rPr>
                <w:sz w:val="1"/>
                <w:szCs w:val="1"/>
                <w:color w:val="auto"/>
              </w:rPr>
            </w:pPr>
          </w:p>
        </w:tc>
      </w:tr>
      <w:tr>
        <w:trPr>
          <w:trHeight w:val="237"/>
        </w:trPr>
        <w:tc>
          <w:tcPr>
            <w:tcW w:w="69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Adjusted Diluted Earnings Per Share (Non-GAAP)</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0.17</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0.19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used in computation of Adjusted Diluted</w:t>
            </w: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number of shares outstanding—diluted (GAAP)</w:t>
            </w: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143,591,713</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147,031,866</w:t>
            </w:r>
          </w:p>
        </w:tc>
        <w:tc>
          <w:tcPr>
            <w:tcW w:w="0" w:type="dxa"/>
            <w:vAlign w:val="bottom"/>
          </w:tcPr>
          <w:p>
            <w:pPr>
              <w:spacing w:after="0"/>
              <w:rPr>
                <w:sz w:val="1"/>
                <w:szCs w:val="1"/>
                <w:color w:val="auto"/>
              </w:rPr>
            </w:pPr>
          </w:p>
        </w:tc>
      </w:tr>
      <w:tr>
        <w:trPr>
          <w:trHeight w:val="211"/>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and restricted stock not included in weighted average number of shares</w:t>
            </w:r>
          </w:p>
        </w:tc>
        <w:tc>
          <w:tcPr>
            <w:tcW w:w="480" w:type="dxa"/>
            <w:vAlign w:val="bottom"/>
          </w:tcPr>
          <w:p>
            <w:pPr>
              <w:spacing w:after="0"/>
              <w:rPr>
                <w:sz w:val="18"/>
                <w:szCs w:val="18"/>
                <w:color w:val="auto"/>
              </w:rPr>
            </w:pPr>
          </w:p>
        </w:tc>
        <w:tc>
          <w:tcPr>
            <w:tcW w:w="16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2,110,928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outstanding—diluted (GAAP) (using treasury stock method)</w:t>
            </w:r>
          </w:p>
        </w:tc>
        <w:tc>
          <w:tcPr>
            <w:tcW w:w="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Adjusted weighted average number of shares outstanding—diluted (Non-GAAP)</w:t>
            </w:r>
          </w:p>
        </w:tc>
        <w:tc>
          <w:tcPr>
            <w:tcW w:w="480" w:type="dxa"/>
            <w:vAlign w:val="bottom"/>
            <w:tcBorders>
              <w:bottom w:val="single" w:sz="8" w:color="auto"/>
            </w:tcBorders>
            <w:shd w:val="clear" w:color="auto" w:fill="CFF0FC"/>
          </w:tcPr>
          <w:p>
            <w:pPr>
              <w:spacing w:after="0"/>
              <w:rPr>
                <w:sz w:val="23"/>
                <w:szCs w:val="23"/>
                <w:color w:val="auto"/>
              </w:rPr>
            </w:pPr>
          </w:p>
        </w:tc>
        <w:tc>
          <w:tcPr>
            <w:tcW w:w="16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145,702,641</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spacing w:after="0"/>
              <w:rPr>
                <w:sz w:val="23"/>
                <w:szCs w:val="23"/>
                <w:color w:val="auto"/>
              </w:rPr>
            </w:pPr>
          </w:p>
        </w:tc>
        <w:tc>
          <w:tcPr>
            <w:tcW w:w="1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147,031,866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-1259205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240" w:right="60" w:hanging="232"/>
        <w:spacing w:after="0" w:line="229" w:lineRule="auto"/>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non-cash interest expense related to the amortization of debt issuance costs for the 2021 February refinancing of the Company’s First Lien Credit Facility (as defined below). This adjustment also includes the impact of the change in fair value of interest rate swaps, which represents the difference between the fair value gains or losses and actual cash payments and receipts on the interest rate swaps.</w:t>
      </w:r>
    </w:p>
    <w:p>
      <w:pPr>
        <w:ind w:left="240" w:right="140" w:hanging="232"/>
        <w:spacing w:after="0" w:line="221" w:lineRule="auto"/>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depreciation and amortization expense related to intangible assets and developed technology assets recorded due to the application of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As a result, the purchase accounting related depreciation and amortization expense will recur in future periods until the related assets are fully depreciated or amortized, and the related purchase accounting assets may contribute to revenue generation.</w:t>
      </w:r>
    </w:p>
    <w:p>
      <w:pPr>
        <w:ind w:left="240" w:right="420" w:hanging="232"/>
        <w:spacing w:after="0" w:line="221" w:lineRule="auto"/>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for the three months ended March 31, 2024, includes approximately $2.6 million of incrementally recognized expense associated with the May 2023 vesting modification. See Note 10 to the condensed consolidated financial statements included elsewhere in this Quarterly Report on Form 10-Q for further information.</w:t>
      </w:r>
    </w:p>
    <w:p>
      <w:pPr>
        <w:ind w:left="240" w:right="140" w:hanging="232"/>
        <w:spacing w:after="0" w:line="221" w:lineRule="auto"/>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three months ended March 31, 2024 includes approximately $11.1 million of expense associated with the pending acquisition of Sterling, primarily consisting of legal, regulatory, and diligence professional service fees. The three months ended March 31, 2024 and 2023 also include insurance costs incurred related to the initial public offering.</w:t>
      </w:r>
    </w:p>
    <w:p>
      <w:pPr>
        <w:spacing w:after="0" w:line="1" w:lineRule="exact"/>
        <w:rPr>
          <w:rFonts w:ascii="Times New Roman" w:cs="Times New Roman" w:eastAsia="Times New Roman" w:hAnsi="Times New Roman"/>
          <w:sz w:val="14"/>
          <w:szCs w:val="14"/>
          <w:color w:val="auto"/>
        </w:rPr>
      </w:pPr>
    </w:p>
    <w:p>
      <w:pPr>
        <w:ind w:left="240" w:right="100" w:hanging="232"/>
        <w:spacing w:after="0" w:line="221" w:lineRule="auto"/>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and (gains) losses on the sale of assets.</w:t>
      </w:r>
    </w:p>
    <w:p>
      <w:pPr>
        <w:ind w:left="240" w:right="80" w:hanging="232"/>
        <w:spacing w:after="0" w:line="239" w:lineRule="auto"/>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rates of approximately 24.4% and 25.3% have been used to compute Adjusted Net Income and Adjusted Diluted Earnings Per Share for the three months ended March 31, 2024 and 2023, respectively.</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primary liquidity requirements are for working capital, continued investments in software development and other capital expenditures, and other strategic investments, including the Acquisition. In 2023, the Company fully utilized its remaining U.S. Federal income tax net operating loss carryforwards. As a result, income taxes will become a material use of funds, depending on our future profitability, and future tax rates. The Company’s liquidity needs are met primarily through existing balance sheet cash, cash flows from operations, as well as funds available under our revolving credit facility and proceeds from our term loan borrowings, including incremental term loan borrowings expected to be incurred to fund the Acquisition pursuant to a commitment letter entered into with certain financial institutions. Our cash flows from operations include cash received from customers, less cash costs to provide services to our customers, which includes general and administrative costs and interest payments.</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March 31, 2024, we had $245.4 million in cash and cash equivalents and $100.0 million available under our revolving credit facility. As of March 31, 2024, we had $564.7 million of total debt outstanding. We believe our cash on hand, together with amounts available under our revolving credit facility, and cash provided by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our “Risk Factors” included in the Company’s Annual Report on Form 10-K for the year ended December 31,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August 2, 2022, the Company’s Board of Directors authorized the repurchase of up to $50.0 million of the Company’s common stock over the 12-month period ending August 2, 2023 (the “Repurchase Program”).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has used and plans to use its existing cash to fund repurchases made under the share repurchase program.</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On September 14, 2023, the Company announced that its Board of Directors approved a one-year extension of its share repurchase authorization, extending the previously authorized $200.0 million program through December 31, 2024. Through May 3, 2024, the Company repurchased approximately $119.5 million of shares under the Repurchase Program. In connection with the execution of the Merger Agreement, the Company suspended purchases under its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August 8, 2023, the Company’s Board of Directors declared a one-time special cash dividend of $1.50 per share to stockholders of record at the close of business on August 21, 2023. An aggregate cash dividend of $217.7 million was paid on August 31, 2023 with cash from the balance sheet.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February 2020, a new financing structure was established, which included a new First Lien Credit Agreement (as amended, the “Credit Agreement”). The Credit Agreement provided financing in the form of a $670.0 million term loan due January 31, 2027 (“First Lien Credit Facility”) and a $75.0 million new revolving credit facility due January 31, 2025 (“Revolver”).</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February 1, 2021, we amended the First Lien Agreement to fund $100.0 million of additional first lien term loans and reduce the applicable margins by 0.25%.</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 entered into an amendment to increase the borrowing capacity under the Revolver from $75.0 million to $100.0 million and extend the maturity date from January 31, 2025 to July 31, 2026.</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Borrowings under the First Lien Agreement bear interest at a rate per annum equal to an applicable margin plus, at our option, either (a) a base rate or (b) LIBOR, which is subject to a floor of 0.00% per annum. Pursuant to an amendment in June 2023, the reference rate under the Credit Agreement was transitioned from LIBOR to SOFR (the Secured Overnight Financing Rate as administered by the Federal Reserve Bank of New York), with the addition of an applicable margin. The applicable margins under the First Lien Agreement are subject to stepdowns based on our first lien net leverage ratio. In connection with the closing of the IPO, each applicable margin was reduced further by 0.25%. In addition, the borrower, First Advantage Holdings, LLC, which is an indirect wholly-owned subsidiary of the Company, is required to pay a commitment fee on any unutilized commitments under the revolving credit facility. The commitment fee rate ranges between 0.25% and 0.50% per annum based on our first lien net leverage ratio. The borrower is also required to pay customary letter of credit fees.</w:t>
      </w:r>
    </w:p>
    <w:p>
      <w:pPr>
        <w:spacing w:after="0" w:line="1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First Lien Credit Facility amortizes in equal quarterly installments in aggregate annual amounts equal to 1.00% of the principal amount. The Revolver has no amortization. The First Lien Credit Facility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August 1, 2021 were subject to a 1.00% prepayment premium. Otherwise, the borrower may voluntarily repay outstanding loans without premium or penalty, other than customary “breakage” costs.</w:t>
      </w:r>
    </w:p>
    <w:p>
      <w:pPr>
        <w:spacing w:after="0" w:line="13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IPO, on June 30, 2021, the Company repaid $200.0 million of the First Lien Credit Facility outstanding, of which $44.3 million was applied to all of the remaining quarterly amortizing principal payments due under the First Lien Agreement. The remaining $564.7 million term loan is scheduled to mature on January 31, 2027.</w:t>
      </w:r>
    </w:p>
    <w:p>
      <w:pPr>
        <w:spacing w:after="0" w:line="12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First Lien Agreement is unconditionally guaranteed by Fastball Parent, Inc., a wholly-owned subsidiary of the Company and the direct parent of the borrower, and material wholly owned domestic restricted subsidiaries of Fastball Parent, Inc. The First Lien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not include more than 65% of the voting stock of such non-U.S. subsidiary).</w:t>
      </w:r>
    </w:p>
    <w:p>
      <w:pPr>
        <w:spacing w:after="0" w:line="13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First Lien Agreement contains customary affirmative covenants, negative covenants, and events of default (including upon a change of control). The First Lien Agreement also includes a “springing” first lien net leverage ratio test, applicable only to the Revolver, that requires such ratio to be no greater than 7.75:1.00 on the last day of any fiscal quarter if more than 35.0% of the Revolver is utilized on such date.</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Cash Flows for the three months ended March 31, 2024 compared to the three months ended March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cash flow activity for the periods presented:</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38,329</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38,599</w:t>
            </w: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(6,083 )</w:t>
            </w: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(24,163 )</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$38.3 million for the three months ended March 31, 2024, compared to $38.6 million for the three months ended March 31, 2023. Net cash provided by operating activities for the three months ended March 31, 2024 decreased by $0.3 million compared to the three months ended March 31, 2023. Cash flows from operating activities were impacted by the continuation of more modest hiring activity from our customers resulting from the ongoing uncertainty from the macroeconomic environment. This was offset in part by lower accounts receivable driven by increased cash collections from customers.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$7.0 million for the three months ended March 31, 2024, compared to $6.1 million for the three months ended March 31, 2023. Net cash used in investing activities for the three months ended March 31, 2024 increased by $0.9 million compared to the three months ended March 31, 2023. Increases in cash flows used in investing activities for the three months ended March 31, 2024 were driven primarily by capitalized software development costs, which increased in 2024 as the Company continued to make incremental investments in its technology platform and increases in short-term investments internationally.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provided by (used) in financing activities was $0.7 million for the three months ended March 31, 2024, compared to $(24.2) million for the three months ended March 31, 2023. Net cash provided by financing activities for the three months ended March 31, 2024 was driven by cash inflows related to share-based compensation activity. These inflows were offset by cash outflows related to payments on the deferred purchase of a software platform. Net cash used in financing activities for the three months ended March 31, 2023 was impacted by shares repurchased under the Company’s Repurchase Program. During the three months ended March 31, 2023, 1,871,691 shares were repurchased under the program at a total cost of $25.3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See Note 2 to the condensed consolidated financial statements for disclosure of the impact that recent accounting pronouncements may have on the condensed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there have been no significant changes to our critical accounting policies and estimates compared with those disclosed in Part II, Item 7, “Management’s Discussion and Analysis of Financial Condition and Results of Operations” included in the Company’s Annual Report on Form 10-K for the year ended December 31, 2023.</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2024, no material change had occurred in our market risks, compared with the disclosure in our Annual Report on Form 10-K for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has evaluated the effectiveness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quarter covered by this report, there were no changes in our internal control over financial reporting (as defined in Rules 13a-15(f) and 15d-15(f) under the Exchange Act) that materially affected, or are reasonably likely to materially affect, our internal control over financial reporting.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in response to this Item is included in “Part I — Item 1. — Note 12 — Commitments and Contingencies” and is incorporated by reference into Part II of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March 31, 2024, no material changes had occurred in our risk factors, compared with the disclosure in our Annual Report on Form 10-K for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relates to the Company’s purchase of its common stock during each month within the first quarter of 2024:</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3"/>
                <w:szCs w:val="13"/>
                <w:color w:val="auto"/>
              </w:rPr>
            </w:pPr>
          </w:p>
        </w:tc>
        <w:tc>
          <w:tcPr>
            <w:tcW w:w="1380" w:type="dxa"/>
            <w:vAlign w:val="bottom"/>
            <w:gridSpan w:val="2"/>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80" w:type="dxa"/>
            <w:vAlign w:val="bottom"/>
          </w:tcPr>
          <w:p>
            <w:pPr>
              <w:spacing w:after="0"/>
              <w:rPr>
                <w:sz w:val="12"/>
                <w:szCs w:val="12"/>
                <w:color w:val="auto"/>
              </w:rPr>
            </w:pPr>
          </w:p>
        </w:tc>
        <w:tc>
          <w:tcPr>
            <w:tcW w:w="1380" w:type="dxa"/>
            <w:vAlign w:val="bottom"/>
            <w:gridSpan w:val="2"/>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18"/>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8"/>
              <w:spacing w:after="0" w:line="189" w:lineRule="exact"/>
              <w:rPr>
                <w:sz w:val="20"/>
                <w:szCs w:val="20"/>
                <w:color w:val="auto"/>
              </w:rPr>
            </w:pPr>
            <w:r>
              <w:rPr>
                <w:rFonts w:ascii="Times New Roman" w:cs="Times New Roman" w:eastAsia="Times New Roman" w:hAnsi="Times New Roman"/>
                <w:sz w:val="14"/>
                <w:szCs w:val="14"/>
                <w:b w:val="1"/>
                <w:bCs w:val="1"/>
                <w:color w:val="auto"/>
                <w:w w:val="98"/>
              </w:rPr>
              <w:t xml:space="preserve">Programs </w:t>
            </w:r>
            <w:r>
              <w:rPr>
                <w:rFonts w:ascii="Times New Roman" w:cs="Times New Roman" w:eastAsia="Times New Roman" w:hAnsi="Times New Roman"/>
                <w:sz w:val="19"/>
                <w:szCs w:val="19"/>
                <w:b w:val="1"/>
                <w:bCs w:val="1"/>
                <w:color w:val="auto"/>
                <w:w w:val="98"/>
                <w:vertAlign w:val="superscript"/>
              </w:rPr>
              <w:t>(2)</w:t>
            </w:r>
          </w:p>
        </w:tc>
        <w:tc>
          <w:tcPr>
            <w:tcW w:w="0" w:type="dxa"/>
            <w:vAlign w:val="bottom"/>
          </w:tcPr>
          <w:p>
            <w:pPr>
              <w:spacing w:after="0"/>
              <w:rPr>
                <w:sz w:val="1"/>
                <w:szCs w:val="1"/>
                <w:color w:val="auto"/>
              </w:rPr>
            </w:pPr>
          </w:p>
        </w:tc>
      </w:tr>
      <w:tr>
        <w:trPr>
          <w:trHeight w:val="23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2024 through January 31, 2024</w:t>
            </w:r>
          </w:p>
        </w:tc>
        <w:tc>
          <w:tcPr>
            <w:tcW w:w="14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2024 through February 29, 2024</w:t>
            </w:r>
          </w:p>
        </w:tc>
        <w:tc>
          <w:tcPr>
            <w:tcW w:w="1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47"/>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2024 through March 31, 2024</w:t>
            </w:r>
          </w:p>
        </w:tc>
        <w:tc>
          <w:tcPr>
            <w:tcW w:w="142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-187960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820" w:hanging="213"/>
        <w:spacing w:after="0"/>
        <w:tabs>
          <w:tab w:leader="none" w:pos="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for shares purchased as part of our Repurchase Program (includes brokerage commissions).</w:t>
      </w:r>
    </w:p>
    <w:p>
      <w:pPr>
        <w:spacing w:after="0" w:line="3" w:lineRule="exact"/>
        <w:rPr>
          <w:rFonts w:ascii="Times New Roman" w:cs="Times New Roman" w:eastAsia="Times New Roman" w:hAnsi="Times New Roman"/>
          <w:sz w:val="14"/>
          <w:szCs w:val="14"/>
          <w:color w:val="auto"/>
        </w:rPr>
      </w:pPr>
    </w:p>
    <w:p>
      <w:pPr>
        <w:ind w:left="820" w:right="780" w:hanging="213"/>
        <w:spacing w:after="0" w:line="227" w:lineRule="auto"/>
        <w:tabs>
          <w:tab w:leader="none" w:pos="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2022, the Company’s Board of Directors authorized the repurchase of up to $50.0 million of the Company’s common stock over the 12-month period ending August 2, 2023. 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On September 14, 2023, the Company announced that its Board of Directors approved a one-year extension of its share repurchase authorization, extending the previously authorized $200.0 million program through December 31, 2024. Through May 3, 2024, the Company repurchased approximately $119.5 million of shares under the Repurchase Program.</w:t>
      </w:r>
    </w:p>
    <w:p>
      <w:pPr>
        <w:spacing w:after="0" w:line="1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In connection with the execution of the Merger Agreement, the Company suspended purchases under its Repurchase Program.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none of our directors or officers (as defined in Rule 16a-1(f) of the Securities Exchange Act of 1934, as amended) adopted, terminated, or modified a Rule 10b5-1 trading arrangement or non-Rule 10b5-1 trading arrangement (as such terms are defined in Item 408 of Regulation S-K).</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60" w:type="dxa"/>
            <w:vAlign w:val="bottom"/>
            <w:tcBorders>
              <w:bottom w:val="single" w:sz="8" w:color="auto"/>
            </w:tcBorders>
            <w:gridSpan w:val="15"/>
          </w:tcPr>
          <w:p>
            <w:pPr>
              <w:ind w:left="15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bottom w:val="single" w:sz="8" w:color="0000FF"/>
            </w:tcBorders>
            <w:gridSpan w:val="15"/>
          </w:tcPr>
          <w:p>
            <w:pPr>
              <w:spacing w:after="0" w:line="16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Agreement and Plan of Merger, dated as of February 28, 2024, by and among First Advantage Corporation, Sterling Check Corp. and Starter Merger Sub,</w:t>
              </w:r>
            </w:hyperlink>
          </w:p>
        </w:tc>
        <w:tc>
          <w:tcPr>
            <w:tcW w:w="180" w:type="dxa"/>
            <w:vAlign w:val="bottom"/>
            <w:gridSpan w:val="5"/>
          </w:tcPr>
          <w:p>
            <w:pPr>
              <w:spacing w:after="0"/>
              <w:rPr>
                <w:sz w:val="14"/>
                <w:szCs w:val="14"/>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83"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Inc. (incorporated herein by reference to Exhibit 2.1 of First Advantage’s Form 8-K filed on March 1, 2024).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Waiver of Brazil Antitrust Filing Obligation and Closing Condition, dated as of March 25, 2024, related to the Agreement and Plan of Merger, dated as of</w:t>
            </w:r>
          </w:p>
        </w:tc>
        <w:tc>
          <w:tcPr>
            <w:tcW w:w="200" w:type="dxa"/>
            <w:vAlign w:val="bottom"/>
            <w:gridSpan w:val="6"/>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February 28, 2024, by and among First Advantage Corporation, Sterling Check Corp. and Starter Merger Sub, Inc.</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Amended and Restated Certificate of Incorporation of First Advantage Corporation (incorporated herein by reference to Exhibit 3.1 of First Advantage’s</w:t>
              </w:r>
            </w:hyperlink>
          </w:p>
        </w:tc>
        <w:tc>
          <w:tcPr>
            <w:tcW w:w="260" w:type="dxa"/>
            <w:vAlign w:val="bottom"/>
            <w:gridSpan w:val="7"/>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Borders>
              <w:bottom w:val="single" w:sz="8" w:color="0000FF"/>
            </w:tcBorders>
            <w:gridSpan w:val="3"/>
          </w:tcPr>
          <w:p>
            <w:pPr>
              <w:spacing w:after="0" w:line="183"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Form 8-K filed on June 25, 2021).</w:t>
              </w:r>
            </w:hyperlink>
          </w:p>
        </w:tc>
        <w:tc>
          <w:tcPr>
            <w:tcW w:w="7980" w:type="dxa"/>
            <w:vAlign w:val="bottom"/>
            <w:gridSpan w:val="17"/>
          </w:tcPr>
          <w:p>
            <w:pPr>
              <w:spacing w:after="0"/>
              <w:rPr>
                <w:sz w:val="15"/>
                <w:szCs w:val="15"/>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Amended and Restated Bylaws of First Advantage Corporation (incorporated herein by reference to Exhibit 3.2 of First Advantage’s Form 8-K filed on June</w:t>
              </w:r>
            </w:hyperlink>
          </w:p>
        </w:tc>
      </w:tr>
      <w:tr>
        <w:trPr>
          <w:trHeight w:val="183"/>
        </w:trPr>
        <w:tc>
          <w:tcPr>
            <w:tcW w:w="920" w:type="dxa"/>
            <w:vAlign w:val="bottom"/>
          </w:tcPr>
          <w:p>
            <w:pPr>
              <w:spacing w:after="0"/>
              <w:rPr>
                <w:sz w:val="15"/>
                <w:szCs w:val="15"/>
                <w:color w:val="auto"/>
              </w:rPr>
            </w:pPr>
          </w:p>
        </w:tc>
        <w:tc>
          <w:tcPr>
            <w:tcW w:w="800" w:type="dxa"/>
            <w:vAlign w:val="bottom"/>
            <w:gridSpan w:val="3"/>
          </w:tcPr>
          <w:p>
            <w:pPr>
              <w:ind w:left="120"/>
              <w:spacing w:after="0" w:line="183" w:lineRule="exact"/>
              <w:rPr>
                <w:rFonts w:ascii="Times New Roman" w:cs="Times New Roman" w:eastAsia="Times New Roman" w:hAnsi="Times New Roman"/>
                <w:sz w:val="16"/>
                <w:szCs w:val="16"/>
                <w:color w:val="0000FF"/>
                <w:w w:val="97"/>
              </w:rPr>
            </w:pPr>
            <w:hyperlink r:id="rId134">
              <w:r>
                <w:rPr>
                  <w:rFonts w:ascii="Times New Roman" w:cs="Times New Roman" w:eastAsia="Times New Roman" w:hAnsi="Times New Roman"/>
                  <w:sz w:val="16"/>
                  <w:szCs w:val="16"/>
                  <w:color w:val="0000FF"/>
                  <w:w w:val="97"/>
                </w:rPr>
                <w:t>25, 2021).</w:t>
              </w:r>
            </w:hyperlink>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Support Agreement, dated as of February 28, 2024, by and among First Advantage Corporation and certain stockholders of Sterling Check Corp. party</w:t>
              </w:r>
            </w:hyperlink>
          </w:p>
        </w:tc>
        <w:tc>
          <w:tcPr>
            <w:tcW w:w="400" w:type="dxa"/>
            <w:vAlign w:val="bottom"/>
            <w:gridSpan w:val="11"/>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83"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thereto (incorporated herein by reference to Exhibit 10.1 of First Advantage’s Form 8-K filed on March 1, 2024).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0" w:type="dxa"/>
            <w:vAlign w:val="bottom"/>
            <w:tcBorders>
              <w:right w:val="single" w:sz="8" w:color="0000EE"/>
            </w:tcBorders>
            <w:gridSpan w:val="2"/>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Stockholders’ Agreement, dated as February 28, 2024, by and among First Advantage Corporation, certain parties that will become stockholders of First</w:t>
              </w:r>
            </w:hyperlink>
          </w:p>
        </w:tc>
        <w:tc>
          <w:tcPr>
            <w:tcW w:w="280" w:type="dxa"/>
            <w:vAlign w:val="bottom"/>
            <w:gridSpan w:val="8"/>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16"/>
          </w:tcPr>
          <w:p>
            <w:pPr>
              <w:spacing w:after="0" w:line="183"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Advantage Corporation pursuant to the Merger Agreement and certain other parties party thereto (incorporated herein by reference to Exhibit 10.2 of First</w:t>
              </w:r>
            </w:hyperlink>
          </w:p>
        </w:tc>
        <w:tc>
          <w:tcPr>
            <w:tcW w:w="160" w:type="dxa"/>
            <w:vAlign w:val="bottom"/>
            <w:gridSpan w:val="4"/>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tcBorders>
              <w:bottom w:val="single" w:sz="8" w:color="0000FF"/>
            </w:tcBorders>
            <w:gridSpan w:val="4"/>
          </w:tcPr>
          <w:p>
            <w:pPr>
              <w:spacing w:after="0" w:line="183" w:lineRule="exact"/>
              <w:rPr>
                <w:rFonts w:ascii="Times New Roman" w:cs="Times New Roman" w:eastAsia="Times New Roman" w:hAnsi="Times New Roman"/>
                <w:sz w:val="16"/>
                <w:szCs w:val="16"/>
                <w:color w:val="0000FF"/>
                <w:w w:val="99"/>
              </w:rPr>
            </w:pPr>
            <w:hyperlink r:id="rId136">
              <w:r>
                <w:rPr>
                  <w:rFonts w:ascii="Times New Roman" w:cs="Times New Roman" w:eastAsia="Times New Roman" w:hAnsi="Times New Roman"/>
                  <w:sz w:val="16"/>
                  <w:szCs w:val="16"/>
                  <w:color w:val="0000FF"/>
                  <w:w w:val="99"/>
                </w:rPr>
                <w:t>Advantage’s Form 8-K filed on March 1, 2024).</w:t>
              </w:r>
            </w:hyperlink>
          </w:p>
        </w:tc>
        <w:tc>
          <w:tcPr>
            <w:tcW w:w="20" w:type="dxa"/>
            <w:vAlign w:val="bottom"/>
            <w:tcBorders>
              <w:bottom w:val="single" w:sz="8" w:color="0000EE"/>
            </w:tcBorders>
          </w:tcPr>
          <w:p>
            <w:pPr>
              <w:spacing w:after="0"/>
              <w:rPr>
                <w:sz w:val="15"/>
                <w:szCs w:val="15"/>
                <w:color w:val="auto"/>
              </w:rPr>
            </w:pPr>
          </w:p>
        </w:tc>
        <w:tc>
          <w:tcPr>
            <w:tcW w:w="7060" w:type="dxa"/>
            <w:vAlign w:val="bottom"/>
            <w:gridSpan w:val="15"/>
          </w:tcPr>
          <w:p>
            <w:pPr>
              <w:spacing w:after="0"/>
              <w:rPr>
                <w:sz w:val="15"/>
                <w:szCs w:val="15"/>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Amended and Restated Stockholders’ Agreement, dated as of February 28, 2024, by and among First Advantage Corporation, SLP Fastball Aggregator, L.P.</w:t>
              </w:r>
            </w:hyperlink>
          </w:p>
        </w:tc>
        <w:tc>
          <w:tcPr>
            <w:tcW w:w="20" w:type="dxa"/>
            <w:vAlign w:val="bottom"/>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bottom w:val="single" w:sz="8" w:color="0000FF"/>
            </w:tcBorders>
            <w:gridSpan w:val="18"/>
          </w:tcPr>
          <w:p>
            <w:pPr>
              <w:spacing w:after="0" w:line="183"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and certain stockholders of First Advantage Corporation party thereto (incorporated herein by reference to Exhibit 10.3 of First Advantage’s Form 8-K filed</w:t>
              </w:r>
            </w:hyperlink>
          </w:p>
        </w:tc>
        <w:tc>
          <w:tcPr>
            <w:tcW w:w="60" w:type="dxa"/>
            <w:vAlign w:val="bottom"/>
            <w:gridSpan w:val="2"/>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83"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on March 1, 2024).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7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Incremental Facilities Commitment letter, dated February 28, 2024, by and among First Advantage Holdings, LLC, and certain financial institutions, party</w:t>
              </w:r>
            </w:hyperlink>
          </w:p>
        </w:tc>
        <w:tc>
          <w:tcPr>
            <w:tcW w:w="160" w:type="dxa"/>
            <w:vAlign w:val="bottom"/>
            <w:gridSpan w:val="4"/>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83"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thereto (incorporated herein by reference to Exhibit 10.4 of First Advantage’s Form 8-K filed on March 1, 2024).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4220" w:type="dxa"/>
            <w:vAlign w:val="bottom"/>
            <w:tcBorders>
              <w:right w:val="single" w:sz="8" w:color="0000EE"/>
            </w:tcBorders>
            <w:gridSpan w:val="3"/>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 under the Securities Exchange Act of 1934, as Adopted Pursuant to</w:t>
            </w:r>
          </w:p>
        </w:tc>
        <w:tc>
          <w:tcPr>
            <w:tcW w:w="140" w:type="dxa"/>
            <w:vAlign w:val="bottom"/>
            <w:gridSpan w:val="3"/>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67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 under the Securities Exchange Act of 1934, as Adopted Pursuant to</w:t>
            </w:r>
          </w:p>
        </w:tc>
        <w:tc>
          <w:tcPr>
            <w:tcW w:w="180" w:type="dxa"/>
            <w:vAlign w:val="bottom"/>
            <w:gridSpan w:val="5"/>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67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Sarbanes-Oxley Act of 2002.</w:t>
            </w:r>
          </w:p>
        </w:tc>
        <w:tc>
          <w:tcPr>
            <w:tcW w:w="300" w:type="dxa"/>
            <w:vAlign w:val="bottom"/>
            <w:gridSpan w:val="9"/>
          </w:tcPr>
          <w:p>
            <w:pPr>
              <w:spacing w:after="0"/>
              <w:rPr>
                <w:sz w:val="17"/>
                <w:szCs w:val="17"/>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 Adopted Pursuant to Section 906 of the Sarbanes-Oxley Act of 2002.</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60" w:type="dxa"/>
            <w:vAlign w:val="bottom"/>
            <w:tcBorders>
              <w:right w:val="single" w:sz="8" w:color="0000EE"/>
            </w:tcBorders>
            <w:gridSpan w:val="10"/>
            <w:shd w:val="clear" w:color="auto" w:fill="0000FF"/>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XBRL tags are embedded within the Inline</w:t>
            </w:r>
          </w:p>
        </w:tc>
      </w:tr>
      <w:tr>
        <w:trPr>
          <w:trHeight w:val="210"/>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9512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7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6"/>
          <w:szCs w:val="16"/>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FIRST ADVANTAGE CORPORATION</w:t>
      </w:r>
    </w:p>
    <w:p>
      <w:pPr>
        <w:spacing w:after="0" w:line="252" w:lineRule="exact"/>
        <w:rPr>
          <w:sz w:val="20"/>
          <w:szCs w:val="20"/>
          <w:color w:val="auto"/>
        </w:rPr>
      </w:pPr>
    </w:p>
    <w:p>
      <w:pPr>
        <w:ind w:left="20"/>
        <w:spacing w:after="0"/>
        <w:tabs>
          <w:tab w:leader="none" w:pos="5660" w:val="left"/>
          <w:tab w:leader="none" w:pos="80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Scott Staples</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20"/>
        <w:spacing w:after="0"/>
        <w:tabs>
          <w:tab w:leader="none" w:pos="5660" w:val="left"/>
          <w:tab w:leader="none" w:pos="790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David L. Gamsey</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2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WAIVER</w:t>
      </w:r>
    </w:p>
    <w:p>
      <w:pPr>
        <w:spacing w:after="0" w:line="156" w:lineRule="exact"/>
        <w:rPr>
          <w:sz w:val="20"/>
          <w:szCs w:val="20"/>
          <w:color w:val="auto"/>
        </w:rPr>
      </w:pPr>
    </w:p>
    <w:p>
      <w:pPr>
        <w:jc w:val="both"/>
        <w:ind w:right="120" w:firstLine="725"/>
        <w:spacing w:after="0" w:line="236" w:lineRule="auto"/>
        <w:rPr>
          <w:sz w:val="20"/>
          <w:szCs w:val="20"/>
          <w:color w:val="auto"/>
        </w:rPr>
      </w:pPr>
      <w:r>
        <w:rPr>
          <w:rFonts w:ascii="Times New Roman" w:cs="Times New Roman" w:eastAsia="Times New Roman" w:hAnsi="Times New Roman"/>
          <w:sz w:val="22"/>
          <w:szCs w:val="22"/>
          <w:color w:val="auto"/>
        </w:rPr>
        <w:t>This waiver is entered into as of March 25, 2024, by and among First Advantage Corporation, a Delaware corporation (</w:t>
      </w:r>
      <w:r>
        <w:rPr>
          <w:rFonts w:ascii="Times New Roman" w:cs="Times New Roman" w:eastAsia="Times New Roman" w:hAnsi="Times New Roman"/>
          <w:sz w:val="22"/>
          <w:szCs w:val="22"/>
          <w:u w:val="single" w:color="auto"/>
          <w:color w:val="auto"/>
        </w:rPr>
        <w:t>“Paren</w:t>
      </w:r>
      <w:r>
        <w:rPr>
          <w:rFonts w:ascii="Times New Roman" w:cs="Times New Roman" w:eastAsia="Times New Roman" w:hAnsi="Times New Roman"/>
          <w:sz w:val="22"/>
          <w:szCs w:val="22"/>
          <w:color w:val="auto"/>
        </w:rPr>
        <w:t>t”), Starter Merger Sub, Inc., a Delaware corporation and an indirect, wholly-owned subsidiary of Parent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w:t>
      </w:r>
      <w:r>
        <w:rPr>
          <w:rFonts w:ascii="Times New Roman" w:cs="Times New Roman" w:eastAsia="Times New Roman" w:hAnsi="Times New Roman"/>
          <w:sz w:val="22"/>
          <w:szCs w:val="22"/>
          <w:color w:val="auto"/>
        </w:rPr>
        <w:t xml:space="preserve">”), and Sterling Check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Reference is made to that certain Agreement and Plan of Merger, dated as of February 28, 2024 (the </w:t>
      </w:r>
      <w:r>
        <w:rPr>
          <w:rFonts w:ascii="Times New Roman" w:cs="Times New Roman" w:eastAsia="Times New Roman" w:hAnsi="Times New Roman"/>
          <w:sz w:val="22"/>
          <w:szCs w:val="22"/>
          <w:u w:val="single" w:color="auto"/>
          <w:color w:val="auto"/>
        </w:rPr>
        <w:t>“Merger Agreemen</w:t>
      </w:r>
      <w:r>
        <w:rPr>
          <w:rFonts w:ascii="Times New Roman" w:cs="Times New Roman" w:eastAsia="Times New Roman" w:hAnsi="Times New Roman"/>
          <w:sz w:val="22"/>
          <w:szCs w:val="22"/>
          <w:color w:val="auto"/>
        </w:rPr>
        <w:t>t”), by and among Parent, the Company and Merger Sub. Capitalized terms used but not otherwise defined herein shall have the meanings ascribed to such terms in the Merger Agreement.</w:t>
      </w:r>
    </w:p>
    <w:p>
      <w:pPr>
        <w:spacing w:after="0" w:line="127" w:lineRule="exact"/>
        <w:rPr>
          <w:sz w:val="20"/>
          <w:szCs w:val="20"/>
          <w:color w:val="auto"/>
        </w:rPr>
      </w:pPr>
    </w:p>
    <w:p>
      <w:pPr>
        <w:jc w:val="both"/>
        <w:ind w:right="180" w:firstLine="749"/>
        <w:spacing w:after="0" w:line="244" w:lineRule="auto"/>
        <w:rPr>
          <w:sz w:val="20"/>
          <w:szCs w:val="20"/>
          <w:color w:val="auto"/>
        </w:rPr>
      </w:pPr>
      <w:r>
        <w:rPr>
          <w:rFonts w:ascii="Times New Roman" w:cs="Times New Roman" w:eastAsia="Times New Roman" w:hAnsi="Times New Roman"/>
          <w:sz w:val="22"/>
          <w:szCs w:val="22"/>
          <w:color w:val="auto"/>
        </w:rPr>
        <w:t>WHEREAS, pursuant to Section 7.2(b)(ii) of the Merger Agreement, and as set forth as Item No. 1 in Section 7.2(b) of the Company Disclosure Letter, the Parties agreed to make a filing under the Antitrust Laws of Brazil in connection with the Merger;</w:t>
      </w:r>
    </w:p>
    <w:p>
      <w:pPr>
        <w:spacing w:after="0" w:line="119" w:lineRule="exact"/>
        <w:rPr>
          <w:sz w:val="20"/>
          <w:szCs w:val="20"/>
          <w:color w:val="auto"/>
        </w:rPr>
      </w:pPr>
    </w:p>
    <w:p>
      <w:pPr>
        <w:jc w:val="both"/>
        <w:ind w:right="200" w:firstLine="749"/>
        <w:spacing w:after="0" w:line="244" w:lineRule="auto"/>
        <w:rPr>
          <w:sz w:val="20"/>
          <w:szCs w:val="20"/>
          <w:color w:val="auto"/>
        </w:rPr>
      </w:pPr>
      <w:r>
        <w:rPr>
          <w:rFonts w:ascii="Times New Roman" w:cs="Times New Roman" w:eastAsia="Times New Roman" w:hAnsi="Times New Roman"/>
          <w:sz w:val="22"/>
          <w:szCs w:val="22"/>
          <w:color w:val="auto"/>
        </w:rPr>
        <w:t>WHEREAS, pursuant to Section 8.1(e)(ii) of the Merger Agreement and as set forth as Item No. 1 in Section 8.1(e) of the Company Disclosure Letter, the obtaining of approval, consent or clearance under the Antitrust Laws of Brazil (the “</w:t>
      </w:r>
      <w:r>
        <w:rPr>
          <w:rFonts w:ascii="Times New Roman" w:cs="Times New Roman" w:eastAsia="Times New Roman" w:hAnsi="Times New Roman"/>
          <w:sz w:val="22"/>
          <w:szCs w:val="22"/>
          <w:u w:val="single" w:color="auto"/>
          <w:color w:val="auto"/>
        </w:rPr>
        <w:t>Brazilian Antitrust Approval</w:t>
      </w:r>
      <w:r>
        <w:rPr>
          <w:rFonts w:ascii="Times New Roman" w:cs="Times New Roman" w:eastAsia="Times New Roman" w:hAnsi="Times New Roman"/>
          <w:sz w:val="22"/>
          <w:szCs w:val="22"/>
          <w:color w:val="auto"/>
        </w:rPr>
        <w:t>”) is a condition to the respective obligations of each Party to effect the Merger;</w:t>
      </w:r>
    </w:p>
    <w:p>
      <w:pPr>
        <w:spacing w:after="0" w:line="119" w:lineRule="exact"/>
        <w:rPr>
          <w:sz w:val="20"/>
          <w:szCs w:val="20"/>
          <w:color w:val="auto"/>
        </w:rPr>
      </w:pPr>
    </w:p>
    <w:p>
      <w:pPr>
        <w:jc w:val="both"/>
        <w:ind w:right="200" w:firstLine="749"/>
        <w:spacing w:after="0" w:line="258" w:lineRule="auto"/>
        <w:rPr>
          <w:sz w:val="20"/>
          <w:szCs w:val="20"/>
          <w:color w:val="auto"/>
        </w:rPr>
      </w:pPr>
      <w:r>
        <w:rPr>
          <w:rFonts w:ascii="Times New Roman" w:cs="Times New Roman" w:eastAsia="Times New Roman" w:hAnsi="Times New Roman"/>
          <w:sz w:val="22"/>
          <w:szCs w:val="22"/>
          <w:color w:val="auto"/>
        </w:rPr>
        <w:t>WHEREAS, following further analysis subsequent to the date of the Merger Agreement, Parent, Merger Sub and the Company have determined that the Brazilian Antitrust Approval is not required in connection with the Merger; and</w:t>
      </w:r>
    </w:p>
    <w:p>
      <w:pPr>
        <w:spacing w:after="0" w:line="104" w:lineRule="exact"/>
        <w:rPr>
          <w:sz w:val="20"/>
          <w:szCs w:val="20"/>
          <w:color w:val="auto"/>
        </w:rPr>
      </w:pPr>
    </w:p>
    <w:p>
      <w:pPr>
        <w:jc w:val="both"/>
        <w:ind w:right="180" w:firstLine="749"/>
        <w:spacing w:after="0" w:line="244" w:lineRule="auto"/>
        <w:rPr>
          <w:sz w:val="20"/>
          <w:szCs w:val="20"/>
          <w:color w:val="auto"/>
        </w:rPr>
      </w:pPr>
      <w:r>
        <w:rPr>
          <w:rFonts w:ascii="Times New Roman" w:cs="Times New Roman" w:eastAsia="Times New Roman" w:hAnsi="Times New Roman"/>
          <w:sz w:val="22"/>
          <w:szCs w:val="22"/>
          <w:color w:val="auto"/>
        </w:rPr>
        <w:t>WHEREAS, Parent, Merger Sub and the Company therefore now desire to memorialize their mutual waiver of the obligation to make a filing under the Antitrust Laws of Brazil in connection with the Merger and their mutual waiver of the condition to obtain the Brazilian Antitrust Approval, upon the terms and subject to the conditions set forth herein.</w:t>
      </w:r>
    </w:p>
    <w:p>
      <w:pPr>
        <w:spacing w:after="0" w:line="119" w:lineRule="exact"/>
        <w:rPr>
          <w:sz w:val="20"/>
          <w:szCs w:val="20"/>
          <w:color w:val="auto"/>
        </w:rPr>
      </w:pPr>
    </w:p>
    <w:p>
      <w:pPr>
        <w:jc w:val="both"/>
        <w:ind w:right="180" w:firstLine="749"/>
        <w:spacing w:after="0" w:line="258" w:lineRule="auto"/>
        <w:rPr>
          <w:sz w:val="20"/>
          <w:szCs w:val="20"/>
          <w:color w:val="auto"/>
        </w:rPr>
      </w:pPr>
      <w:r>
        <w:rPr>
          <w:rFonts w:ascii="Times New Roman" w:cs="Times New Roman" w:eastAsia="Times New Roman" w:hAnsi="Times New Roman"/>
          <w:sz w:val="22"/>
          <w:szCs w:val="22"/>
          <w:color w:val="auto"/>
        </w:rPr>
        <w:t>NOW THEREFORE, Parent, Merger Sub and the Company, for good and adequate consideration, the sufficiency of which is hereby acknowledged, agree as follows:</w:t>
      </w:r>
    </w:p>
    <w:p>
      <w:pPr>
        <w:spacing w:after="0" w:line="104" w:lineRule="exact"/>
        <w:rPr>
          <w:sz w:val="20"/>
          <w:szCs w:val="20"/>
          <w:color w:val="auto"/>
        </w:rPr>
      </w:pPr>
    </w:p>
    <w:p>
      <w:pPr>
        <w:ind w:left="1020" w:hanging="263"/>
        <w:spacing w:after="0"/>
        <w:tabs>
          <w:tab w:leader="none" w:pos="102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Merger Sub and the Company each hereby waives (i) the obligation of the Parties set forth in Section 7.2(b)</w:t>
      </w:r>
    </w:p>
    <w:p>
      <w:pPr>
        <w:spacing w:after="0" w:line="14" w:lineRule="exact"/>
        <w:rPr>
          <w:rFonts w:ascii="Times New Roman" w:cs="Times New Roman" w:eastAsia="Times New Roman" w:hAnsi="Times New Roman"/>
          <w:sz w:val="22"/>
          <w:szCs w:val="22"/>
          <w:color w:val="auto"/>
        </w:rPr>
      </w:pPr>
    </w:p>
    <w:p>
      <w:pPr>
        <w:jc w:val="both"/>
        <w:ind w:firstLine="8"/>
        <w:spacing w:after="0" w:line="232" w:lineRule="auto"/>
        <w:tabs>
          <w:tab w:leader="none" w:pos="32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Merger Agreement, and as set forth as Item No. 1 in Section 7.2(b) of the Company Disclosure Letter, to make a filing under the Antitrust Laws of Brazil in connection with the Merger and (ii) the condition to the respective obligations of each Party to effect the Merger set forth in Section 8.1(e)(ii) of the Merger Agreement, and as set forth as Item No. 1 in Section 8.1(e) of the Company Disclosure Letter, to obtain the Brazilian Antitrust Approval. In furtherance and not in limitation of the foregoing, Parent, Merger Sub and the Company each hereby agrees that the Antitrust Laws of Brazil shall not be deemed to be Applicable Antitrust Laws for any purpose under the Merger Agreement.</w:t>
      </w:r>
    </w:p>
    <w:p>
      <w:pPr>
        <w:spacing w:after="0" w:line="128" w:lineRule="exact"/>
        <w:rPr>
          <w:rFonts w:ascii="Times New Roman" w:cs="Times New Roman" w:eastAsia="Times New Roman" w:hAnsi="Times New Roman"/>
          <w:sz w:val="22"/>
          <w:szCs w:val="22"/>
          <w:color w:val="auto"/>
        </w:rPr>
      </w:pPr>
    </w:p>
    <w:p>
      <w:pPr>
        <w:jc w:val="both"/>
        <w:ind w:right="180" w:firstLine="757"/>
        <w:spacing w:after="0" w:line="239" w:lineRule="auto"/>
        <w:tabs>
          <w:tab w:leader="none" w:pos="1014"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Section 10.1 (Amendment and Modification; Waiver), Section 10.6 (Counterparts), Section 10.7 (Entire Agreement; Third-Party Beneficiaries), Section 10.8 (Severability), Section 10.9 (Governing Law; Jurisdiction), Section 10.10 (Waiver of Jury Trial) and Section 10.14 (Non-Recourse) of the Merger Agreement are incorporated herein by reference as if such provisions were expressly set out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follow</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IN WITNESS WHEREOF, Parent and the Company have executed this Waiver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9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STERLING CHECK CORP.</w:t>
      </w:r>
    </w:p>
    <w:p>
      <w:pPr>
        <w:spacing w:after="0" w:line="237" w:lineRule="exact"/>
        <w:rPr>
          <w:sz w:val="20"/>
          <w:szCs w:val="20"/>
          <w:color w:val="auto"/>
        </w:rPr>
      </w:pPr>
    </w:p>
    <w:tbl>
      <w:tblPr>
        <w:tblLayout w:type="fixed"/>
        <w:tblInd w:w="398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 Steven Barnett</w:t>
            </w:r>
          </w:p>
        </w:tc>
        <w:tc>
          <w:tcPr>
            <w:tcW w:w="2560" w:type="dxa"/>
            <w:vAlign w:val="bottom"/>
          </w:tcPr>
          <w:p>
            <w:pPr>
              <w:spacing w:after="0"/>
              <w:rPr>
                <w:sz w:val="22"/>
                <w:szCs w:val="22"/>
                <w:color w:val="auto"/>
              </w:rPr>
            </w:pPr>
          </w:p>
        </w:tc>
      </w:tr>
      <w:tr>
        <w:trPr>
          <w:trHeight w:val="26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Barnett</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1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EVP, Secretary and Chief Legal &amp; Risk Officer</w:t>
            </w:r>
          </w:p>
        </w:tc>
      </w:tr>
    </w:tbl>
    <w:p>
      <w:pPr>
        <w:spacing w:after="0" w:line="200" w:lineRule="exact"/>
        <w:rPr>
          <w:sz w:val="20"/>
          <w:szCs w:val="20"/>
          <w:color w:val="auto"/>
        </w:rPr>
      </w:pPr>
    </w:p>
    <w:p>
      <w:pPr>
        <w:spacing w:after="0" w:line="25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PARENT:</w:t>
      </w:r>
    </w:p>
    <w:p>
      <w:pPr>
        <w:spacing w:after="0" w:line="29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FIRST ADVANTAGE CORPORATION</w:t>
      </w:r>
    </w:p>
    <w:p>
      <w:pPr>
        <w:spacing w:after="0" w:line="237" w:lineRule="exact"/>
        <w:rPr>
          <w:sz w:val="20"/>
          <w:szCs w:val="20"/>
          <w:color w:val="auto"/>
        </w:rPr>
      </w:pPr>
    </w:p>
    <w:tbl>
      <w:tblPr>
        <w:tblLayout w:type="fixed"/>
        <w:tblInd w:w="398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 Bret Jardine</w:t>
            </w:r>
          </w:p>
        </w:tc>
        <w:tc>
          <w:tcPr>
            <w:tcW w:w="3700" w:type="dxa"/>
            <w:vAlign w:val="bottom"/>
          </w:tcPr>
          <w:p>
            <w:pPr>
              <w:spacing w:after="0"/>
              <w:rPr>
                <w:sz w:val="22"/>
                <w:szCs w:val="22"/>
                <w:color w:val="auto"/>
              </w:rPr>
            </w:pPr>
          </w:p>
        </w:tc>
      </w:tr>
      <w:tr>
        <w:trPr>
          <w:trHeight w:val="26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Bret Jardine</w:t>
            </w:r>
          </w:p>
        </w:tc>
      </w:tr>
      <w:tr>
        <w:trPr>
          <w:trHeight w:val="243"/>
        </w:trPr>
        <w:tc>
          <w:tcPr>
            <w:tcW w:w="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50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Executive Vice President, General Counsel and Corporate</w:t>
            </w:r>
          </w:p>
        </w:tc>
      </w:tr>
      <w:tr>
        <w:trPr>
          <w:trHeight w:val="282"/>
        </w:trPr>
        <w:tc>
          <w:tcPr>
            <w:tcW w:w="80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Secretary</w:t>
            </w:r>
          </w:p>
        </w:tc>
      </w:tr>
    </w:tbl>
    <w:p>
      <w:pPr>
        <w:spacing w:after="0" w:line="200" w:lineRule="exact"/>
        <w:rPr>
          <w:sz w:val="20"/>
          <w:szCs w:val="20"/>
          <w:color w:val="auto"/>
        </w:rPr>
      </w:pPr>
    </w:p>
    <w:p>
      <w:pPr>
        <w:spacing w:after="0" w:line="25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MERGER SUB:</w:t>
      </w:r>
    </w:p>
    <w:p>
      <w:pPr>
        <w:spacing w:after="0" w:line="29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STARTER MERGER SUB, INC.</w:t>
      </w:r>
    </w:p>
    <w:p>
      <w:pPr>
        <w:spacing w:after="0" w:line="237" w:lineRule="exact"/>
        <w:rPr>
          <w:sz w:val="20"/>
          <w:szCs w:val="20"/>
          <w:color w:val="auto"/>
        </w:rPr>
      </w:pPr>
    </w:p>
    <w:tbl>
      <w:tblPr>
        <w:tblLayout w:type="fixed"/>
        <w:tblInd w:w="398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 Bret Jardine</w:t>
            </w:r>
          </w:p>
        </w:tc>
        <w:tc>
          <w:tcPr>
            <w:tcW w:w="3700" w:type="dxa"/>
            <w:vAlign w:val="bottom"/>
          </w:tcPr>
          <w:p>
            <w:pPr>
              <w:spacing w:after="0"/>
              <w:rPr>
                <w:sz w:val="21"/>
                <w:szCs w:val="21"/>
                <w:color w:val="auto"/>
              </w:rPr>
            </w:pPr>
          </w:p>
        </w:tc>
      </w:tr>
      <w:tr>
        <w:trPr>
          <w:trHeight w:val="26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Bret Jardine</w:t>
            </w:r>
          </w:p>
        </w:tc>
      </w:tr>
      <w:tr>
        <w:trPr>
          <w:trHeight w:val="243"/>
        </w:trPr>
        <w:tc>
          <w:tcPr>
            <w:tcW w:w="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50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7"/>
              </w:rPr>
              <w:t>Executive Vice President, General Counsel and Corporate</w:t>
            </w:r>
          </w:p>
        </w:tc>
      </w:tr>
      <w:tr>
        <w:trPr>
          <w:trHeight w:val="282"/>
        </w:trPr>
        <w:tc>
          <w:tcPr>
            <w:tcW w:w="80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[Signature Page to Waiver of Brazil Antitrust Filing Obligation and Closing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635635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1080" w:top="760" w:right="10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Staples, certify that:</w:t>
      </w:r>
    </w:p>
    <w:p>
      <w:pPr>
        <w:spacing w:after="0" w:line="333"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First Advantage Corporation;</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8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660" w:val="left"/>
          <w:tab w:leader="none" w:pos="80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Scott Staples</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 Gamsey, certify that:</w:t>
      </w:r>
    </w:p>
    <w:p>
      <w:pPr>
        <w:spacing w:after="0" w:line="333"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First Advantage Corporation;</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8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660" w:val="left"/>
          <w:tab w:leader="none" w:pos="790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David L. Gamsey</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Advantage Corporation (the “Company”) for the quarter ended March 31, 2024 as filed with the Securities and Exchange Commission on the date hereof (the “Report”), I certify, pursuant to 18 U.S.C. § 1350, as adopted pursuant to § 906 of the Sarbanes-Oxley Act of 2002, that, to the best of my knowledge:</w:t>
      </w:r>
    </w:p>
    <w:p>
      <w:pPr>
        <w:spacing w:after="0" w:line="28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tabs>
          <w:tab w:leader="none" w:pos="5660" w:val="left"/>
          <w:tab w:leader="none" w:pos="80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Scott Staples</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Advantage Corporation (the “Company”) for the quarter ended March 31, 2024 as filed with the Securities and Exchange Commission on the date hereof (the “Report”), I certify, pursuant to 18 U.S.C. § 1350, as adopted pursuant to § 906 of the Sarbanes-Oxley Act of 2002, that, to the best of my knowledge:</w:t>
      </w:r>
    </w:p>
    <w:p>
      <w:pPr>
        <w:spacing w:after="0" w:line="28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tabs>
          <w:tab w:leader="none" w:pos="5660" w:val="left"/>
          <w:tab w:leader="none" w:pos="790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David L. Gamsey</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2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lowerRoman"/>
      <w:start w:val="1"/>
    </w:lvl>
    <w:lvl w:ilvl="1">
      <w:lvlJc w:val="left"/>
      <w:lvlText w:val="%2."/>
      <w:numFmt w:val="decimal"/>
      <w:start w:val="1"/>
    </w:lvl>
  </w:abstractNum>
  <w:abstractNum w:abstractNumId="17">
    <w:nsid w:val="62BBD95A"/>
    <w:multiLevelType w:val="hybridMultilevel"/>
    <w:lvl w:ilvl="0">
      <w:lvlJc w:val="left"/>
      <w:lvlText w:val="(%1)"/>
      <w:numFmt w:val="lowerRoman"/>
      <w:start w:val="2"/>
    </w:lvl>
    <w:lvl w:ilvl="1">
      <w:lvlJc w:val="left"/>
      <w:lvlText w:val="%2."/>
      <w:numFmt w:val="decimal"/>
      <w:start w:val="2"/>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32" Type="http://schemas.openxmlformats.org/officeDocument/2006/relationships/hyperlink" Target="https://www.sec.gov/Archives/edgar/data/1210677/000095017024023541/fa-ex2_1.htm" TargetMode="External"/><Relationship Id="rId133" Type="http://schemas.openxmlformats.org/officeDocument/2006/relationships/hyperlink" Target="https://www.sec.gov/Archives/edgar/data/1210677/000119312521200542/d12470dex31.htm" TargetMode="External"/><Relationship Id="rId134" Type="http://schemas.openxmlformats.org/officeDocument/2006/relationships/hyperlink" Target="https://www.sec.gov/Archives/edgar/data/1210677/000119312521200542/d12470dex32.htm" TargetMode="External"/><Relationship Id="rId135" Type="http://schemas.openxmlformats.org/officeDocument/2006/relationships/hyperlink" Target="https://www.sec.gov/Archives/edgar/data/1210677/000095017024023541/fa-ex10_1.htm" TargetMode="External"/><Relationship Id="rId136" Type="http://schemas.openxmlformats.org/officeDocument/2006/relationships/hyperlink" Target="https://www.sec.gov/Archives/edgar/data/1210677/000095017024023541/fa-ex10_2.htm" TargetMode="External"/><Relationship Id="rId137" Type="http://schemas.openxmlformats.org/officeDocument/2006/relationships/hyperlink" Target="https://www.sec.gov/Archives/edgar/data/1210677/000095017024023541/fa-ex10_3.htm" TargetMode="External"/><Relationship Id="rId138" Type="http://schemas.openxmlformats.org/officeDocument/2006/relationships/hyperlink" Target="https://www.sec.gov/Archives/edgar/data/1210677/000095017024023541/fa-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2024-05-09T15:54:21Z</dcterms:created>
  <dcterms:modified xsi:type="dcterms:W3CDTF">2024-05-09T15:54:21Z</dcterms:modified>
</cp:coreProperties>
</file>