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73"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001-31666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First Advantage Corporation</w:t>
      </w:r>
    </w:p>
    <w:p>
      <w:pPr>
        <w:sectPr>
          <w:pgSz w:w="11900" w:h="16838" w:orient="portrait"/>
          <w:cols w:equalWidth="0" w:num="1">
            <w:col w:w="11240"/>
          </w:cols>
          <w:pgMar w:left="320" w:top="1280"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1 Concourse Parkway NE, Suite 200</w:t>
      </w:r>
    </w:p>
    <w:p>
      <w:pPr>
        <w:spacing w:after="0" w:line="4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Atlanta, 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84-3884690</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49"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30328</w:t>
      </w:r>
    </w:p>
    <w:p>
      <w:pPr>
        <w:spacing w:after="0" w:line="38" w:lineRule="exact"/>
        <w:rPr>
          <w:sz w:val="24"/>
          <w:szCs w:val="24"/>
          <w:color w:val="auto"/>
        </w:rPr>
      </w:pPr>
    </w:p>
    <w:p>
      <w:pPr>
        <w:sectPr>
          <w:pgSz w:w="11900" w:h="16838" w:orient="portrait"/>
          <w:cols w:equalWidth="0" w:num="2">
            <w:col w:w="7700" w:space="240"/>
            <w:col w:w="3300"/>
          </w:cols>
          <w:pgMar w:left="320" w:top="128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314-9761</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FA</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2, 2024, the reg</w:t>
      </w:r>
      <w:r>
        <w:rPr>
          <w:rFonts w:ascii="Times New Roman" w:cs="Times New Roman" w:eastAsia="Times New Roman" w:hAnsi="Times New Roman"/>
          <w:sz w:val="16"/>
          <w:szCs w:val="16"/>
          <w:color w:val="404040"/>
        </w:rPr>
        <w:t>istrant had 145,407,414 sh</w:t>
      </w:r>
      <w:r>
        <w:rPr>
          <w:rFonts w:ascii="Times New Roman" w:cs="Times New Roman" w:eastAsia="Times New Roman" w:hAnsi="Times New Roman"/>
          <w:sz w:val="16"/>
          <w:szCs w:val="16"/>
          <w:color w:val="auto"/>
        </w:rPr>
        <w:t>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1019810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4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Operations and Comprehensive Income (Loss)</w:t>
            </w:r>
          </w:p>
        </w:tc>
        <w:tc>
          <w:tcPr>
            <w:tcW w:w="40" w:type="dxa"/>
            <w:vAlign w:val="bottom"/>
            <w:tcBorders>
              <w:bottom w:val="single" w:sz="8" w:color="0000EE"/>
            </w:tcBorders>
          </w:tcPr>
          <w:p>
            <w:pPr>
              <w:spacing w:after="0"/>
              <w:rPr>
                <w:sz w:val="18"/>
                <w:szCs w:val="18"/>
                <w:color w:val="auto"/>
              </w:rPr>
            </w:pPr>
          </w:p>
        </w:tc>
        <w:tc>
          <w:tcPr>
            <w:tcW w:w="3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380" w:type="dxa"/>
            <w:vAlign w:val="bottom"/>
            <w:gridSpan w:val="3"/>
            <w:shd w:val="clear" w:color="auto" w:fill="0563C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6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Changes in Stockholders’ Equity</w:t>
            </w:r>
          </w:p>
        </w:tc>
        <w:tc>
          <w:tcPr>
            <w:tcW w:w="40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Notes to Unaudited Condensed Consolidated Financial Statements</w:t>
            </w:r>
          </w:p>
        </w:tc>
        <w:tc>
          <w:tcPr>
            <w:tcW w:w="45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gridSpan w:val="5"/>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740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420" w:type="dxa"/>
            <w:vAlign w:val="bottom"/>
            <w:tcBorders>
              <w:top w:val="single" w:sz="8" w:color="0563C1"/>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9"/>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466"/>
        </w:trPr>
        <w:tc>
          <w:tcPr>
            <w:tcW w:w="20" w:type="dxa"/>
            <w:vAlign w:val="bottom"/>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380" w:type="dxa"/>
            <w:vAlign w:val="bottom"/>
          </w:tcPr>
          <w:p>
            <w:pPr>
              <w:spacing w:after="0"/>
              <w:rPr>
                <w:sz w:val="24"/>
                <w:szCs w:val="24"/>
                <w:color w:val="auto"/>
              </w:rPr>
            </w:pPr>
          </w:p>
        </w:tc>
        <w:tc>
          <w:tcPr>
            <w:tcW w:w="480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269,563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213,774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r>
      <w:tr>
        <w:trPr>
          <w:trHeight w:val="215"/>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$1,179 and $1,036 at June 30, 2024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130,768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142,690</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13,426</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7,101</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3,710</w:t>
            </w:r>
          </w:p>
        </w:tc>
      </w:tr>
      <w:tr>
        <w:trPr>
          <w:trHeight w:val="232"/>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427,225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373,738</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63,463</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79,441</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819,136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820,654</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 names,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62,571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66,229</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lists, net</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250,397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275,528</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2,257</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 net</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2,786</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8,268</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10,021</w:t>
            </w:r>
          </w:p>
        </w:tc>
      </w:tr>
      <w:tr>
        <w:trPr>
          <w:trHeight w:val="23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1,635,950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r>
      <w:tr>
        <w:trPr>
          <w:trHeight w:val="23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55,486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47,024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16,379</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16,162</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3,354</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1,856</w:t>
            </w:r>
          </w:p>
        </w:tc>
      </w:tr>
      <w:tr>
        <w:trPr>
          <w:trHeight w:val="237"/>
        </w:trPr>
        <w:tc>
          <w:tcPr>
            <w:tcW w:w="77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99,098</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85,039</w:t>
            </w:r>
          </w:p>
        </w:tc>
      </w:tr>
      <w:tr>
        <w:trPr>
          <w:trHeight w:val="21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deferred financing costs of $5,352 and $6,268 at June 30, 2024 and December</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2023, respectively)</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559,372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558,456</w:t>
            </w:r>
          </w:p>
        </w:tc>
      </w:tr>
      <w:tr>
        <w:trPr>
          <w:trHeight w:val="250"/>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56,508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71,274</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5,931</w:t>
            </w:r>
          </w:p>
        </w:tc>
      </w:tr>
      <w:tr>
        <w:trPr>
          <w:trHeight w:val="247"/>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3,221</w:t>
            </w:r>
          </w:p>
        </w:tc>
      </w:tr>
      <w:tr>
        <w:trPr>
          <w:trHeight w:val="232"/>
        </w:trPr>
        <w:tc>
          <w:tcPr>
            <w:tcW w:w="7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722,639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723,921</w:t>
            </w:r>
          </w:p>
        </w:tc>
      </w:tr>
      <w:tr>
        <w:trPr>
          <w:trHeight w:val="247"/>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r>
      <w:tr>
        <w:trPr>
          <w:trHeight w:val="241"/>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3"/>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$0.001 par value; 1,000,000,000 shares authorized, 145,324,615 and</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r>
      <w:tr>
        <w:trPr>
          <w:trHeight w:val="248"/>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145,074,802 shares issued and outstanding at June 30, 2024 and December 31, 2023, respectively</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w:t>
            </w:r>
          </w:p>
        </w:tc>
      </w:tr>
      <w:tr>
        <w:trPr>
          <w:trHeight w:val="239"/>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987,986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977,290</w:t>
            </w:r>
          </w:p>
        </w:tc>
      </w:tr>
      <w:tr>
        <w:trPr>
          <w:trHeight w:val="247"/>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(50,592 )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(49,545 )</w:t>
            </w:r>
          </w:p>
        </w:tc>
      </w:tr>
      <w:tr>
        <w:trPr>
          <w:trHeight w:val="243"/>
        </w:trPr>
        <w:tc>
          <w:tcPr>
            <w:tcW w:w="7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(24,228 )</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(21,157 )</w:t>
            </w:r>
          </w:p>
        </w:tc>
      </w:tr>
      <w:tr>
        <w:trPr>
          <w:trHeight w:val="236"/>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913,311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906,733</w:t>
            </w:r>
          </w:p>
        </w:tc>
      </w:tr>
      <w:tr>
        <w:trPr>
          <w:trHeight w:val="236"/>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1,635,950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1,630,654</w:t>
            </w: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-5160010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-3916680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-1576705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184,546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185,315</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353,962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360,835</w:t>
            </w:r>
          </w:p>
        </w:tc>
      </w:tr>
      <w:tr>
        <w:trPr>
          <w:trHeight w:val="243"/>
        </w:trPr>
        <w:tc>
          <w:tcPr>
            <w:tcW w:w="4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11"/>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below)</w:t>
            </w:r>
          </w:p>
        </w:tc>
        <w:tc>
          <w:tcPr>
            <w:tcW w:w="30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92,348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92,997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179,540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184,058</w:t>
            </w:r>
          </w:p>
        </w:tc>
      </w:tr>
      <w:tr>
        <w:trPr>
          <w:trHeight w:val="250"/>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13,677</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12,643</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25,267</w:t>
            </w:r>
          </w:p>
        </w:tc>
      </w:tr>
      <w:tr>
        <w:trPr>
          <w:trHeight w:val="239"/>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0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38,640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79,302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58,664</w:t>
            </w:r>
          </w:p>
        </w:tc>
      </w:tr>
      <w:tr>
        <w:trPr>
          <w:trHeight w:val="247"/>
        </w:trPr>
        <w:tc>
          <w:tcPr>
            <w:tcW w:w="4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32,056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59,800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63,922</w:t>
            </w:r>
          </w:p>
        </w:tc>
      </w:tr>
      <w:tr>
        <w:trPr>
          <w:trHeight w:val="237"/>
        </w:trPr>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174,643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167,678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344,785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331,911</w:t>
            </w:r>
          </w:p>
        </w:tc>
      </w:tr>
      <w:tr>
        <w:trPr>
          <w:trHeight w:val="237"/>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17,637</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28,924</w:t>
            </w:r>
          </w:p>
        </w:tc>
      </w:tr>
      <w:tr>
        <w:trPr>
          <w:trHeight w:val="236"/>
        </w:trPr>
        <w:tc>
          <w:tcPr>
            <w:tcW w:w="4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12,568</w:t>
            </w:r>
          </w:p>
        </w:tc>
      </w:tr>
      <w:tr>
        <w:trPr>
          <w:trHeight w:val="237"/>
        </w:trPr>
        <w:tc>
          <w:tcPr>
            <w:tcW w:w="4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12,568</w:t>
            </w:r>
          </w:p>
        </w:tc>
      </w:tr>
      <w:tr>
        <w:trPr>
          <w:trHeight w:val="205"/>
        </w:trPr>
        <w:tc>
          <w:tcPr>
            <w:tcW w:w="48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(LOSS) BEFORE PROVISION FOR INCOME</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0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16,356</w:t>
            </w:r>
          </w:p>
        </w:tc>
      </w:tr>
      <w:tr>
        <w:trPr>
          <w:trHeight w:val="250"/>
        </w:trPr>
        <w:tc>
          <w:tcPr>
            <w:tcW w:w="4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4,649</w:t>
            </w: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1,861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9,782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11,707</w:t>
            </w:r>
          </w:p>
        </w:tc>
      </w:tr>
      <w:tr>
        <w:trPr>
          <w:trHeight w:val="20"/>
        </w:trPr>
        <w:tc>
          <w:tcPr>
            <w:tcW w:w="4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 income</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(3,071 )</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1,087</w:t>
            </w:r>
          </w:p>
        </w:tc>
      </w:tr>
      <w:tr>
        <w:trPr>
          <w:trHeight w:val="27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563</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(4,118 )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12,794</w:t>
            </w:r>
          </w:p>
        </w:tc>
      </w:tr>
      <w:tr>
        <w:trPr>
          <w:trHeight w:val="224"/>
        </w:trPr>
        <w:tc>
          <w:tcPr>
            <w:tcW w:w="48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43"/>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1,861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9,782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11,707</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r>
      <w:tr>
        <w:trPr>
          <w:trHeight w:val="23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30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143,863,667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144,112,028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143,727,612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144,982,459</w:t>
            </w: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145,856,112</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145,338,920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143,727,612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146,894,790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-3025140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-3025140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-3025140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-2699385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-2699385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-2699385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-2065020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-2065020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-2065020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-1610995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-1610995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-1610995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-950595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-933450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-950595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-933450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-950595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-933450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40" w:type="dxa"/>
            <w:vAlign w:val="bottom"/>
            <w:tcBorders>
              <w:bottom w:val="single" w:sz="8" w:color="auto"/>
            </w:tcBorders>
          </w:tcPr>
          <w:p>
            <w:pPr>
              <w:spacing w:after="0"/>
              <w:rPr>
                <w:sz w:val="16"/>
                <w:szCs w:val="16"/>
                <w:color w:val="auto"/>
              </w:rPr>
            </w:pPr>
          </w:p>
        </w:tc>
      </w:tr>
      <w:tr>
        <w:trPr>
          <w:trHeight w:val="169"/>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11,707</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59,800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63,922</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927</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Bad debt (recovery) expense</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taxes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(14,601 )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5,659</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foreign currency exchange rates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disposal of fixed assets and impairment of ROU assets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(9,177 )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(1,235 )</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11,919</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4,034</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5,335</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7,565</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(3,035 )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and accrued liabilities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7,203</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r>
      <w:tr>
        <w:trPr>
          <w:trHeight w:val="243"/>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receivable and payable, net</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(3,348 )</w:t>
            </w:r>
          </w:p>
        </w:tc>
        <w:tc>
          <w:tcPr>
            <w:tcW w:w="1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(6,047 )</w:t>
            </w:r>
          </w:p>
        </w:tc>
      </w:tr>
      <w:tr>
        <w:trPr>
          <w:trHeight w:val="237"/>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70,372</w:t>
            </w:r>
          </w:p>
        </w:tc>
        <w:tc>
          <w:tcPr>
            <w:tcW w:w="12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71,722</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(12,894 )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r>
      <w:tr>
        <w:trPr>
          <w:trHeight w:val="247"/>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36"/>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(13,812 )</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(13,318 )</w:t>
            </w:r>
          </w:p>
        </w:tc>
      </w:tr>
      <w:tr>
        <w:trPr>
          <w:trHeight w:val="23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share-based compensation plans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2,104</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deferred purchase agreements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settlement of share-based compensation plan awards</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247"/>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dividends paid</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repurchases</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(52,334 )</w:t>
            </w:r>
          </w:p>
        </w:tc>
      </w:tr>
      <w:tr>
        <w:trPr>
          <w:trHeight w:val="247"/>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7"/>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(50,984 )</w:t>
            </w:r>
          </w:p>
        </w:tc>
      </w:tr>
      <w:tr>
        <w:trPr>
          <w:trHeight w:val="23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4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4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55,737</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7,390</w:t>
            </w:r>
          </w:p>
        </w:tc>
      </w:tr>
      <w:tr>
        <w:trPr>
          <w:trHeight w:val="247"/>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213,912</w:t>
            </w:r>
          </w:p>
        </w:tc>
        <w:tc>
          <w:tcPr>
            <w:tcW w:w="1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391,796</w:t>
            </w: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269,649</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399,186</w:t>
            </w:r>
          </w:p>
        </w:tc>
      </w:tr>
      <w:tr>
        <w:trPr>
          <w:trHeight w:val="20"/>
        </w:trPr>
        <w:tc>
          <w:tcPr>
            <w:tcW w:w="7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41"/>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17,158</w:t>
            </w:r>
          </w:p>
        </w:tc>
        <w:tc>
          <w:tcPr>
            <w:tcW w:w="8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13,797</w:t>
            </w: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23,887</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21,933</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acquired on account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1,030</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r>
      <w:tr>
        <w:trPr>
          <w:trHeight w:val="247"/>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property and equipment additions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8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taxes on share repurchases incurred but not paid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-3928745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-3302635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-2051050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-1416685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977,290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(49,545 )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906,733</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(1,773 )</w:t>
            </w: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(2,908 )</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982,982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(22,930 )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907,744</w:t>
            </w:r>
          </w:p>
        </w:tc>
        <w:tc>
          <w:tcPr>
            <w:tcW w:w="0" w:type="dxa"/>
            <w:vAlign w:val="bottom"/>
          </w:tcPr>
          <w:p>
            <w:pPr>
              <w:spacing w:after="0"/>
              <w:rPr>
                <w:sz w:val="1"/>
                <w:szCs w:val="1"/>
                <w:color w:val="auto"/>
              </w:rPr>
            </w:pPr>
          </w:p>
        </w:tc>
      </w:tr>
      <w:tr>
        <w:trPr>
          <w:trHeight w:val="24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Forfeitures of previously declared cash dividends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(1,298 )</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7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987,986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(50,592 )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(24,228 )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913,311</w:t>
            </w:r>
          </w:p>
        </w:tc>
        <w:tc>
          <w:tcPr>
            <w:tcW w:w="0" w:type="dxa"/>
            <w:vAlign w:val="bottom"/>
          </w:tcPr>
          <w:p>
            <w:pPr>
              <w:spacing w:after="0"/>
              <w:rPr>
                <w:sz w:val="1"/>
                <w:szCs w:val="1"/>
                <w:color w:val="auto"/>
              </w:rPr>
            </w:pPr>
          </w:p>
        </w:tc>
      </w:tr>
      <w:tr>
        <w:trPr>
          <w:trHeight w:val="401"/>
        </w:trPr>
        <w:tc>
          <w:tcPr>
            <w:tcW w:w="4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vMerge w:val="restart"/>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1,176,163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(27,363 )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(22,331 )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1,126,618</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(25,515 )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(25,517 )</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1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1,925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1,179,595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(50,953 )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1,107,327</w:t>
            </w:r>
          </w:p>
        </w:tc>
        <w:tc>
          <w:tcPr>
            <w:tcW w:w="0" w:type="dxa"/>
            <w:vAlign w:val="bottom"/>
          </w:tcPr>
          <w:p>
            <w:pPr>
              <w:spacing w:after="0"/>
              <w:rPr>
                <w:sz w:val="1"/>
                <w:szCs w:val="1"/>
                <w:color w:val="auto"/>
              </w:rPr>
            </w:pPr>
          </w:p>
        </w:tc>
      </w:tr>
      <w:tr>
        <w:trPr>
          <w:trHeight w:val="24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3,601</w:t>
            </w:r>
          </w:p>
        </w:tc>
        <w:tc>
          <w:tcPr>
            <w:tcW w:w="0" w:type="dxa"/>
            <w:vAlign w:val="bottom"/>
          </w:tcPr>
          <w:p>
            <w:pPr>
              <w:spacing w:after="0"/>
              <w:rPr>
                <w:sz w:val="1"/>
                <w:szCs w:val="1"/>
                <w:color w:val="auto"/>
              </w:rPr>
            </w:pPr>
          </w:p>
        </w:tc>
      </w:tr>
      <w:tr>
        <w:trPr>
          <w:trHeight w:val="23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(27,339 )</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under share-</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based compensation plans</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withheld for tax obligations on restricted</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unit and option settlement</w:t>
            </w:r>
          </w:p>
        </w:tc>
        <w:tc>
          <w:tcPr>
            <w:tcW w:w="100" w:type="dxa"/>
            <w:vAlign w:val="bottom"/>
          </w:tcPr>
          <w:p>
            <w:pPr>
              <w:spacing w:after="0"/>
              <w:rPr>
                <w:sz w:val="20"/>
                <w:szCs w:val="20"/>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50"/>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9,782</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2023</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1,183,715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(68,508 )</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(21,244 )</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1,094,108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-5039995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-5039995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-5039995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-5039995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-3514090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-3496945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-3514090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-3496945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-3514090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-3496945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-3514090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-3496945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-1550670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-1550670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-1550670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-1550670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-8255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Advantage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Nature of Business, and Basis of Presentation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First Advantage Corporation, a Delaware corporation, was formed on November 15, 2019. Hereafter, First Advantage Corporation and its subsidiaries will collectively be referred to as the “Company.”</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Company derives its revenues from a variety of background check and compliance services performed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Pre-onboarding services are comprised of an extensive array of products and solutions that customers typically utilize to enhance their evaluation process and support compliance from the time a job or other application is submitted to a successful applicant’s onboarding date. This includes searches such as criminal background checks, drug / health screenings, extended workforce screening, biometrics and identity checks, education / workforce verification, driver records and compliance, healthcare credentials, and executive screening.</w:t>
      </w:r>
    </w:p>
    <w:p>
      <w:pPr>
        <w:spacing w:after="0" w:line="12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Post-onboarding services are comprised of continuous monitoring and re-screening solutions, which are important tools to help keep their end customers, workforces, and other stakeholders safer, more productive, and more compliant. Our post-monitoring solutions include criminal records, healthcare sanctions, motor vehicle records, social media, and global sanctions screening continuously or at regular intervals selected by our customers.</w:t>
      </w:r>
    </w:p>
    <w:p>
      <w:pPr>
        <w:spacing w:after="0" w:line="12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Adjacent products include products that complement our pre-onboarding and post-onboarding products and solutions. This includes fleet / vehicle compliance, hiring tax credits and incentives, resident / tenant screening, employment eligibility, and investigative research.</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—The accompanying unaudited condensed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and include the accounts of the Company and its wholly owned subsidiaries. All significant intercompany transactions and balances have been eliminated. The Company includes the results of operations of acquired companies prospectively from the date of acquisition.</w:t>
      </w:r>
    </w:p>
    <w:p>
      <w:pPr>
        <w:spacing w:after="0" w:line="12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but in the opinion of management, such financial statements include all adjustments, consisting of normal recurring adjustments, necessary to summarize fairly the Company’s financial position, results of operations, and cash flows for the interim periods presented. The interim results reported in these condensed consolidated financial statements should not be taken as indicative of results that may be expected for future interim periods or the full year. For a more comprehensive understanding of the Company and its condensed consolidated financial statements, these interim financial statements should be read in conjunction with the Company’s Annual Report on Form 10-K for the year ended December 31, 2023.</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seasonality with respect to certain customer industries as a result of fluctuations in hiring volumes and other economic activities. Generally, the Company’s highest revenues have historically occurred between October and November of each year, driven by many customers’ pre-holiday season hiring initiatives.</w:t>
      </w:r>
    </w:p>
    <w:p>
      <w:pPr>
        <w:spacing w:after="0" w:line="118"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the condensed consolidated financial statements in accordance with GAAP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and disclosure of contingent assets and liabilities at the date of the financial statements and the reported amounts of revenues and expenses during the reported period. Changes in these estimates and assumptions may have a material impact on the condensed consolidated financial statements and accompanying notes.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Significant estimates, judgments, and assumptions, include, but are not limited to, the determination of the fair value and useful lives of assets acquired and liabilities assumed through business combinations, goodwill impairment, revenue recognition, capitalized software, assumptions used for purposes of determining share-based compensation, and income tax liabilities and assets. The Company bases its estimates on historical experience and on various other assumptions that are believed to be reasonable under the circumstances. Actual results could differ from these estimates.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Certain financial assets and liabilities are reported at fair value in the accompanying consolidated balance sheets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accordance with Financial Accounting Standards Board (“FASB”) Accounting Standards Codification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framework for measuring fair value and expands disclosures about fair value measurements. ASC 820 defines fair value as the price that would be received upon sale of an asset or paid to transfer a liability in an orderly transaction between market participants at the measurement date. The valuation techniques required by ASC 820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for identical instruments in active markets.</w:t>
      </w:r>
    </w:p>
    <w:p>
      <w:pPr>
        <w:spacing w:after="0" w:line="171"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instruments in active markets, quoted prices for identical or similar instruments in markets that are not active,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model-derived valuations whose inputs are observable or whose significant value drivers are observable.</w:t>
      </w:r>
    </w:p>
    <w:p>
      <w:pPr>
        <w:spacing w:after="0" w:line="10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Significant inputs to the valuation model are unobservable (supported by little or no market activities). These inputs may be used with internally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developed methodologies that reflect the Company’s best estimate of fair value from a market participant.</w:t>
      </w:r>
    </w:p>
    <w:p>
      <w:pPr>
        <w:spacing w:after="0" w:line="10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receivables, and accounts payable approximate fair value due to the short-term maturities of these financial instruments (Level 1). The fair values and carrying values of the Company’s long-term debt are disclosed in Note 6.</w:t>
      </w:r>
    </w:p>
    <w:p>
      <w:pPr>
        <w:spacing w:after="0" w:line="10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and their assigned levels within the valuation hierarchy as of June 30, 2024 (in thousands):</w:t>
      </w:r>
    </w:p>
    <w:p>
      <w:pPr>
        <w:spacing w:after="0" w:line="115" w:lineRule="exact"/>
        <w:rPr>
          <w:sz w:val="20"/>
          <w:szCs w:val="20"/>
          <w:color w:val="auto"/>
        </w:rPr>
      </w:pPr>
    </w:p>
    <w:p>
      <w:pPr>
        <w:ind w:left="6800"/>
        <w:spacing w:after="0"/>
        <w:tabs>
          <w:tab w:leader="none" w:pos="8020" w:val="left"/>
          <w:tab w:leader="none" w:pos="926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16510</wp:posOffset>
            </wp:positionV>
            <wp:extent cx="23056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320"/>
        <w:spacing w:after="0"/>
        <w:tabs>
          <w:tab w:leader="none" w:pos="6480" w:val="left"/>
          <w:tab w:leader="none" w:pos="7340" w:val="left"/>
          <w:tab w:leader="none" w:pos="7740" w:val="left"/>
          <w:tab w:leader="none" w:pos="8360" w:val="left"/>
          <w:tab w:leader="none" w:pos="8960" w:val="left"/>
          <w:tab w:leader="none" w:pos="9820" w:val="left"/>
        </w:tabs>
        <w:rPr>
          <w:sz w:val="20"/>
          <w:szCs w:val="20"/>
          <w:color w:val="auto"/>
        </w:rPr>
      </w:pPr>
      <w:r>
        <w:rPr>
          <w:rFonts w:ascii="Times New Roman" w:cs="Times New Roman" w:eastAsia="Times New Roman" w:hAnsi="Times New Roman"/>
          <w:sz w:val="18"/>
          <w:szCs w:val="18"/>
          <w:color w:val="auto"/>
        </w:rPr>
        <w:t>Interest rate swaps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4,602</w:t>
        <w:tab/>
        <w:t>$</w:t>
      </w:r>
      <w:r>
        <w:rPr>
          <w:sz w:val="20"/>
          <w:szCs w:val="20"/>
          <w:color w:val="auto"/>
        </w:rPr>
        <w:tab/>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Other intangible assets are subject to nonrecurring fair value measurement as the result of business acquisitions. The fair values of these assets were estimated using the present value of expected future cash flows through unobservable inputs (Level 3).</w:t>
      </w:r>
    </w:p>
    <w:p>
      <w:pPr>
        <w:spacing w:after="0" w:line="10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Business Combinations</w:t>
      </w:r>
      <w:r>
        <w:rPr>
          <w:rFonts w:ascii="Times New Roman" w:cs="Times New Roman" w:eastAsia="Times New Roman" w:hAnsi="Times New Roman"/>
          <w:sz w:val="18"/>
          <w:szCs w:val="18"/>
          <w:color w:val="auto"/>
        </w:rPr>
        <w:t>— The Company records business combinations using the acquisition method of accounting in accordance with ASC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Under the acquisition method of accounting, identifiable assets acquired and liabilities assumed are recorded at their acquisition-date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valuing the trade names, customer lists, and software developed for internal use, the Company utilizes variations of the income approach, which relies on historical financial and qualitative information, as well as assumptions and estimates for projected financial information. The Company considers the income approach the most appropriate valuation technique because the inherent value of these assets is their ability to generate current and future income. Projected financial information is subject to risk if estimates are incorrect. The most significant estimate relates to projected revenues and profitability. If the projected revenues and profitability used in the valuation calculations are not met, then the asset could be impaired.</w:t>
      </w:r>
    </w:p>
    <w:p>
      <w:pPr>
        <w:spacing w:after="0" w:line="1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 </w:t>
      </w:r>
      <w:r>
        <w:rPr>
          <w:rFonts w:ascii="Times New Roman" w:cs="Times New Roman" w:eastAsia="Times New Roman" w:hAnsi="Times New Roman"/>
          <w:sz w:val="18"/>
          <w:szCs w:val="18"/>
          <w:color w:val="auto"/>
        </w:rPr>
        <w:t>Financial instruments which potentially subject the Company to concentrations of credit risk consist principally of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cash equivalents and accounts receivable. Cash is deposited with major financial institutions and, at times, such balances with each financial institution may be in excess of insured limits. The Company has not experienced, and does not anticipate, any losses with respect to its cash deposits. Accounts receivable represent credit granted to customers for services provided. The Company performs ongoing credit evaluations of its customers’ financial condition and generally does not require collateral on accounts receivable. The Company had one customer which represented approximately 11% of its consolidated revenues during the three and six months ended June 30, 2024. The Company had one customer which represented approximately 11% and 10% of its consolidated revenues during the three and six months ended June 30, 2023, respectively. Additionally, the Company did not have any customers which represented 10% or more of its consolidated accounts receivable, net for any period presented.</w:t>
      </w:r>
    </w:p>
    <w:p>
      <w:pPr>
        <w:spacing w:after="0" w:line="13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has entered into interest rate derivative agreements with a counterparty bank to reduce its exposure to interest rate volatility. The Company has determined the counterparty bank to be a high credit quality institution. The Company does not enter into financial instruments for trading or speculative purposes.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 The functional currency of all of the Company’s foreign subsidiaries is the applicable local currency. The translation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foreign currencies into U.S. dollars is performed for balance sheet accounts using current exchange rates in effect at the balance sheet date and for revenues and expense accounts using average exchange rates prevailing during the fiscal year. Adjustments resulting from the translation of foreign currency financial statements are accumulated net of tax in a separate component of equity. Currency translation (loss) income included in accumulated other comprehensive loss was approximately $(1.3) million and $0.2 million for the three months ended June 30, 2024 and 2023, respectively. Currency translation (loss) income included in accumulated other comprehensive loss was approximately $(3.1) million and $1.1 million for the six months ended June 30, 2024 and 2023, respectively.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Gains or losses resulting from foreign currency transactions are included in the accompanying condensed consolidated statements of operations and comprehensive (loss) income, except for those relating to intercompany transactions of a long-term investment nature, which are captured in a separate component of equity as accumulated other comprehensive loss. Currency transaction income (loss) included in the accompanying condensed consolidated statements of operations and comprehensive income (loss) was approximately $0.6 million and $0.2 million for the three months ended June 30, 2024 and 2023, respectively. Currency transaction income (loss) included in the accompanying condensed consolidated statements of operations and comprehensive income was approximately $0.6 million and $(0.3) million for the six months ended June 30, 2024 and 2023, respectively.</w:t>
      </w:r>
    </w:p>
    <w:p>
      <w:pPr>
        <w:spacing w:after="0" w:line="1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There were no accounting pronouncements issued during the six months ended June 30, 2024 that are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a material impact on the condensed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Sterling Check Corp.</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 The Merger Agreement provides that, upon the terms and subject to the conditions set forth therein, Merger Sub will be merged with and into Sterling, with Sterling continuing as the surviving corporation in such merger and becoming an indirect, wholly owned subsidiary of First Advantage. The cash-and-stock transaction (the “Acquisition”) valued Sterling at approximately $2.2 billion as of the date of the Merger Agreement.</w:t>
      </w:r>
    </w:p>
    <w:p>
      <w:pPr>
        <w:spacing w:after="0" w:line="1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(which approval has been obtained), the expiration or termination of the waiting period under the Hart-Scott-Rodino Antitrust Improvement Act of 1976 (the “HSR Act”) and the effectiveness of a registration statement on Form S-4 filed by First Advantage in connection with the Acquisition (which registration statement was declared effective on June 11, 2024).</w:t>
      </w:r>
    </w:p>
    <w:p>
      <w:pPr>
        <w:spacing w:after="0" w:line="12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May 28, 2024, First Advantage and Sterling each received a request for additional information and documentary materials (a “Second Request”) from the U.S. Department of Justice (the “DOJ”) in connection with the DOJ’s review of the proposed transaction contemplated by the Merger Agreement. The Second Request was issued under the notification requirements of the HSR Act. The effect of the Second Request is to extend the waiting period imposed under the HSR Act until 30 days after First Advantage and Sterling have substantially complied with the Second Request, unless that period is extended voluntarily by the parties or terminated sooner by the DOJ. The parties have been working cooperatively with the DOJ to bring its review of the proposed transaction to a close as expeditiously as possible and will continue to do so. The proposed transaction remains subject to the expiration or termination of the waiting period applicable to the proposed transaction under the HSR Act and the satisfaction or waiver of the other closing conditions contained in the Merger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1, 2023, the Company acquired 100% of the equity interest of a digital identity and biometrics solutions company headquartered in New York, for $41.0 million. The acquired company operates under the trade name Infinite ID. The acquisition expands the Company’s network and portfolio of identity solutions in the United States. The acquired company was determined to constitute a business and the Company was deemed to be the acquirer under ASC 805. The Company recorded a preliminary allocation of the purchase price to assets acquired and liabilities assumed based on their estimated fair values as of September 1, 2023. The allocation was finalized as of June 30, 2024 with an immaterial adjustment recorded related to the valuation of deferred taxes.</w:t>
      </w:r>
    </w:p>
    <w:p>
      <w:pPr>
        <w:spacing w:after="0" w:line="13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is based on the fair value of assets acquired and liabilities assumed as of the acquisition date. The following table summarizes the consideration paid and the amounts recognized for the assets acquired and liabilities assumed (in thousands):</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purchase price</w:t>
            </w: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41,000</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transaction adjustments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fair value of consideration transferred</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41,097</w:t>
            </w:r>
          </w:p>
        </w:tc>
      </w:tr>
      <w:tr>
        <w:trPr>
          <w:trHeight w:val="23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1,335</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including software developed for internal use</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5,959</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3,800</w:t>
            </w:r>
          </w:p>
        </w:tc>
      </w:tr>
      <w:tr>
        <w:trPr>
          <w:trHeight w:val="247"/>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(1,084 )</w:t>
            </w:r>
          </w:p>
        </w:tc>
      </w:tr>
      <w:tr>
        <w:trPr>
          <w:trHeight w:val="239"/>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14,946</w:t>
            </w:r>
          </w:p>
        </w:tc>
      </w:tr>
      <w:tr>
        <w:trPr>
          <w:trHeight w:val="276"/>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26,151</w:t>
            </w:r>
          </w:p>
        </w:tc>
      </w:tr>
    </w:tbl>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Results of operations have been included in the condensed consolidated financial statements of the Company’s Americas segment since the date of acquisition. The acquisition is not material to the Company’s financial position as of June 30, 2024 or results of operations for the three and six months ended June 30, 2024, and therefore, pro forma operating results and other disclosures for the acquisition is not presented.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4. 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as of June 30, 2024 and December 31, 2023 consisted of the following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27,381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26,576</w:t>
            </w:r>
          </w:p>
        </w:tc>
      </w:tr>
      <w:tr>
        <w:trPr>
          <w:trHeight w:val="23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 for internal use, acquired by business combination</w:t>
            </w:r>
          </w:p>
        </w:tc>
        <w:tc>
          <w:tcPr>
            <w:tcW w:w="2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232,367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232,505</w:t>
            </w:r>
          </w:p>
        </w:tc>
      </w:tr>
      <w:tr>
        <w:trPr>
          <w:trHeight w:val="24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 for internal use, developed internally or otherwise purchased</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100,516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86,704</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2,807</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2,275</w:t>
            </w:r>
          </w:p>
        </w:tc>
      </w:tr>
      <w:tr>
        <w:trPr>
          <w:trHeight w:val="237"/>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363,071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348,060</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(299,608 )</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(268,619 )</w:t>
            </w:r>
          </w:p>
        </w:tc>
      </w:tr>
      <w:tr>
        <w:trPr>
          <w:trHeight w:val="276"/>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63,463</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approximately $15.7 million and $16.6 million for the three months ended June 30, 2024 and 2023, respectively. Depreciation and amortization expense of property and equipment was approximately $31.3 million and $33.1 million for the six months ended June 30,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Trade Names, Customer Lists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2024 by reportable segment were as follows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703,797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116,857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820,654</w:t>
            </w:r>
          </w:p>
        </w:tc>
      </w:tr>
      <w:tr>
        <w:trPr>
          <w:trHeight w:val="23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initial purchase price allocations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47"/>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(1,150 )</w:t>
            </w:r>
          </w:p>
        </w:tc>
      </w:tr>
      <w:tr>
        <w:trPr>
          <w:trHeight w:val="237"/>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703,374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115,762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819,136</w:t>
            </w:r>
          </w:p>
        </w:tc>
      </w:tr>
      <w:tr>
        <w:trPr>
          <w:trHeight w:val="20"/>
        </w:trPr>
        <w:tc>
          <w:tcPr>
            <w:tcW w:w="6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-187960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03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summarizes the gross carrying value and accumulated amortization for the Company’s trade names, customer lists, and other intangible assets as of June 30, 2024 and December 31, 2023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96,182</w:t>
            </w:r>
          </w:p>
        </w:tc>
        <w:tc>
          <w:tcPr>
            <w:tcW w:w="3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(33,611 )</w:t>
            </w:r>
          </w:p>
        </w:tc>
        <w:tc>
          <w:tcPr>
            <w:tcW w:w="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62,571</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519,343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(268,946 )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250,397</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2,018</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617,925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(302,939 )</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314,986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34"/>
        </w:trPr>
        <w:tc>
          <w:tcPr>
            <w:tcW w:w="5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31"/>
        </w:trPr>
        <w:tc>
          <w:tcPr>
            <w:tcW w:w="5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center"/>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100" w:type="dxa"/>
            <w:vAlign w:val="bottom"/>
            <w:gridSpan w:val="2"/>
          </w:tcPr>
          <w:p>
            <w:pPr>
              <w:jc w:val="right"/>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jc w:val="right"/>
              <w:ind w:right="434"/>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1"/>
                <w:szCs w:val="11"/>
                <w:color w:val="auto"/>
              </w:rPr>
            </w:pPr>
          </w:p>
        </w:tc>
        <w:tc>
          <w:tcPr>
            <w:tcW w:w="11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7"/>
        </w:trPr>
        <w:tc>
          <w:tcPr>
            <w:tcW w:w="528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3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96,321</w:t>
            </w:r>
          </w:p>
        </w:tc>
        <w:tc>
          <w:tcPr>
            <w:tcW w:w="3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(30,092 )</w:t>
            </w:r>
          </w:p>
        </w:tc>
        <w:tc>
          <w:tcPr>
            <w:tcW w:w="4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66,229</w:t>
            </w:r>
          </w:p>
        </w:tc>
        <w:tc>
          <w:tcPr>
            <w:tcW w:w="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22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520,105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275,528</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 years</w:t>
            </w:r>
          </w:p>
        </w:tc>
      </w:tr>
      <w:tr>
        <w:trPr>
          <w:trHeight w:val="24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3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618,826</w:t>
            </w:r>
          </w:p>
        </w:tc>
        <w:tc>
          <w:tcPr>
            <w:tcW w:w="3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(274,812 )</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344,014</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-1413510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-1413510</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-1413510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-187960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Amortization expense of trade names, customer lists, and other intangible assets was approximately $14.3 million and $15.4 million for the three months ended June 30, 2024 and 2023, respectively. Amortization expense of trade names, customer lists, and other intangible assets was approximately $28.5 million and $30.8 million for the six months ended June 30, 2024 and 2023, respectively. Trade names and customer lists are amortized on an accelerated basis based upon their estimated useful life. Other intangible assets are amortized on a straight-line or accelerated basis over their expected useful life of five years.</w:t>
      </w:r>
    </w:p>
    <w:p>
      <w:pPr>
        <w:spacing w:after="0" w:line="1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Long-term Debt</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obligation approximated its book value as of June 30, 2024 and December 31, 2023 and consisted of the following (in thousands):</w:t>
      </w:r>
    </w:p>
    <w:p>
      <w:pPr>
        <w:spacing w:after="0" w:line="115"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Credit Facility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564,724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564,724</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(5,352 )</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(6,268 )</w:t>
            </w:r>
          </w:p>
        </w:tc>
      </w:tr>
      <w:tr>
        <w:trPr>
          <w:trHeight w:val="277"/>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559,372</w:t>
            </w:r>
          </w:p>
        </w:tc>
        <w:tc>
          <w:tcPr>
            <w:tcW w:w="1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558,456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a party to a First Lien Credit Agreement (as amended, “Credit Agreement”), which provides for a term loan of $766.6 million due January 31, 2027, carrying an interest rate of 2.75% to 3.00%, based on the first lien ratio, plus LIBOR (“First Lien Credit Facility”) and a $100.0 million revolving credit facility due July 31, 2026 (“Revolver”). Pursuant to an amendment in June 2023, the reference rate under the Credit Agreement was transitioned from LIBOR (the London Interbank Offer Rate) to SOFR (the Secured Overnight Financing Rate as administered by the Federal Reserve Bank of New York), with the addition of an applicable margin. The Credit Agreement is collateralized by substantially all assets and capital stock owned by direct and indirect domestic subsidiaries and are governed by certain restrictive covenants including limitations on indebtedness, liens, and other corporate actions such as investments and acquisitions. In the event the Company’s outstanding indebtedness under the Revolver exceeds 35% of the aggregate principal amount of the revolving commitments then in effect, it is required to maintain a consolidated first lien leverage ratio no greater than 7.75 to 1.00. As of June 30, 2024, there were no outstanding borrowings under the Revolver and $564.7 million outstanding under the First Lien Credit Facility. As the Company had no outstanding amounts under the Revolver, it was not subject to the consolidated first lien leverage ratio covenant. The Company was compliant with all other covenants under the agreement as of June 30, 2024.</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Agreement, on February 28, 2024, First Advantage Holdings, LLC, a subsidiary of the Company (the “Borrower”), entered into a commitment letter with certain financial institutions that committed to provide, subject to the terms and conditions of the commitment letter, an incremental term loan in an aggregate principal amount of up to $1.820 billion and incremental revolving commitments in an aggregate principal amount of $150 million, in each case, under the Credit Agreement. Such financial institutions also agreed to extend the maturity date of the Revolver from July 31, 2026 to the date that is the fifth anniversary of the closing date of the Acquisition.</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reduce exposure to variability in expected future cash outflows on variable rate debt attributable to the changes in one-month LIBOR, the Company has historically entered into interest rate derivative instruments to economically offset a portion of this risk and may do so in the future. In June 2023, the Company transitioned the reference rate for its interest rate derivative agreements from one-month LIBOR to one-month SOFR.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the following outstanding derivatives that were not designated as a hedge in qualifying hedging relationships:</w:t>
      </w:r>
    </w:p>
    <w:p>
      <w:pPr>
        <w:spacing w:after="0" w:line="27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7"/>
        </w:trPr>
        <w:tc>
          <w:tcPr>
            <w:tcW w:w="2580" w:type="dxa"/>
            <w:vAlign w:val="bottom"/>
            <w:shd w:val="clear" w:color="auto" w:fill="CFF0FC"/>
          </w:tcPr>
          <w:p>
            <w:pPr>
              <w:jc w:val="center"/>
              <w:spacing w:after="0" w:line="236" w:lineRule="exact"/>
              <w:rPr>
                <w:sz w:val="20"/>
                <w:szCs w:val="20"/>
                <w:color w:val="auto"/>
              </w:rPr>
            </w:pPr>
            <w:r>
              <w:rPr>
                <w:rFonts w:ascii="Times New Roman" w:cs="Times New Roman" w:eastAsia="Times New Roman" w:hAnsi="Times New Roman"/>
                <w:sz w:val="18"/>
                <w:szCs w:val="18"/>
                <w:color w:val="auto"/>
                <w:w w:val="98"/>
              </w:rPr>
              <w:t>Interest rate swap</w:t>
            </w:r>
            <w:r>
              <w:rPr>
                <w:rFonts w:ascii="Times New Roman" w:cs="Times New Roman" w:eastAsia="Times New Roman" w:hAnsi="Times New Roman"/>
                <w:sz w:val="24"/>
                <w:szCs w:val="24"/>
                <w:color w:val="auto"/>
                <w:w w:val="98"/>
                <w:vertAlign w:val="superscript"/>
              </w:rPr>
              <w:t>(a)</w:t>
            </w:r>
          </w:p>
        </w:tc>
        <w:tc>
          <w:tcPr>
            <w:tcW w:w="120" w:type="dxa"/>
            <w:vAlign w:val="bottom"/>
            <w:shd w:val="clear" w:color="auto" w:fill="CFF0FC"/>
          </w:tcPr>
          <w:p>
            <w:pPr>
              <w:spacing w:after="0"/>
              <w:rPr>
                <w:sz w:val="20"/>
                <w:szCs w:val="20"/>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30, 2023</w:t>
            </w:r>
          </w:p>
        </w:tc>
        <w:tc>
          <w:tcPr>
            <w:tcW w:w="120" w:type="dxa"/>
            <w:vAlign w:val="bottom"/>
            <w:shd w:val="clear" w:color="auto" w:fill="CFF0FC"/>
          </w:tcPr>
          <w:p>
            <w:pPr>
              <w:spacing w:after="0"/>
              <w:rPr>
                <w:sz w:val="20"/>
                <w:szCs w:val="20"/>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28, 2026</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 million</w:t>
            </w:r>
          </w:p>
        </w:tc>
        <w:tc>
          <w:tcPr>
            <w:tcW w:w="19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4.32%</w:t>
            </w:r>
          </w:p>
        </w:tc>
      </w:tr>
      <w:tr>
        <w:trPr>
          <w:trHeight w:val="239"/>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29, 2023</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1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3.86%</w:t>
            </w:r>
          </w:p>
        </w:tc>
      </w:tr>
      <w:tr>
        <w:trPr>
          <w:trHeight w:val="247"/>
        </w:trPr>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1, 2024</w:t>
            </w:r>
          </w:p>
        </w:tc>
        <w:tc>
          <w:tcPr>
            <w:tcW w:w="120" w:type="dxa"/>
            <w:vAlign w:val="bottom"/>
            <w:shd w:val="clear" w:color="auto" w:fill="CFF0FC"/>
          </w:tcPr>
          <w:p>
            <w:pPr>
              <w:spacing w:after="0"/>
              <w:rPr>
                <w:sz w:val="21"/>
                <w:szCs w:val="21"/>
                <w:color w:val="auto"/>
              </w:rPr>
            </w:pPr>
          </w:p>
        </w:tc>
        <w:tc>
          <w:tcPr>
            <w:tcW w:w="1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31, 2026</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$150.0 million</w:t>
            </w:r>
          </w:p>
        </w:tc>
        <w:tc>
          <w:tcPr>
            <w:tcW w:w="198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3.76%</w:t>
            </w:r>
          </w:p>
        </w:tc>
      </w:tr>
    </w:tbl>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 In conjunction with the June 2023 transition of the reference rate from LIBOR to SOFR, the fixed rate was reduced from 4.36% to 4.32%.</w:t>
      </w:r>
    </w:p>
    <w:p>
      <w:pPr>
        <w:spacing w:after="0" w:line="1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Derivatives not designated as hedges are not speculative and are used to manage the Company’s exposure to interest rate movements; however, the Company has not elected to apply hedge accounting for these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fair value of the financial positions recorded related to the derivative instruments (in thousands):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vMerge w:val="restart"/>
          </w:tcPr>
          <w:p>
            <w:pPr>
              <w:spacing w:after="0"/>
              <w:rPr>
                <w:sz w:val="11"/>
                <w:szCs w:val="11"/>
                <w:color w:val="auto"/>
              </w:rPr>
            </w:pPr>
          </w:p>
        </w:tc>
        <w:tc>
          <w:tcPr>
            <w:tcW w:w="130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tcPr>
          <w:p>
            <w:pPr>
              <w:jc w:val="right"/>
              <w:ind w:right="737"/>
              <w:spacing w:after="0" w:line="131"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00" w:type="dxa"/>
            <w:vAlign w:val="bottom"/>
          </w:tcPr>
          <w:p>
            <w:pPr>
              <w:spacing w:after="0"/>
              <w:rPr>
                <w:sz w:val="16"/>
                <w:szCs w:val="16"/>
                <w:color w:val="auto"/>
              </w:rPr>
            </w:pPr>
          </w:p>
        </w:tc>
        <w:tc>
          <w:tcPr>
            <w:tcW w:w="3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7"/>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00" w:type="dxa"/>
            <w:vAlign w:val="bottom"/>
            <w:shd w:val="clear" w:color="auto" w:fill="CFF0FC"/>
          </w:tcPr>
          <w:p>
            <w:pPr>
              <w:spacing w:after="0"/>
              <w:rPr>
                <w:sz w:val="20"/>
                <w:szCs w:val="20"/>
                <w:color w:val="auto"/>
              </w:rPr>
            </w:pPr>
          </w:p>
        </w:tc>
        <w:tc>
          <w:tcPr>
            <w:tcW w:w="38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1300" w:type="dxa"/>
            <w:vAlign w:val="bottom"/>
            <w:shd w:val="clear" w:color="auto" w:fill="CFF0FC"/>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239"/>
        </w:trPr>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tcPr>
          <w:p>
            <w:pPr>
              <w:spacing w:after="0"/>
              <w:rPr>
                <w:sz w:val="20"/>
                <w:szCs w:val="20"/>
                <w:color w:val="auto"/>
              </w:rPr>
            </w:pPr>
          </w:p>
        </w:tc>
        <w:tc>
          <w:tcPr>
            <w:tcW w:w="3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Accrued liabilities</w:t>
            </w:r>
          </w:p>
        </w:tc>
        <w:tc>
          <w:tcPr>
            <w:tcW w:w="1300" w:type="dxa"/>
            <w:vAlign w:val="bottom"/>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47"/>
        </w:trPr>
        <w:tc>
          <w:tcPr>
            <w:tcW w:w="24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00" w:type="dxa"/>
            <w:vAlign w:val="bottom"/>
            <w:shd w:val="clear" w:color="auto" w:fill="CFF0FC"/>
          </w:tcPr>
          <w:p>
            <w:pPr>
              <w:spacing w:after="0"/>
              <w:rPr>
                <w:sz w:val="21"/>
                <w:szCs w:val="21"/>
                <w:color w:val="auto"/>
              </w:rPr>
            </w:pPr>
          </w:p>
        </w:tc>
        <w:tc>
          <w:tcPr>
            <w:tcW w:w="38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Prepaid expenses and other current assets</w:t>
            </w:r>
          </w:p>
        </w:tc>
        <w:tc>
          <w:tcPr>
            <w:tcW w:w="1300" w:type="dxa"/>
            <w:vAlign w:val="bottom"/>
            <w:shd w:val="clear" w:color="auto" w:fill="CFF0FC"/>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w w:val="98"/>
              </w:rPr>
              <w:t>4,602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location and amount of gains recorded related to the derivative instruments (in thousands):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20" w:type="dxa"/>
            <w:vAlign w:val="bottom"/>
            <w:tcBorders>
              <w:bottom w:val="single" w:sz="8" w:color="auto"/>
            </w:tcBorders>
            <w:gridSpan w:val="5"/>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00" w:type="dxa"/>
            <w:vAlign w:val="bottom"/>
            <w:vMerge w:val="restart"/>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120" w:type="dxa"/>
            <w:vAlign w:val="bottom"/>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collars</w:t>
            </w:r>
          </w:p>
        </w:tc>
        <w:tc>
          <w:tcPr>
            <w:tcW w:w="120" w:type="dxa"/>
            <w:vAlign w:val="bottom"/>
            <w:shd w:val="clear" w:color="auto" w:fill="CFF0FC"/>
          </w:tcPr>
          <w:p>
            <w:pPr>
              <w:spacing w:after="0"/>
              <w:rPr>
                <w:sz w:val="20"/>
                <w:szCs w:val="20"/>
                <w:color w:val="auto"/>
              </w:rPr>
            </w:pPr>
          </w:p>
        </w:tc>
        <w:tc>
          <w:tcPr>
            <w:tcW w:w="28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76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1,204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951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swaps</w:t>
            </w:r>
          </w:p>
        </w:tc>
        <w:tc>
          <w:tcPr>
            <w:tcW w:w="120" w:type="dxa"/>
            <w:vAlign w:val="bottom"/>
          </w:tcPr>
          <w:p>
            <w:pPr>
              <w:spacing w:after="0"/>
              <w:rPr>
                <w:sz w:val="20"/>
                <w:szCs w:val="20"/>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1,910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8,226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expense and balance sheet accounts reflect the results of the Company and its subsidiaries.</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estimated the annual effective tax rate based on projected income for the full year and recorded a quarterly tax provision in accordance with the annual effective tax rate and adjusted for discrete tax items in the period.</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and six months ended June 30, 2024 was 27.0% and 40.0%, respectively. The Company’s effective income tax rate for the three and six months ended June 30, 2024 was higher than the U.S. federal statutory rate of 21% primarily due to nondeductible share-based compensation and U.S. state income taxes.</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three and six months ended June 30, 2023 was 28.9% and 28.4%, respectively. The Company’s effective income tax rate for the three and six months ended June 30, 2023 was higher than the U.S. federal statutory rate of 21% due to the Global Intangible Low-Taxed Income (“GILTI”) inclusion, nondeductible share-based compensation, and U.S. state income taxes.</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revenues are recognized at a point in time when the orders are completed and the completed reports are reported, or otherwise made available. For revenues delivered over time, the output method is utilized to measure the value to the customer based on the transfer to date of the services promised, with no rights of return once consumed. In these cases, revenues on transactional contracts with a defined price but an undefined quantity is recognized utilizing the right to invoice expedient resulting in revenues being recognized when the service is provided and becomes billable. Additionally, under this practical expedient, the Company is not required to estimate the transaction price.</w:t>
      </w:r>
    </w:p>
    <w:p>
      <w:pPr>
        <w:spacing w:after="0" w:line="1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considers negotiated and anticipated incentives and estimated adjustments, including historical collections experience, when recording revenues.</w:t>
      </w:r>
    </w:p>
    <w:p>
      <w:pPr>
        <w:spacing w:after="0" w:line="10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generally include standard commercial payment terms acceptable in each region, and do not include any financing components. The Company does not have any significant obligations for refunds, warranties, or similar obligations. The Company records revenues net of sales taxes.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Contract balances are generated when the revenues recognized in a given period varies from billing. A contract asset is created when the Company performs a service for a customer and recognizes more revenues than what has been billed. The contract asset balance was $5.7 million and $4.8 million as of June 30, 2024 and December 31, 2023, respectively, and is included in accounts receivable, net in the accompanying condensed consolidated balance sheets.</w:t>
      </w:r>
    </w:p>
    <w:p>
      <w:pPr>
        <w:spacing w:after="0" w:line="12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contract liability is created when the Company transfers a good or service to a customer and recognizes less than what has been billed. The Company recognizes these contract liabilities as deferred revenues when the Company has an obligation to perform services for a customer in the future and has already received consideration from the customer. The contract liability balance was $2.2 million and $1.9 million as of June 30, 2024 and December 31, 2023, respectively, and is included in deferred revenues in the accompanying condensed consolidated balance sheets. An immaterial amount of revenues was recognized in the current period related to the beginning balance of deferred revenues.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disclosures about the disaggregation of our revenues, see Note 15, “Reportable Segments.”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Share-based Compensation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is recognized in cost of services, product and technology expense, and selling, general, and administrative expense, in the accompanying condensed consolidated statements of operations and comprehensive income (loss) as follows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588</w:t>
            </w: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1,025</w:t>
            </w:r>
          </w:p>
        </w:tc>
      </w:tr>
      <w:tr>
        <w:trPr>
          <w:trHeight w:val="243"/>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7,695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4,046</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 IPO, all share-based awards were issued by Fastball Holdco, L.P., the Company’s previous parent company, under individual grant agreements and the partnership agreement of such parent company (collectively, the “the 2020 Equity Plan”). In connection with the IPO, the Company adopted the 2021 Omnibus Incentive Plan (as amended by the First Amendment, dated as of May 10, 2023, the “2021 Equity Plan”).</w:t>
      </w:r>
    </w:p>
    <w:p>
      <w:pPr>
        <w:spacing w:after="0" w:line="122"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In May 2023, the Company’s Board of Directors approved a modification of the vesting terms of outstanding unvested and unearned performance-based options, restricted stock units, and restricted stock (collectively, “Performance Awards”) previously issued under its equity plans. The modification, effective May 10, 2023, allowed for unvested and unearned Performance Awards outstanding as of the date of the modification, to vest based on time on the fourth, fifth, and sixth anniversaries of the relevant vesting commencement date, as set forth in each grant agreement (the “Vesting Commencement Date”), while preserving the eligibility to vest upon the Company’s investors receiving a targeted money-on-money return, subject to continued service.</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Company’s declaration of a one-time special dividend in August 2023, the exercise price of outstanding stock option awards and stock purchases under the Company’s employee stock purchase plan (“ESPP”) was reduced by $1.50, in accordance with the non-discretionary anti-dilution provisions of the equity and stock purchase plans.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 issued under the 2020 Equity Plan consist of options and profit interests. No awards have been issued under the plan since the Company’s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six months ended June 30, 2024 is as follows:</w:t>
      </w:r>
    </w:p>
    <w:p>
      <w:pPr>
        <w:spacing w:after="0" w:line="166"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14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8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40" w:type="dxa"/>
            <w:vAlign w:val="bottom"/>
          </w:tcPr>
          <w:p>
            <w:pPr>
              <w:jc w:val="right"/>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7"/>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1,915,252</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Grants 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(51,916 )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80" w:type="dxa"/>
            <w:vAlign w:val="bottom"/>
            <w:tcBorders>
              <w:bottom w:val="single" w:sz="8" w:color="CFF0FC"/>
            </w:tcBorders>
            <w:shd w:val="clear" w:color="auto" w:fill="CFF0FC"/>
          </w:tcPr>
          <w:p>
            <w:pPr>
              <w:spacing w:after="0"/>
              <w:rPr>
                <w:sz w:val="21"/>
                <w:szCs w:val="21"/>
                <w:color w:val="auto"/>
              </w:rPr>
            </w:pPr>
          </w:p>
        </w:tc>
        <w:tc>
          <w:tcPr>
            <w:tcW w:w="3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(16,978 )</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Grants outstanding</w:t>
            </w: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1,846,358</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Years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 million</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3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Grants vested</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823,498</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Years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million</w:t>
            </w:r>
          </w:p>
        </w:tc>
        <w:tc>
          <w:tcPr>
            <w:tcW w:w="0" w:type="dxa"/>
            <w:vAlign w:val="bottom"/>
          </w:tcPr>
          <w:p>
            <w:pPr>
              <w:spacing w:after="0"/>
              <w:rPr>
                <w:sz w:val="1"/>
                <w:szCs w:val="1"/>
                <w:color w:val="auto"/>
              </w:rPr>
            </w:pPr>
          </w:p>
        </w:tc>
      </w:tr>
      <w:tr>
        <w:trPr>
          <w:trHeight w:val="234"/>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2024</w:t>
            </w:r>
          </w:p>
        </w:tc>
        <w:tc>
          <w:tcPr>
            <w:tcW w:w="3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Grants unvested</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1,022,860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-490855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Plan</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2021 Equity Plan is intended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 The 2021 Equity Plan provides for the grant of awards of stock options, stock appreciation rights, restricted shares, restricted stock units, and other equity-based or cash-based awards as determined by the Company’s Compensation Committee. The 2021 Equity Plan initially had a total of 17,525,000 shares of common stock reserved. The number of reserved shares automatically increases on the first day of each calendar year commencing on January 1, 2022 and ending on January 1, 2030, in an amount equal to the lesser of (x) 2.5% of the total number of shares of common stock outstanding on the last day of the immediately preceding calendar year and (y) a number of shares as determined by the Board of Directors. As of June 30, 2024, 20,048,521 shares were available for issuance under the 2021 Equity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stock option activity for the six months ended June 30,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18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6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3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3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outstanding</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4,686,659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issued</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162,640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60" w:type="dxa"/>
            <w:vAlign w:val="bottom"/>
            <w:shd w:val="clear" w:color="auto" w:fill="CFF0FC"/>
          </w:tcPr>
          <w:p>
            <w:pPr>
              <w:spacing w:after="0"/>
              <w:rPr>
                <w:sz w:val="21"/>
                <w:szCs w:val="21"/>
                <w:color w:val="auto"/>
              </w:rPr>
            </w:pPr>
          </w:p>
        </w:tc>
        <w:tc>
          <w:tcPr>
            <w:tcW w:w="3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(19,624 )</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cancelled/forfeited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(65,729 )</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34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outstanding</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4,763,946</w:t>
            </w:r>
          </w:p>
        </w:tc>
        <w:tc>
          <w:tcPr>
            <w:tcW w:w="2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5"/>
              </w:rPr>
              <w:t>7.4 Years</w:t>
            </w:r>
          </w:p>
        </w:tc>
        <w:tc>
          <w:tcPr>
            <w:tcW w:w="1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 million</w:t>
            </w:r>
          </w:p>
        </w:tc>
        <w:tc>
          <w:tcPr>
            <w:tcW w:w="0" w:type="dxa"/>
            <w:vAlign w:val="bottom"/>
          </w:tcPr>
          <w:p>
            <w:pPr>
              <w:spacing w:after="0"/>
              <w:rPr>
                <w:sz w:val="1"/>
                <w:szCs w:val="1"/>
                <w:color w:val="auto"/>
              </w:rPr>
            </w:pPr>
          </w:p>
        </w:tc>
      </w:tr>
      <w:tr>
        <w:trPr>
          <w:trHeight w:val="219"/>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3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vested</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2,365,286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7.2 Years</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million</w:t>
            </w:r>
          </w:p>
        </w:tc>
        <w:tc>
          <w:tcPr>
            <w:tcW w:w="0" w:type="dxa"/>
            <w:vAlign w:val="bottom"/>
          </w:tcPr>
          <w:p>
            <w:pPr>
              <w:spacing w:after="0"/>
              <w:rPr>
                <w:sz w:val="1"/>
                <w:szCs w:val="1"/>
                <w:color w:val="auto"/>
              </w:rPr>
            </w:pPr>
          </w:p>
        </w:tc>
      </w:tr>
      <w:tr>
        <w:trPr>
          <w:trHeight w:val="247"/>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3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Grants unvested</w:t>
            </w: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2,398,660</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-334010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-316865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fair value for stock options granted for the six months ended June 30, 2024 was estimated at the date of grant using the Black-Scholes option-pricing model with the following weighted average assumptions: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tcPr>
          <w:p>
            <w:pPr>
              <w:spacing w:after="0"/>
              <w:rPr>
                <w:sz w:val="16"/>
                <w:szCs w:val="16"/>
                <w:color w:val="auto"/>
              </w:rPr>
            </w:pPr>
          </w:p>
        </w:tc>
      </w:tr>
      <w:tr>
        <w:trPr>
          <w:trHeight w:val="228"/>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34.99 %</w:t>
            </w:r>
          </w:p>
        </w:tc>
      </w:tr>
      <w:tr>
        <w:trPr>
          <w:trHeight w:val="245"/>
        </w:trPr>
        <w:tc>
          <w:tcPr>
            <w:tcW w:w="1140" w:type="dxa"/>
            <w:vAlign w:val="bottom"/>
          </w:tcPr>
          <w:p>
            <w:pPr>
              <w:spacing w:after="0"/>
              <w:rPr>
                <w:sz w:val="21"/>
                <w:szCs w:val="21"/>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9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4.25 %</w:t>
            </w:r>
          </w:p>
        </w:tc>
      </w:tr>
      <w:tr>
        <w:trPr>
          <w:trHeight w:val="250"/>
        </w:trPr>
        <w:tc>
          <w:tcPr>
            <w:tcW w:w="1140" w:type="dxa"/>
            <w:vAlign w:val="bottom"/>
          </w:tcPr>
          <w:p>
            <w:pPr>
              <w:spacing w:after="0"/>
              <w:rPr>
                <w:sz w:val="21"/>
                <w:szCs w:val="21"/>
                <w:color w:val="auto"/>
              </w:rPr>
            </w:pPr>
          </w:p>
        </w:tc>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8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6.25</w:t>
            </w: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Fair-value of the underlying unit</w:t>
            </w:r>
          </w:p>
        </w:tc>
        <w:tc>
          <w:tcPr>
            <w:tcW w:w="37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15.82</w:t>
            </w:r>
          </w:p>
        </w:tc>
        <w:tc>
          <w:tcPr>
            <w:tcW w:w="112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14</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0"/>
        </w:trPr>
        <w:tc>
          <w:tcPr>
            <w:tcW w:w="11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-1379855</wp:posOffset>
            </wp:positionV>
            <wp:extent cx="5700395"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units (“RSU”) activity for the six months ended June 30,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40" w:type="dxa"/>
            <w:vAlign w:val="bottom"/>
            <w:gridSpan w:val="2"/>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6"/>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RSUs</w:t>
            </w:r>
          </w:p>
        </w:tc>
        <w:tc>
          <w:tcPr>
            <w:tcW w:w="12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507,143</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39"/>
        </w:trPr>
        <w:tc>
          <w:tcPr>
            <w:tcW w:w="1600" w:type="dxa"/>
            <w:vAlign w:val="bottom"/>
          </w:tcPr>
          <w:p>
            <w:pPr>
              <w:spacing w:after="0"/>
              <w:rPr>
                <w:sz w:val="20"/>
                <w:szCs w:val="20"/>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218,417</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47"/>
        </w:trPr>
        <w:tc>
          <w:tcPr>
            <w:tcW w:w="1600" w:type="dxa"/>
            <w:vAlign w:val="bottom"/>
            <w:shd w:val="clear" w:color="auto" w:fill="CFF0FC"/>
          </w:tcPr>
          <w:p>
            <w:pPr>
              <w:spacing w:after="0"/>
              <w:rPr>
                <w:sz w:val="21"/>
                <w:szCs w:val="21"/>
                <w:color w:val="auto"/>
              </w:rPr>
            </w:pPr>
          </w:p>
        </w:tc>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(136,792 )</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(23,325 )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RSUs</w:t>
            </w:r>
          </w:p>
        </w:tc>
        <w:tc>
          <w:tcPr>
            <w:tcW w:w="12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565,443</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restricted stock activity for the six months ended June 30, 2024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16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7"/>
        </w:trPr>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5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2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1,954,630</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43"/>
        </w:trPr>
        <w:tc>
          <w:tcPr>
            <w:tcW w:w="1600" w:type="dxa"/>
            <w:vAlign w:val="bottom"/>
          </w:tcPr>
          <w:p>
            <w:pPr>
              <w:spacing w:after="0"/>
              <w:rPr>
                <w:sz w:val="21"/>
                <w:szCs w:val="21"/>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(586,927 )</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7"/>
        </w:trPr>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5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Nonvested restricted stock</w:t>
            </w:r>
          </w:p>
        </w:tc>
        <w:tc>
          <w:tcPr>
            <w:tcW w:w="12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1,367,703</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approximately $32.2 million of unrecognized pre-tax non-cash compensation expense, comprised of approximately $10.3 million related to restricted stock, $7.8 million related to RSUs, and approximately $14.1 million related to stock options, which the Company expects to recognize over a weighted average period of 1.2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adopted the ESPP, which allows eligible employees to voluntarily make after-tax contributions of up to 15% of such employee’s cash compensation to acquire Company stock during designated offering periods. Each offering period consists of one six-month purchase period. During the holding period, ESPP purchased shares are not eligible for sale or broker transfer. The Company recorded an associated expense of approximately $0.2 million for both the three months ended June 30, 2024 and 2023. The Company recorded an associated expense of approximately $0.3 million and $0.4 million for the six months ended June 30, 2024 and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250,000,000 shares of Preferred Stock were authorized, and no Preferred Stock was issued or outstanding.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six months ended June 30, 2024. As of June 30, 2024, the remaining authorized value of shares available to be repurchased under the Repurchase Program was approximately $80.5 million. In connection with the execution of the Merger Agreement, the Company suspended purchases under its Repurchase Program.</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3"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Company’s contractual obligations as compared to December 31, 2023.</w:t>
      </w:r>
    </w:p>
    <w:p>
      <w:pPr>
        <w:spacing w:after="0" w:line="17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from time to time in the ordinary course of business. At times, the Company, given the nature of its background screening business, could become subject to lawsuits, or potential class action lawsuits, in multiple jurisdictions, related to claims brought primarily by consumers or individuals who were the subject of its screening services.</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all pending matters, the Company believes it has meritorious defenses and intends to defend vigorously or otherwise seek indemnification from other parties as appropriate. However, the Company has recorded a liability of $4.7 million and $5.2 million as of June 30, 2024 and December 31, 2023, respectively, for matters that it believes a loss is both probable and estimable. This is included in accrued liabilities in the accompanying condensed consolidated balance sheets.</w:t>
      </w:r>
    </w:p>
    <w:p>
      <w:pPr>
        <w:spacing w:after="0" w:line="12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information as it becomes known and will record an estimate for losses at the time when it is both probable that a loss has been incurred and the amount of the loss is reasonably estimable.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material related party transactions for the six months ended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Share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Basic weighted-average shares outstanding excludes nonvested restricted stock. Diluted weighted average shares outstanding is similar to basic weighted-average shares outstanding, except that the weighted-average number of shares is increased to include the number of additional common shares that would have been outstanding if the potentially dilutive common share had been issued, including the dilutive impact of nonvested restricted stock. The potentially dilutive securities outstanding during the three and six months ended June 30, 2024, had an anti-dilutive effect and were therefore not included in the calculation of diluted net income (loss) per share. Basic and diluted net income (loss) per share was calculated as follows:</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 thousands)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1,861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9,782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11,707</w:t>
            </w: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4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143,863,667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144,112,028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143,727,612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144,982,459</w:t>
            </w: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stock options to purchase shares and restricted stock</w:t>
            </w:r>
          </w:p>
        </w:tc>
        <w:tc>
          <w:tcPr>
            <w:tcW w:w="24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1,992,445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1,226,892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1,912,331</w:t>
            </w:r>
          </w:p>
        </w:tc>
        <w:tc>
          <w:tcPr>
            <w:tcW w:w="0" w:type="dxa"/>
            <w:vAlign w:val="bottom"/>
          </w:tcPr>
          <w:p>
            <w:pPr>
              <w:spacing w:after="0"/>
              <w:rPr>
                <w:sz w:val="1"/>
                <w:szCs w:val="1"/>
                <w:color w:val="auto"/>
              </w:rPr>
            </w:pPr>
          </w:p>
        </w:tc>
      </w:tr>
      <w:tr>
        <w:trPr>
          <w:trHeight w:val="234"/>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145,856,112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145,338,920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143,727,612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146,894,790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-187960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For the three months ended June 30, 2024 and 2023, 901,391 and 4,961,441 stock options and RSUs were excluded from the calculation of diluted net income (loss) per share, respectively, because their effect was anti-dilutive. For the six months ended June 30, 2024 and 2023, 2,974,538 and 4,681,847 stock options and RSUs were excluded from the calculation of diluted net income (loss) per share, respectively, because their effect were anti-dilutive.</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15. Reportable Segments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two reportable segments, Americas and International. Our chief operating decision maker (“CODM”) uses the profit measure of Adjusted EBITDA, on both a consolidated and a segment basis, to allocate resources and assess performance of our businesses. We use Adjusted EBITDA as our profit measure because it eliminates the impact of certain items that we do not consider indicative of operating performance, which is useful to compare operating results between periods. Our CODM also uses Adjusted EBITDA as a compensation measure for both segment and corporate management under our incentive compensation plans. Adjusted EBITDA is also a measure frequently used by securities analysts, investors, and other interested parties in their evaluation of the operating performance of companies similar to ours.</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segment financial information below aligns with how we report information to our CODM to assess operating performance and how the Company manages the business. Corporate costs are generally allocated to the segments based upon estimated revenue levels and other assumptions that management considers reasonable. The CODM does not review the Company’s assets by segment; therefore, such information is not presented. The accounting policies of the segments are the same as described in Note 2, “Summary of Significant Accounting Policies” and Note 9, “Revenues.”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our two reportable segments:</w:t>
      </w:r>
    </w:p>
    <w:p>
      <w:pPr>
        <w:spacing w:after="0" w:line="167" w:lineRule="exact"/>
        <w:rPr>
          <w:sz w:val="20"/>
          <w:szCs w:val="20"/>
          <w:color w:val="auto"/>
        </w:rPr>
      </w:pPr>
    </w:p>
    <w:p>
      <w:pPr>
        <w:ind w:left="5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spacing w:after="0" w:line="68" w:lineRule="exact"/>
        <w:rPr>
          <w:sz w:val="20"/>
          <w:szCs w:val="20"/>
          <w:color w:val="auto"/>
        </w:rPr>
      </w:pPr>
    </w:p>
    <w:p>
      <w:pPr>
        <w:ind w:left="5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w:t>
      </w:r>
    </w:p>
    <w:p>
      <w:pPr>
        <w:spacing w:after="0" w:line="105"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A reconciliation of Segment Adjusted EBITDA to net income (loss) for the three and six months ended June 30, 2024 and 2023 is as follows (in thousands):</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51,594</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52,324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95,263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96,980</w:t>
            </w:r>
          </w:p>
        </w:tc>
      </w:tr>
      <w:tr>
        <w:trPr>
          <w:trHeight w:val="247"/>
        </w:trPr>
        <w:tc>
          <w:tcPr>
            <w:tcW w:w="44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7,056</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7,551</w:t>
            </w:r>
          </w:p>
        </w:tc>
      </w:tr>
      <w:tr>
        <w:trPr>
          <w:trHeight w:val="232"/>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55,761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55,971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102,319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104,531</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to net income:</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12,568</w:t>
            </w:r>
          </w:p>
        </w:tc>
      </w:tr>
      <w:tr>
        <w:trPr>
          <w:trHeight w:val="24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4,649</w:t>
            </w:r>
          </w:p>
        </w:tc>
      </w:tr>
      <w:tr>
        <w:trPr>
          <w:trHeight w:val="23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29,978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59,800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63,922</w:t>
            </w:r>
          </w:p>
        </w:tc>
      </w:tr>
      <w:tr>
        <w:trPr>
          <w:trHeight w:val="247"/>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5,659</w:t>
            </w:r>
          </w:p>
        </w:tc>
      </w:tr>
      <w:tr>
        <w:trPr>
          <w:trHeight w:val="243"/>
        </w:trPr>
        <w:tc>
          <w:tcPr>
            <w:tcW w:w="446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(a)</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2,261</w:t>
            </w:r>
          </w:p>
        </w:tc>
      </w:tr>
      <w:tr>
        <w:trPr>
          <w:trHeight w:val="243"/>
        </w:trPr>
        <w:tc>
          <w:tcPr>
            <w:tcW w:w="4460" w:type="dxa"/>
            <w:vAlign w:val="bottom"/>
            <w:tcBorders>
              <w:bottom w:val="single" w:sz="8" w:color="CFF0FC"/>
            </w:tcBorders>
            <w:shd w:val="clear" w:color="auto" w:fill="CFF0FC"/>
          </w:tcPr>
          <w:p>
            <w:pPr>
              <w:ind w:left="10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(b)</w:t>
            </w:r>
          </w:p>
        </w:tc>
        <w:tc>
          <w:tcPr>
            <w:tcW w:w="2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3,765</w:t>
            </w:r>
          </w:p>
        </w:tc>
      </w:tr>
      <w:tr>
        <w:trPr>
          <w:trHeight w:val="23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1,861</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9,782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(1,047 )</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11,707</w:t>
            </w:r>
          </w:p>
        </w:tc>
      </w:tr>
      <w:tr>
        <w:trPr>
          <w:trHeight w:val="20"/>
        </w:trPr>
        <w:tc>
          <w:tcPr>
            <w:tcW w:w="4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-1430655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-1430655</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-1430655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-187960</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820" w:right="700" w:hanging="213"/>
        <w:spacing w:after="0" w:line="227"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and six months ended June 30, 2024 include approximately $9.2 million and $20.3 million of expense, respectively, associated with the pending acquisition of Sterling, primarily consisting of legal, regulatory, and diligence professional service fees. The three and six months ended June 30, 2024 and 2023 also include insurance costs incurred related to the initial public offering.</w:t>
      </w:r>
    </w:p>
    <w:p>
      <w:pPr>
        <w:ind w:left="820" w:right="880" w:hanging="213"/>
        <w:spacing w:after="0" w:line="239" w:lineRule="auto"/>
        <w:tabs>
          <w:tab w:leader="none" w:pos="8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categorizes revenues by geographic region in which the revenues and invoicing are recorded. Other than the United States, no single country accounted for 10% or more of our total revenues during these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revenues by geographical region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Americas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162,378</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162,682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311,505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314,738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7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1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24,113</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46,210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48,961</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Eliminations</w:t>
            </w:r>
          </w:p>
        </w:tc>
        <w:tc>
          <w:tcPr>
            <w:tcW w:w="1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(2,019 )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(3,753 )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184,546</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185,315</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353,962</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360,835</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0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w w:val="99"/>
              </w:rPr>
              <w:t>The following table sets forth net long-lived assets by geographic area (in thousands):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Long-lived assets, net</w:t>
            </w:r>
          </w:p>
        </w:tc>
        <w:tc>
          <w:tcPr>
            <w:tcW w:w="1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country of domicile</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1,041,734</w:t>
            </w:r>
          </w:p>
        </w:tc>
        <w:tc>
          <w:tcPr>
            <w:tcW w:w="8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1,083,318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All other countries</w:t>
            </w:r>
          </w:p>
        </w:tc>
        <w:tc>
          <w:tcPr>
            <w:tcW w:w="15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161,722</w:t>
            </w:r>
          </w:p>
        </w:tc>
        <w:tc>
          <w:tcPr>
            <w:tcW w:w="18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168,068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1,203,456</w:t>
            </w:r>
          </w:p>
        </w:tc>
        <w:tc>
          <w:tcPr>
            <w:tcW w:w="8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1,251,386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-2048510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-2030730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-2048510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-2030730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-2048510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-2030730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-1096645</wp:posOffset>
            </wp:positionV>
            <wp:extent cx="1200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First Advantage Corporation’s financial condition and results of operations is provided as a supplement to the condensed consolidated financial statements for the three and six months ended June 30, 2024, and should be read in conjunction with the audited consolidated financial statements for the year ended December 31, 2023, our “Risk Factors,” and “Management’s Discussion and Analysis of Financial Condition and Results of Operations” included in the Company’s Annual Report on Form 10-K for the year ended December 31,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the negative version of these words, or similar terms and phrases.</w:t>
      </w:r>
    </w:p>
    <w:p>
      <w:pPr>
        <w:spacing w:after="0" w:line="13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various risks, uncertainties, assumptions, or changes in circumstances that are difficult to predict or quantify. Such risks and uncertainties include, but are not limited to, the following: negative changes in external events beyond our control, including our customers’ onboarding volumes, economic drivers which are sensitive to macroeconomic cycles, such as interest rate volatility and inflation, geopolitical unrest, uncertainty in financial markets; our operations in a highly regulated industry and the fact that we are subject to numerous and evolving laws and regulations, including with respect to personal data, data security, and artificial intelligence; inability to identify and successfully implement our growth strategies on a timely basis or at all; potential harm to our business, brand, and reputation as a result of security breaches, cyber-attacks, or the mishandling of personal data; operating in a penetrated and competitive market; our reliance on third-party data providers; due to the sensitive and privacy-driven nature of our products and solutions, we could face liability and legal or regulatory proceedings, which could be costly and time-consuming to defend and may not be fully covered by insurance; our international business exposes us to a number of risks; real or perceived errors, failures, or bugs in our products could adversely affect our business, results of operations, financial condition, and growth prospects; our ability to identify attractive targets or successfully complete such transactions; the timing, manner and volume of repurchases of common stock pursuant to our share repurchase program; failure to comply with anti-corruption laws and regulations; disruptions at our Global Operating Center and other operating centers; our contracts with our customers, which do not guarantee exclusivity or contracted volumes; disruptions, outages, or other errors with our technology and network infrastructure, including our data centers, servers, and third-party cloud and internet providers and our migration to the cloud; the continued integration of our platforms and solutions with human resource providers such as applicant tracking systems and human capital management systems as well as our relationships with such human resource providers; risks relating to public opinion, which may be magnified by incidents or adverse publicity concerning our industry or operations; our reliance on third-party vendors to carry out certain portions of our operations; our dependence on the service of our key executive and other employees, and our ability to find and retain qualified employees; our ability to obtain, maintain, protect and enforce our intellectual property and other proprietary information; our ability to maintain, protect, and enforce the confidentiality of our trade secrets; the use of open-source software in our applications; the indemnification provisions in our contracts with our customers and third-party data suppliers; seasonality in our operations from quarter to quarter; our indebtedness could adversely affect our ability to raise additional capital to fund our operations, limit our ability to react to changes in the economy or our industry, and prevent us from meeting our obligations; Silver Lake’s control of us and the potential conflict of its interest with ours or those of our stockholders; and changing interpretations of tax laws.</w:t>
      </w:r>
    </w:p>
    <w:p>
      <w:pPr>
        <w:spacing w:after="0" w:line="151"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For additional information on these and other factors that could cause First Advantage’s actual results to differ materially from expected results, please see our Annual Report on Form 10-K for the year ended December 31, 2023, filed with the Securities and Exchange Commission (the “SEC”), as such factors may be updated from time to time in our periodic filings with the SEC, which are accessible on the SEC’s website at www.sec.gov. The forward-looking statements included in this Quarterly Report on Form 10-Q speak only as of the date of this Form 10-Q, and we undertake no obligation to publicly update or review any forward-looking statement, whether as a result of new information, future developments, or otherwise, except as required by law.</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Glossary of Selected Terminology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are used in this Form 10-Q, unless otherwise noted or indicated by the context:</w:t>
      </w:r>
    </w:p>
    <w:p>
      <w:pPr>
        <w:spacing w:after="0" w:line="171" w:lineRule="exact"/>
        <w:rPr>
          <w:sz w:val="20"/>
          <w:szCs w:val="20"/>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 regards to our business, means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Advantage,” the “Company,” “we,” “us,” and “our” mean the business of First Advantage Corporation and its subsidiaries;</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in regards to our business, means all geographical regions outside of the United States, Canada, and Latin America;</w:t>
      </w:r>
    </w:p>
    <w:p>
      <w:pPr>
        <w:spacing w:after="0" w:line="117"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attributable to the Company’s acquisitions” means revenues recognized in the first year following each acquisition; and</w:t>
      </w:r>
    </w:p>
    <w:p>
      <w:pPr>
        <w:spacing w:after="0" w:line="171" w:lineRule="exact"/>
        <w:rPr>
          <w:rFonts w:ascii="Times New Roman" w:cs="Times New Roman" w:eastAsia="Times New Roman" w:hAnsi="Times New Roman"/>
          <w:sz w:val="18"/>
          <w:szCs w:val="18"/>
          <w:color w:val="auto"/>
        </w:rPr>
      </w:pPr>
    </w:p>
    <w:p>
      <w:pPr>
        <w:ind w:left="740" w:hanging="223"/>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Lake” means Silver Lake Group, L.L.C., together with its affiliates, successors, and assignees.</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consolidated financial statements included elsewhere in this Quarterly Report on Form 10-Q. Certain other amounts that appear in this Quarterly Report on Form 10-Q may not sum due to rounding.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our websites (https://fadv.com/ and https://investors.fadv.com/) to distribute company information.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we post on our websites may be deemed material. Accordingly, investors should monitor our websites, in addition to following our press releases, filings with the SEC, and public conference calls and webcasts. In addition, you may opt in to automatically receive email alerts and other information about First Advantage when you enroll your email address by visiting the “Email Alerts” section of our investor website at https://investors.fadv.com/. The contents of our websites and social media channels are not, however, a part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First Advantage is a leading provider of employment background screening, identity, and verification solutions. We deliver innovative services and insights that help our customers manage risk and hire the best talent. Enabled by our proprietary technology, we help companies protect their brands and provide safer environments for their customers and their most important resources: employees, contractors, contingent workers, tenants, and drivers.</w:t>
      </w:r>
    </w:p>
    <w:p>
      <w:pPr>
        <w:spacing w:after="0" w:line="12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comprehensive product suite includes criminal background checks, drug / health screening, extended workforce screening, biometrics and identity, education / work verifications, resident screening, fleet / driver compliance, executive screening, data analytics, continuous monitoring, social media monitoring, and hiring tax incentives. We derive a substantial majority of our revenues from pre-onboarding screening and perform screens in over 200 countries and territories, enabling us to serve as a one-stop-shop provider to both multinational companies and growth companies. Our more than 30,000 customers are global enterprises, mid-sized companies, and small companies, and our products and solutions are used by personnel in recruiting, human resources, risk, compliance, vendor management, safety, and/or security.</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products are sold both individually and packaged. The First Advantage platform offers flexibility for customers to specify which products to include in their screening package, such as Social Security numbers, criminal records, education and work verifications, sex offender registry, and global sanctions. Generally, our customers order a background screening package or selected combination of screens related to a single individual before they onboard that individual. The type and mix of products and solutions we sell to a customer vary by customer size, their screening requirements, and industry vertical. Therefore, order volumes are not comparable across both customers and periods. Pricing can also vary considerably by customer depending on the product mix in their screening packages, order volumes, screening requirements and preferences, and pass-through and third-party out of pocket costs.</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1" w:name="page22"/>
    <w:bookmarkEnd w:id="21"/>
    <w:p>
      <w:pPr>
        <w:spacing w:after="0" w:line="256" w:lineRule="auto"/>
        <w:rPr>
          <w:sz w:val="20"/>
          <w:szCs w:val="20"/>
          <w:color w:val="auto"/>
        </w:rPr>
      </w:pPr>
      <w:r>
        <w:rPr>
          <w:rFonts w:ascii="Times New Roman" w:cs="Times New Roman" w:eastAsia="Times New Roman" w:hAnsi="Times New Roman"/>
          <w:sz w:val="18"/>
          <w:szCs w:val="18"/>
          <w:color w:val="auto"/>
        </w:rPr>
        <w:t>We enter into contracts with our customers that are typically three years in length. These contracts set forth the general terms and pricing of our products and solutions but generally do not include minimum order volumes or committed order volumes. Accordingly, contracts do not provide guarantees of future revenues. Due to our contract terms and the nature of the background screening industry, we determined our contract terms for ASC 606 purposes are less than one year. We typically bill our customers at the end of each month and recognize revenues as completed orders are reported or otherwise made available to our customers. Approximately 90% of our criminal searches performed in the United States in 2023 were completed the same day they were submitted.</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generated revenues of $184.5 million for the three months ended June 30, 2024, as compared to $185.3 million for the three months ended June 30, 2023 and generated revenues of $354.0 million for the six months ended June 30, 2024, as compared to $360.8 million for the six months ended June 30, 2023. Approximately 87% of our revenues for the six months ended June 30, 2024 was generated in the Americas, predominantly in the United States, while the remaining 13% was generated internationally. Other than the United States, no single country accounted for 10% or more of our total revenues for the three and six months ended June 30, 2024. Please refer to “Results of Operations” for further details.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business and report our financial results in two reportable segments, Americas and International:</w:t>
      </w:r>
    </w:p>
    <w:p>
      <w:pPr>
        <w:spacing w:after="0" w:line="167" w:lineRule="exact"/>
        <w:rPr>
          <w:sz w:val="20"/>
          <w:szCs w:val="20"/>
          <w:color w:val="auto"/>
        </w:rPr>
      </w:pPr>
    </w:p>
    <w:p>
      <w:pPr>
        <w:ind w:left="740" w:right="40" w:hanging="223"/>
        <w:spacing w:after="0" w:line="262"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Americas. </w:t>
      </w:r>
      <w:r>
        <w:rPr>
          <w:rFonts w:ascii="Times New Roman" w:cs="Times New Roman" w:eastAsia="Times New Roman" w:hAnsi="Times New Roman"/>
          <w:sz w:val="18"/>
          <w:szCs w:val="18"/>
          <w:color w:val="auto"/>
        </w:rPr>
        <w:t>This segment performs a variety of background check and compliance services across all phases of the workforce lifecycle from pre-onboarding services to post-onboarding and ongoing monitoring services, covering employees, contractors, contingent workers, tenants, and drivers. We generally classify our service offerings into three categories: pre-onboarding, post-onboarding, and adjacent products. We deliver our solutions across multiple industry verticals in the United States, Canada, and Latin America.</w:t>
      </w:r>
    </w:p>
    <w:p>
      <w:pPr>
        <w:spacing w:after="0" w:line="68" w:lineRule="exact"/>
        <w:rPr>
          <w:rFonts w:ascii="Times New Roman" w:cs="Times New Roman" w:eastAsia="Times New Roman" w:hAnsi="Times New Roman"/>
          <w:sz w:val="18"/>
          <w:szCs w:val="18"/>
          <w:color w:val="auto"/>
        </w:rPr>
      </w:pPr>
    </w:p>
    <w:p>
      <w:pPr>
        <w:ind w:left="740" w:right="280" w:hanging="223"/>
        <w:spacing w:after="0" w:line="286"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w:t>
      </w:r>
      <w:r>
        <w:rPr>
          <w:rFonts w:ascii="Times New Roman" w:cs="Times New Roman" w:eastAsia="Times New Roman" w:hAnsi="Times New Roman"/>
          <w:sz w:val="18"/>
          <w:szCs w:val="18"/>
          <w:color w:val="auto"/>
        </w:rPr>
        <w:t>The International segment provides services similar to our Americas segment in regions outside of the Americas. We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 our solutions across multiple industry verticals in the Europe, India, and Asia Pacific.</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experience seasonality with respect to certain industries due to fluctuations in hiring volumes and other economic activity. For example, pre-onboarding revenues generated from our customers in the retail and transportation industries are historically highest during the months of October and November, leading up to the U.S. holiday season and lowest in December and at the beginning of the new year, following the U.S. holiday hiring season. Certain customers across various industries also historically increase their hiring throughout the second quarter of the year as winter concludes, commercial activity tied to outdoor activities increases, and the school year ends, giving rise to student and graduate hiring. We expect that further growth in e-commerce, the continued digital transformation of the economy, and other economic forces may impact future seasonality, but we are unable to predict these potential shifts and how our business may be impacted.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 of Sterling Check Corp.</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28, 2024, we entered into an Agreement and Plan of Merger (the “Merger Agreement”), by and among First Advantage, Sterling Check Corp., a Delaware corporation (“Sterling”), and Starter Merger Sub, Inc., a Delaware corporation and an indirect, wholly owned subsidiary of First Advantage (“Merger Sub”). The Merger Agreement provides that, upon the terms and subject to the conditions set forth therein, Merger Sub will be merged with and into Sterling, with Sterling continuing as the surviving corporation in such merger and becoming an indirect, wholly owned subsidiary of First Advantage. The cash-and-stock transaction (the “Acquisition”) valued Sterling at approximately $2.2 billion as of the date of the Merger Agreement.</w:t>
      </w:r>
    </w:p>
    <w:p>
      <w:pPr>
        <w:spacing w:after="0" w:line="1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Acquisition is subject to satisfaction or waiver of customary closing conditions, including, among others, adoption of the Merger Agreement by Sterling stockholders (which approval has been obtained), the expiration or termination of the waiting period under the Hart-Scott-Rodino Antitrust Improvement Act of 1976 (the “HSR Act”) and the effectiveness of a registration statement on Form S-4 filed by First Advantage in connection with the Acquisition (which registration statement was declared effective on June 11, 2024).</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Merger Agreement, the Borrower, entered into a commitment letter with certain financial institutions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to provide, subject to the terms and conditions of the commitment letter, an incremental term loan in an aggregate principal amount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$1.820 billion and incremental revolving commitments in an aggregate principal amount of $150 million, in each case, under the Borrower’s existing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Such financial institutions also agreed to extend the maturity date of the Borrower’s revolving credit facility from July 31, 2026 to the date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fifth anniversary of the closing date of the Acquisition.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120"/>
        <w:spacing w:after="0" w:line="254" w:lineRule="auto"/>
        <w:rPr>
          <w:sz w:val="20"/>
          <w:szCs w:val="20"/>
          <w:color w:val="auto"/>
        </w:rPr>
      </w:pPr>
      <w:r>
        <w:rPr>
          <w:rFonts w:ascii="Times New Roman" w:cs="Times New Roman" w:eastAsia="Times New Roman" w:hAnsi="Times New Roman"/>
          <w:sz w:val="18"/>
          <w:szCs w:val="18"/>
          <w:color w:val="auto"/>
        </w:rPr>
        <w:t>On May 28, 2024, First Advantage and Sterling each received a request for additional information and documentary materials (a “Second Request”) from the U.S. Department of Justice (the “DOJ”) in connection with the DOJ’s review of the proposed transaction contemplated by the Merger Agreement. The Second Request was issued under the notification requirements of the HSR Act. The effect of the Second Request is to extend the waiting period imposed under the HSR Act until 30 days after First Advantage and Sterling have substantially complied with the Second Request, unless that period is extended voluntarily by the parties or terminated sooner by the DOJ. The parties have been working cooperatively with the DOJ to bring its review of the proposed transaction to a close as expeditiously as possible and will continue to do so. The proposed transaction remains subject to the expiration or termination of the waiting period applicable to the proposed transaction under the HSR Act and the satisfaction or waiver of the other closing conditions contained in the Merger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17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Macroeconomic factors, including inflation, interest rates, variability in hiring activity and job openings, and global economic and geopolitical developments, have negatively impacted significant portions of the global economy, and created volatility in the financial markets.</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If the economic uncertainty is sustained or increases, we may experience a negative impact on new business, customer renewals and demand levels, sales and marketing efforts, revenue growth rates, customer deployments, customer collections, product development, or other financial metrics. Any of these factors could harm our business, financial condition, and operating results.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Despite the continuing uncertainty associated with these conditions, we are confident in the overall long-term health of our business, the strength of our product offerings, and our ability to continue to execute on our strategy and help our customers hire smarter and onboard faster. Our ability to deliver innovative products and solutions that enhance workplace safety and address compliance risks has contributed to the durability of our financial results. For additional information, see our “Risk Factors” and “Management’s Discussion and Analysis of Financial Condition and Results of Operations” included in the Company’s Annual Report on Form 10-K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Company derives revenues from a variety of background screening and adjacent products that cover all phases of the workforce lifecycle from pre-onboarding screening services to post-onboarding and ongoing monitoring services, covering employees, contractors, contingent workers, tenants, and drivers. We generally classify our products and solutions into three major categories: pre-onboarding, post-onboarding, and adjacent products, each of which is enabled by our technology, proprietary internal databases, and data analytics capabilities. Pre-onboarding products, which comprise the substantial majority of our revenues, span an extensive array of products that customers typically utilize to enhance their applicant evaluation process and help ensure compliance with their workforce onboarding criteria from the time an application is submitted to an applicant’s successful onboarding. Post-onboarding products are comprised of continuous monitoring, re-screening, and other solutions to help our customers keep their end customers, workforces, and other stakeholders safer, more productive, and more compliant. Adjacent products include products that complement our pre-onboarding and post-onboarding solutions such as fleet / vehicle compliance, hiring tax credits and incentives, resident / tenant screening, employment eligibility, and investigative research.</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suite of products is available individually or through packaged solutions that can be configured and tailored according to our customers’ needs. We typically bill our customers at the end of each month and recognize revenues after completed orders are reported or otherwise made available to our customers, with a substantial majority of our customers’ orders completed the same day they are submitted. We recognize revenues for other products over time as the customer simultaneously receives and consumes the benefits of the products and solutions delivered.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incur the following expenses related to our cost of revenues and operating expenses:</w:t>
      </w:r>
    </w:p>
    <w:p>
      <w:pPr>
        <w:spacing w:after="0" w:line="169" w:lineRule="exact"/>
        <w:rPr>
          <w:sz w:val="20"/>
          <w:szCs w:val="20"/>
          <w:color w:val="auto"/>
        </w:rPr>
      </w:pPr>
    </w:p>
    <w:p>
      <w:pPr>
        <w:ind w:left="520" w:right="100" w:hanging="227"/>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Services (exclusive of depreciation and amortization below)</w:t>
      </w:r>
      <w:r>
        <w:rPr>
          <w:rFonts w:ascii="Times New Roman" w:cs="Times New Roman" w:eastAsia="Times New Roman" w:hAnsi="Times New Roman"/>
          <w:sz w:val="18"/>
          <w:szCs w:val="18"/>
          <w:color w:val="auto"/>
        </w:rPr>
        <w:t>: Consists of amounts paid to third parties for access to government records,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third-party data and services, and our internal processing fulfillment and customer care functions. In addition, cost of services includes expenses from our drug screening lab and collection site network as well as our court runner network. Third-party cost of services are largely variable in nature and are typically invoiced to our customers as direct pass-through costs. Cost of services also includes our salaries and benefits expense for personnel involved in the processing and fulfillment of our screening products and solutions, as well as our customer care organization and robotics process automation implementation team. Other costs included in cost of services relate to allocations of certain overhead costs for our revenue-generating products and solutions, primarily consisting of certain facility costs and administrative services allocated by headcount or another related metric. We do not allocate depreciation and amortization to cost of services.</w:t>
      </w:r>
    </w:p>
    <w:p>
      <w:pPr>
        <w:spacing w:after="0" w:line="76" w:lineRule="exact"/>
        <w:rPr>
          <w:rFonts w:ascii="Times New Roman" w:cs="Times New Roman" w:eastAsia="Times New Roman" w:hAnsi="Times New Roman"/>
          <w:sz w:val="18"/>
          <w:szCs w:val="18"/>
          <w:color w:val="auto"/>
        </w:rPr>
      </w:pPr>
    </w:p>
    <w:p>
      <w:pPr>
        <w:ind w:left="520" w:hanging="227"/>
        <w:spacing w:after="0" w:line="25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Technology Expense</w:t>
      </w:r>
      <w:r>
        <w:rPr>
          <w:rFonts w:ascii="Times New Roman" w:cs="Times New Roman" w:eastAsia="Times New Roman" w:hAnsi="Times New Roman"/>
          <w:sz w:val="18"/>
          <w:szCs w:val="18"/>
          <w:color w:val="auto"/>
        </w:rPr>
        <w:t>: Consists of salaries and benefits of personnel involved in the maintenance of our technology and its integrations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APIs, product marketing, management of our network and infrastructure capabilities, and maintenance of our information security and business continuity functions. A portion of the personnel costs are related to the development of new products and features that are primarily developed through agile methodologies. These costs are partially capitalized, and therefore, are partially reflected as amortization expense within the depreciation and amortization cost line item. Product and technology expense also includes third-party costs related to our cloud computing services, software licensing and maintenance, telecommunications, and other data processing functions. We do not allocate depreciation and amortization to product and technology expense.</w:t>
      </w:r>
    </w:p>
    <w:p>
      <w:pPr>
        <w:spacing w:after="0" w:line="74" w:lineRule="exact"/>
        <w:rPr>
          <w:rFonts w:ascii="Times New Roman" w:cs="Times New Roman" w:eastAsia="Times New Roman" w:hAnsi="Times New Roman"/>
          <w:sz w:val="18"/>
          <w:szCs w:val="18"/>
          <w:color w:val="auto"/>
        </w:rPr>
      </w:pPr>
    </w:p>
    <w:p>
      <w:pPr>
        <w:ind w:left="520" w:right="80" w:hanging="227"/>
        <w:spacing w:after="0" w:line="255"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Consists of sales, customer success, marketing, and general and administrative expenses.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success, and marketing expenses consist primarily of employee compensation such as salaries, bonuses, sales commissions, share-based compensation, and other employee benefits for our verticalized sales and customer success teams. General and administrative expenses include travel expenses and various corporate functions including finance, human resources, legal, and other administrative roles, in addition to certain professional service fees and expenses incurred in connection with our IPO and our pending acquisition of Sterling. We expect our selling, general, and administrative expenses to increase in the short-term, primarily as a result of additional public company related reporting and compliance costs. Over the long-term, we expect our selling, general, and administrative expenses to decrease as a percentage of revenues as we leverage our past investments. We do not allocate depreciation and amortization to selling, general, and administrative expenses.</w:t>
      </w:r>
    </w:p>
    <w:p>
      <w:pPr>
        <w:spacing w:after="0" w:line="76" w:lineRule="exact"/>
        <w:rPr>
          <w:rFonts w:ascii="Times New Roman" w:cs="Times New Roman" w:eastAsia="Times New Roman" w:hAnsi="Times New Roman"/>
          <w:sz w:val="18"/>
          <w:szCs w:val="18"/>
          <w:color w:val="auto"/>
        </w:rPr>
      </w:pPr>
    </w:p>
    <w:p>
      <w:pPr>
        <w:ind w:left="520" w:right="20" w:hanging="227"/>
        <w:spacing w:after="0" w:line="267"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w:t>
      </w:r>
      <w:r>
        <w:rPr>
          <w:rFonts w:ascii="Times New Roman" w:cs="Times New Roman" w:eastAsia="Times New Roman" w:hAnsi="Times New Roman"/>
          <w:sz w:val="18"/>
          <w:szCs w:val="18"/>
          <w:color w:val="auto"/>
        </w:rPr>
        <w:t>n: Property and equipment consisting mainly of capitalized software costs, furniture, hardware, and leasehold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are depreciated or amortized and reflected as operating expenses. We also amortize the capitalized costs of finite-life intangible assets acquired in connection with business combinations.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 flexible cost structure that allows our business to adjust quickly to the impacts of macroeconomic events and scale to meet the needs of large new customers. Operating expenses are influenced by the amount of revenues, customer mix, and product mix that contribute to our revenues for any given period. As revenues grow, we would generally expect cost of services to grow in a similar fashion, albeit influenced by the effects of automation, productivity, and other efficiency initiatives as well as customer and product mix shifts and third-party pass-through costs. We regularly review expenses and investments in the context of revenues growth and any shifts we identify in the business in order to align with our overall financial objectives. While we expect operating expenses to increase in absolute dollars to support our continued growth, we believe that, in the long term, operating expenses as a percentage of total revenues will decline gradually in the future as our business grows and our operating efficiency and automation initiatives continue to advance.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other expense, net consists of interest expense, net. Interest expense, net relates primarily to our debt service costs, the interest-related unrealized gains and losses of our interest rate derivative instruments and, to a lesser extent, the interest on our capital lease obligations and the amortization of deferred financing costs. Additionally, interest expense, net includes interest income earnings on our cash and cash equivalent balances held in interest-bearing accounts. We also earn interest income on our short-term investments which are fixed-time deposits having a maturity date within twelve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Provision for income taxes consists of domestic and foreign corporate income taxes related to earnings from our sale of services, with statutory tax rates that differ by jurisdiction. Our effective tax rate may be affected by many other factors including changes in tax laws, regulations or rates, new interpretations of existing laws or regulations, shifts in the allocation of income earned throughout the world, and changes in overall levels of income before tax.</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contained below should be read in conjunction with our accompanying historical condensed consolidated financial statements and the related notes.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and six months ended June 30, 2024 compared to the three and six months ended June 30, 2023</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184,546</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185,315</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353,962</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360,835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 (exclusive of depreciation and amortization</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below)</w:t>
            </w:r>
          </w:p>
        </w:tc>
        <w:tc>
          <w:tcPr>
            <w:tcW w:w="3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92,348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92,997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179,540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184,058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13,677</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12,643</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26,143</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38,640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29,982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79,302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58,664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32,056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59,800</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63,922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174,643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167,678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344,785</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331,911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9,903</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17,637</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9,177</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28,924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11,707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5.3 %</w:t>
            </w:r>
          </w:p>
        </w:tc>
        <w:tc>
          <w:tcPr>
            <w:tcW w:w="320" w:type="dxa"/>
            <w:vAlign w:val="bottom"/>
          </w:tcPr>
          <w:p>
            <w:pPr>
              <w:spacing w:after="0"/>
              <w:rPr>
                <w:sz w:val="18"/>
                <w:szCs w:val="18"/>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(0.3 )%</w:t>
            </w:r>
          </w:p>
        </w:tc>
        <w:tc>
          <w:tcPr>
            <w:tcW w:w="3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441"/>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-2390775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-2390775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-2390775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-2065020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-2065020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-2065020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-1430655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-1430655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-1430655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-1113790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-1113790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-1113790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981"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162,378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162,682</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311,505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314,738</w:t>
            </w: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24,187</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24,113</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46,210</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48,961</w:t>
            </w: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Eliminations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(2,019 )</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(3,753 )</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(2,864 )</w:t>
            </w: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184,546</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185,315</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353,962</w:t>
            </w:r>
          </w:p>
        </w:tc>
        <w:tc>
          <w:tcPr>
            <w:tcW w:w="1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360,835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Revenues were $184.5 million for the three months ended June 30, 2024, compared to $185.3 million for the three months ended June 30, 2023. Revenues for the three months ended June 30, 2024 decreased by $0.8 million, or 0.4%, compared to the three months ended June 30, 2023.</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decrease in revenues was primarily due to a net decrease of $11.9 million, or 6.4%, in existing customer revenues, primarily driven by the impact of macroeconomic factors affecting the hiring industry which have resulted in reduced demand from our customers and the impact of lost accounts. These consolidated decreases were partially offset by ongoing strength in upselling and cross-selling to existing customers, contributing $8.6 million, or 4.7%, of additional revenues, and increased revenues from certain existing customers that were impacted by macroeconomic conditions, to a lesser extent, as compared to other existing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existing customer revenues was further offset by:</w:t>
      </w:r>
    </w:p>
    <w:p>
      <w:pPr>
        <w:spacing w:after="0" w:line="171" w:lineRule="exact"/>
        <w:rPr>
          <w:sz w:val="20"/>
          <w:szCs w:val="20"/>
          <w:color w:val="auto"/>
        </w:rPr>
      </w:pPr>
    </w:p>
    <w:p>
      <w:pPr>
        <w:ind w:left="520" w:hanging="22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$7.8 million, or 4.2%, from new customers, primarily attributable to our Americas segment; and</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$3.3 million, or 1.8%, attributable to the Infinite ID acquisition in the Americas segment.</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Revenues were $354.0 million for the six months ended June 30, 2024, compared to $360.8 million for the six months ended June 30, 2023. Revenues for the six months ended June 30, 2024 decreased by $6.9 million, or 1.9%, compared to the six months ended June 30, 2023.</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decrease in revenues was primarily due to a net decrease of $29.7 million, or 8.2%, in existing customer revenues, primarily driven by the impact of macroeconomic factors affecting the hiring industry which have resulted in reduced demand from our customers and the impact of lost accounts. These consolidated decreases were partially offset by ongoing strength in upselling and cross-selling to existing customers, contributing $16.3 million, or 4.5%, of additional revenues, and increased revenues from certain existing customers that were impacted by macroeconomic conditions, to a lesser extent, as compared to other existing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existing customer revenues was further offset by:</w:t>
      </w:r>
    </w:p>
    <w:p>
      <w:pPr>
        <w:spacing w:after="0" w:line="171" w:lineRule="exact"/>
        <w:rPr>
          <w:sz w:val="20"/>
          <w:szCs w:val="20"/>
          <w:color w:val="auto"/>
        </w:rPr>
      </w:pPr>
    </w:p>
    <w:p>
      <w:pPr>
        <w:ind w:left="520" w:hanging="22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$16.7 million, or 4.6%, from new customers, primarily attributable to our Americas segment; and</w:t>
      </w:r>
    </w:p>
    <w:p>
      <w:pPr>
        <w:spacing w:after="0" w:line="117"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$6.1 million, or 1.7%, attributable to the Infinite ID acquisition in the Americas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remained relatively stable across all periods.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92,348</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92,997</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179,540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184,058</w:t>
            </w:r>
          </w:p>
        </w:tc>
        <w:tc>
          <w:tcPr>
            <w:tcW w:w="60" w:type="dxa"/>
            <w:vAlign w:val="bottom"/>
          </w:tcPr>
          <w:p>
            <w:pPr>
              <w:spacing w:after="0"/>
              <w:rPr>
                <w:sz w:val="20"/>
                <w:szCs w:val="20"/>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184,546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185,315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353,962</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360,835</w:t>
            </w:r>
          </w:p>
        </w:tc>
        <w:tc>
          <w:tcPr>
            <w:tcW w:w="60" w:type="dxa"/>
            <w:vAlign w:val="bottom"/>
          </w:tcPr>
          <w:p>
            <w:pPr>
              <w:spacing w:after="0"/>
              <w:rPr>
                <w:sz w:val="20"/>
                <w:szCs w:val="20"/>
                <w:color w:val="auto"/>
              </w:rPr>
            </w:pP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as a % of revenue</w:t>
            </w:r>
          </w:p>
        </w:tc>
        <w:tc>
          <w:tcPr>
            <w:tcW w:w="3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50.0 %</w:t>
            </w: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50.7 %</w:t>
            </w: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Cost of services was $92.3 million for the three months ended June 30, 2024, compared to $93.0 million for the three months ended June 30, 2023. Cost of services for the three months ended June 30, 2024 decreased by $0.6 million, or 0.7%, compared to the three months ended June 30, 2023.</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decrease in cost of services was primarily due to a $0.6 million decrease in variable third-party data expenses as a result of decreased revenue volumes, variation in customer ordering mix, and increased automation.</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Cost of services as a percentage of revenues was 50.0% for the three months ended June 30, 2024, compared to 50.2% for the three months ended June 30, 2023. The cost of services percentage of revenues for the second quarter of 2024 was impacted by cost savings from the Company’s continued implementation of automation and other process efficiencies. These decreases were partially offset by slight increases in certain third-party data costs.</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Cost of services was $179.5 million for the six months ended June 30, 2024, compared to $184.1 million for the six months ended June 30, 2023. Cost of services for the six months ended June 30, 2024 decreased by $4.5 million, or 2.5%, compared to the six months ended June 30,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of services was primarily due to:</w:t>
      </w:r>
    </w:p>
    <w:p>
      <w:pPr>
        <w:spacing w:after="0" w:line="171" w:lineRule="exact"/>
        <w:rPr>
          <w:sz w:val="20"/>
          <w:szCs w:val="20"/>
          <w:color w:val="auto"/>
        </w:rPr>
      </w:pPr>
    </w:p>
    <w:p>
      <w:pPr>
        <w:ind w:left="520" w:right="520" w:hanging="22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decrease in variable third-party data expenses as a result of decreased revenue volumes, variation in customer ordering mix, and increased automation; and</w:t>
      </w:r>
    </w:p>
    <w:p>
      <w:pPr>
        <w:spacing w:after="0" w:line="53" w:lineRule="exact"/>
        <w:rPr>
          <w:rFonts w:ascii="Times New Roman" w:cs="Times New Roman" w:eastAsia="Times New Roman" w:hAnsi="Times New Roman"/>
          <w:sz w:val="18"/>
          <w:szCs w:val="18"/>
          <w:color w:val="auto"/>
        </w:rPr>
      </w:pPr>
    </w:p>
    <w:p>
      <w:pPr>
        <w:ind w:left="520" w:right="740" w:hanging="227"/>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personnel expenses in our operations and customer care functions as a result of productivity efficiencies from the implementation of additional automation programs.</w:t>
      </w:r>
    </w:p>
    <w:p>
      <w:pPr>
        <w:spacing w:after="0" w:line="108" w:lineRule="exact"/>
        <w:rPr>
          <w:sz w:val="20"/>
          <w:szCs w:val="20"/>
          <w:color w:val="auto"/>
        </w:rPr>
      </w:pPr>
    </w:p>
    <w:p>
      <w:pPr>
        <w:jc w:val="both"/>
        <w:ind w:right="380"/>
        <w:spacing w:after="0" w:line="289" w:lineRule="auto"/>
        <w:rPr>
          <w:sz w:val="20"/>
          <w:szCs w:val="20"/>
          <w:color w:val="auto"/>
        </w:rPr>
      </w:pPr>
      <w:r>
        <w:rPr>
          <w:rFonts w:ascii="Times New Roman" w:cs="Times New Roman" w:eastAsia="Times New Roman" w:hAnsi="Times New Roman"/>
          <w:sz w:val="17"/>
          <w:szCs w:val="17"/>
          <w:color w:val="auto"/>
        </w:rPr>
        <w:t>Cost of services as a percentage of revenues was 50.7% for the six months ended June 30, 2024, compared to 51.0% for the six months ended June 30, 2023. The cost of services percentage of revenues for the six months ended June 30, 2024 was impacted by cost savings from the Company’s continued implementation of automation and other process efficiencies. These decreases were partially offset by slight increases in certain third-party data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Technology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technology expense</w:t>
            </w: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13,677</w:t>
            </w:r>
          </w:p>
        </w:tc>
        <w:tc>
          <w:tcPr>
            <w:tcW w:w="9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12,643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26,143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25,267</w:t>
            </w:r>
          </w:p>
        </w:tc>
      </w:tr>
    </w:tbl>
    <w:p>
      <w:pPr>
        <w:spacing w:after="0" w:line="14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$13.7 million for the three months ended June 30, 2024, compared to $12.6 million for the three months ended June 30, 2023. Product and technology expense for the three months ended June 30, 2024 increased by $1.0 million, or 8.2%, compared to the three months ended June 30, 2023.</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Product and technology expense increased primarily due to a $1.0 million increase in personnel expenses as a result of increased share-based compensation expense and additional investments. Product and technology expense was incrementally impacted by increases in professional service fees that were partially offset by savings in software license fees.</w:t>
      </w:r>
    </w:p>
    <w:p>
      <w:pPr>
        <w:spacing w:after="0" w:line="12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Product and technology expense was $26.1 million for the six months ended June 30, 2024, compared to $25.3 million for the six months ended June 30, 2023. Product and technology expense for the six months ended June 30, 2024 increased by $0.9 million, or 3.5%, compared to the six months ended June 30, 2023.</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Product and technology expense increased primarily due to a $2.1 million increase in personnel expenses as a result of increased share-based compensation expense and additional investments. Product and technology expense was incrementally impacted by increases in professional service fees that were partially offset by savings in software license fees.</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3"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40" w:type="dxa"/>
            <w:vAlign w:val="bottom"/>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38,640</w:t>
            </w:r>
          </w:p>
        </w:tc>
        <w:tc>
          <w:tcPr>
            <w:tcW w:w="9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29,982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79,302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58,664</w:t>
            </w:r>
          </w:p>
        </w:tc>
      </w:tr>
    </w:tbl>
    <w:p>
      <w:pPr>
        <w:spacing w:after="0" w:line="14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$38.6 million for the three months ended June 30, 2024, compared to $30.0 million for the three months ended June 30, 2023. Selling, general, and administrative expense for the three months ended June 30, 2024 increased by $8.7 million, or 28.9%, compared to the three months ended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520" w:hanging="227"/>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$9.2 million increase in professional service and legal fees incurred related to the Company’s pending acquisition of Sterling; and</w:t>
      </w:r>
    </w:p>
    <w:p>
      <w:pPr>
        <w:spacing w:after="0" w:line="117" w:lineRule="exact"/>
        <w:rPr>
          <w:rFonts w:ascii="Times New Roman" w:cs="Times New Roman" w:eastAsia="Times New Roman" w:hAnsi="Times New Roman"/>
          <w:sz w:val="18"/>
          <w:szCs w:val="18"/>
          <w:color w:val="auto"/>
        </w:rPr>
      </w:pPr>
    </w:p>
    <w:p>
      <w:pPr>
        <w:ind w:left="520" w:right="40" w:hanging="227"/>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 million increase in share-based compensation expense primarily as a result of a modification to the vesting terms of outstanding unvested and unearned performance-based equity awards in May 2023 and incremental awards granted.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520" w:hanging="2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decrease in personnel expenses due to certain cost savings actions taken by the Company primarily in the second half of 2023; and</w:t>
      </w:r>
    </w:p>
    <w:p>
      <w:pPr>
        <w:spacing w:after="0" w:line="117" w:lineRule="exact"/>
        <w:rPr>
          <w:rFonts w:ascii="Times New Roman" w:cs="Times New Roman" w:eastAsia="Times New Roman" w:hAnsi="Times New Roman"/>
          <w:sz w:val="18"/>
          <w:szCs w:val="18"/>
          <w:color w:val="auto"/>
        </w:rPr>
      </w:pPr>
    </w:p>
    <w:p>
      <w:pPr>
        <w:ind w:left="520" w:right="80" w:hanging="2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in expenses related to the impairment of certain operating lease assets resulting from office space exited in 2023 that did not reoccur in 2024.</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 was $79.3 million for the six months ended June 30, 2024, compared to $58.7 million for the six months ended June 30, 2023. Selling, general, and administrative expense for the six months ended June 30, 2024 increased by $20.6 million, or 35.2%, compared to the six months ended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 increased primarily due to:</w:t>
      </w:r>
    </w:p>
    <w:p>
      <w:pPr>
        <w:spacing w:after="0" w:line="171" w:lineRule="exact"/>
        <w:rPr>
          <w:sz w:val="20"/>
          <w:szCs w:val="20"/>
          <w:color w:val="auto"/>
        </w:rPr>
      </w:pPr>
    </w:p>
    <w:p>
      <w:pPr>
        <w:ind w:left="520" w:hanging="22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$20.3 million increase in professional service and legal fees incurred related to the Company’s pending acquisition of Sterling;</w:t>
      </w:r>
    </w:p>
    <w:p>
      <w:pPr>
        <w:spacing w:after="0" w:line="117" w:lineRule="exact"/>
        <w:rPr>
          <w:rFonts w:ascii="Times New Roman" w:cs="Times New Roman" w:eastAsia="Times New Roman" w:hAnsi="Times New Roman"/>
          <w:sz w:val="18"/>
          <w:szCs w:val="18"/>
          <w:color w:val="auto"/>
        </w:rPr>
      </w:pPr>
    </w:p>
    <w:p>
      <w:pPr>
        <w:ind w:left="520" w:right="40" w:hanging="227"/>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million increase in share-based compensation expense primarily as a result of a modification to the vesting terms of outstanding unvested and unearned performance-based equity awards in May 2023 and incremental awards granted; and</w:t>
      </w:r>
    </w:p>
    <w:p>
      <w:pPr>
        <w:spacing w:after="0" w:line="53" w:lineRule="exact"/>
        <w:rPr>
          <w:rFonts w:ascii="Times New Roman" w:cs="Times New Roman" w:eastAsia="Times New Roman" w:hAnsi="Times New Roman"/>
          <w:sz w:val="18"/>
          <w:szCs w:val="18"/>
          <w:color w:val="auto"/>
        </w:rPr>
      </w:pPr>
    </w:p>
    <w:p>
      <w:pPr>
        <w:ind w:left="520" w:hanging="22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million increase in expenses related to litigation in the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selling, general, and administrative expense was partially offset by:</w:t>
      </w:r>
    </w:p>
    <w:p>
      <w:pPr>
        <w:spacing w:after="0" w:line="171" w:lineRule="exact"/>
        <w:rPr>
          <w:sz w:val="20"/>
          <w:szCs w:val="20"/>
          <w:color w:val="auto"/>
        </w:rPr>
      </w:pPr>
    </w:p>
    <w:p>
      <w:pPr>
        <w:ind w:left="520" w:hanging="2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decrease in personnel expenses due to certain cost savings actions taken by the Company primarily in the second half of 2023; and</w:t>
      </w:r>
    </w:p>
    <w:p>
      <w:pPr>
        <w:spacing w:after="0" w:line="117" w:lineRule="exact"/>
        <w:rPr>
          <w:rFonts w:ascii="Times New Roman" w:cs="Times New Roman" w:eastAsia="Times New Roman" w:hAnsi="Times New Roman"/>
          <w:sz w:val="18"/>
          <w:szCs w:val="18"/>
          <w:color w:val="auto"/>
        </w:rPr>
      </w:pPr>
    </w:p>
    <w:p>
      <w:pPr>
        <w:ind w:left="520" w:right="80" w:hanging="2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decrease in expenses related to the impairment of certain operating lease assets resulting from office space exited in 2023 that did not reoccur in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FF0FC"/>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6"/>
              </w:rPr>
              <w:t>29,978</w:t>
            </w:r>
          </w:p>
        </w:tc>
        <w:tc>
          <w:tcPr>
            <w:tcW w:w="9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32,056</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59,800</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63,922</w:t>
            </w:r>
          </w:p>
        </w:tc>
      </w:tr>
    </w:tbl>
    <w:p>
      <w:pPr>
        <w:spacing w:after="0" w:line="1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$30.0 million for the three months ended June 30, 2024, compared to $32.1 million for the three months ended June 30, 2023. Depreciation and amortization for the three months ended June 30, 2024 decreased by $2.1 million, or 6.5%, compared to the three months ended June 30, 2023. This decrease was partially offset by increases in depreciation related to assets placed in service during the three months ended June 30, 2024.</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Depreciation and amortization was $59.8 million for the six months ended June 30, 2024, compared to $63.9 million for the six months ended June 30, 2023. Depreciation and amortization for the six months ended June 30, 2024 decreased by $4.1 million, or 6.4%, compared to the six months ended June 30, 2023. This decrease was partially offset by increases in depreciation related to assets placed in service during the six months ended June 30, 2024.</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5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7,353</w:t>
            </w:r>
          </w:p>
        </w:tc>
        <w:tc>
          <w:tcPr>
            <w:tcW w:w="10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3,887</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10,923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12,568</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$7.4 million for the three months ended June 30, 2024, compared to $3.9 million for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for the three months ended June 30, 2024 increased by $3.5 million or 89.2%, compared to the three months ended June 30, 2023.</w:t>
      </w:r>
    </w:p>
    <w:p>
      <w:pPr>
        <w:spacing w:after="0" w:line="15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net was primarily attributable to higher interest expense on the First Lien Credit Facility as a result of increasing interest rates and lower interest income earned on cash held within interest bearing accounts as a result of lower cash on hand. Interest expense, net for the three months ended June 30, 2024 was further impacted by $2.1 million of unrealized gains on the Company’s interest rate swaps.</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net was $10.9 million for the six months ended June 30, 2024, compared to $12.6 million for the six months ended June 30, 2023. Interest expense for the six months ended June 30, 2024 decreased by $1.6 million or 13.1% compared to the six months ended June 30, 2023.</w:t>
      </w:r>
    </w:p>
    <w:p>
      <w:pPr>
        <w:spacing w:after="0" w:line="10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Interest expense, net for the six months ended June 30, 2024 was impacted by $9.2 million of unrealized gains on the Company’s interest rate swaps. This decrease was offset by higher interest expense on the First Lien Credit Facility as a result of increasing interest rates and lower interest income earned on cash held within interest bearing accounts as a result of lower cash on hand.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5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6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689</w:t>
            </w:r>
          </w:p>
        </w:tc>
        <w:tc>
          <w:tcPr>
            <w:tcW w:w="10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3,968</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(699 )  $</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4,649</w:t>
            </w:r>
          </w:p>
        </w:tc>
      </w:tr>
    </w:tbl>
    <w:p>
      <w:pPr>
        <w:spacing w:after="0" w:line="14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provision for income taxes was $0.7 million for the three months ended June 30, 2024, compared to $4.0 million for the three months ended June 30, 2023. Our provision for income taxes for the three months ended June 30, 2024 decreased by $3.3 million, compared to the three months ended June 30, 2023.</w:t>
      </w:r>
    </w:p>
    <w:p>
      <w:pPr>
        <w:spacing w:after="0" w:line="12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decrease of income before income taxes during the three months ended June 30, 2024, as compared to the three months ended June 30, 2023.</w:t>
      </w:r>
    </w:p>
    <w:p>
      <w:pPr>
        <w:spacing w:after="0" w:line="10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(benefit) provision for income taxes was $(0.7) million for the six months ended June 30, 2024, compared to $4.6 million for the six months ended June 30, 2023. Our provision for income taxes for the six months ended June 30, 2024 decreased by $5.3 million, compared to the six months ended June 30, 2023.</w:t>
      </w:r>
    </w:p>
    <w:p>
      <w:pPr>
        <w:spacing w:after="0" w:line="12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decrease in our provision for income taxes was primarily due to the decrease of income before income taxes during the six months ended June 30, 2024, as compared to the six months ended June 30, 2023.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and Net Income (Loss) Margin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5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9,782</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(1,047 )  $</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11,707</w:t>
            </w:r>
          </w:p>
        </w:tc>
        <w:tc>
          <w:tcPr>
            <w:tcW w:w="60" w:type="dxa"/>
            <w:vAlign w:val="bottom"/>
          </w:tcPr>
          <w:p>
            <w:pPr>
              <w:spacing w:after="0"/>
              <w:rPr>
                <w:sz w:val="20"/>
                <w:szCs w:val="20"/>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9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8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5.3 %</w:t>
            </w:r>
          </w:p>
        </w:tc>
        <w:tc>
          <w:tcPr>
            <w:tcW w:w="320" w:type="dxa"/>
            <w:vAlign w:val="bottom"/>
          </w:tcPr>
          <w:p>
            <w:pPr>
              <w:spacing w:after="0"/>
              <w:rPr>
                <w:sz w:val="20"/>
                <w:szCs w:val="20"/>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(0.3 )%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15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income was $1.9 million for the three months ended June 30, 2024, compared to $9.8 million for the three months ended June 30, 2023. Net income for the three months ended June 30, 2024 decreased by $7.9 million compared to the three months ended June 30, 2023.</w:t>
      </w:r>
    </w:p>
    <w:p>
      <w:pPr>
        <w:spacing w:after="0" w:line="108"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Net income margin was 1.0% for the three months ended June 30, 2024, compared to 5.3% for the three months ended June 30, 2024, as increases in selling, general, and administrative expenses, as a result of the Company’s pending acquisition of Sterling and reduced demand from customers more impacted by macroeconomic events, contributed to lower profitability.</w:t>
      </w:r>
    </w:p>
    <w:p>
      <w:pPr>
        <w:spacing w:after="0" w:line="122" w:lineRule="exact"/>
        <w:rPr>
          <w:sz w:val="20"/>
          <w:szCs w:val="20"/>
          <w:color w:val="auto"/>
        </w:rPr>
      </w:pPr>
    </w:p>
    <w:p>
      <w:pPr>
        <w:jc w:val="both"/>
        <w:ind w:right="560"/>
        <w:spacing w:after="0" w:line="282" w:lineRule="auto"/>
        <w:rPr>
          <w:sz w:val="20"/>
          <w:szCs w:val="20"/>
          <w:color w:val="auto"/>
        </w:rPr>
      </w:pPr>
      <w:r>
        <w:rPr>
          <w:rFonts w:ascii="Times New Roman" w:cs="Times New Roman" w:eastAsia="Times New Roman" w:hAnsi="Times New Roman"/>
          <w:sz w:val="18"/>
          <w:szCs w:val="18"/>
          <w:color w:val="auto"/>
        </w:rPr>
        <w:t>Net (loss) income was $(1.0) million for the six months ended June 30, 2024, compared to $11.7 million for the six months ended June 30, 2023. Net income for the six months ended June 30, 2024 decreased by $12.8 million compared to the six months ended June 30, 2023.</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3" w:right="279" w:bottom="1440" w:gutter="0" w:footer="0" w:header="0"/>
        </w:sectPr>
      </w:pPr>
    </w:p>
    <w:bookmarkStart w:id="29" w:name="page30"/>
    <w:bookmarkEnd w:id="29"/>
    <w:p>
      <w:pPr>
        <w:ind w:right="120"/>
        <w:spacing w:after="0" w:line="261" w:lineRule="auto"/>
        <w:rPr>
          <w:sz w:val="20"/>
          <w:szCs w:val="20"/>
          <w:color w:val="auto"/>
        </w:rPr>
      </w:pPr>
      <w:r>
        <w:rPr>
          <w:rFonts w:ascii="Times New Roman" w:cs="Times New Roman" w:eastAsia="Times New Roman" w:hAnsi="Times New Roman"/>
          <w:sz w:val="18"/>
          <w:szCs w:val="18"/>
          <w:color w:val="auto"/>
        </w:rPr>
        <w:t>Net (loss) income margin was (0.3)% for the six months ended June 30, 2024 compared to 3.2% for the six months ended June 30, 2023, as increases in selling, general, and administrative expenses, as a result of the Company’s pending acquisition of Sterling and reduced demand from customers more impacted by macroeconomic events, contributed to lower profitability, particularly as the Company cycled over the growth experienced in 2023 due to the post-pandemic recovery.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7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certain measures are useful in evaluating our operating performance. Management believes these non-GAAP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Adjusted EBITDA, Adjusted EBITDA Margin, Adjusted Net Income, and Adjusted Diluted Earnings Per Share to supplement GAAP measures of performance in the evaluation of the effectiveness of our business strategies, to make budgeting decisions, to establish discretionary annual incentive compensation, and to compare our performance against that of peer companies using similar measures. Management supplements GAAP results with non-GAAP financial measures to provide a more complete understanding of the factors and trends affecting the business than GAAP results alone.</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each non-GAAP financial measure to the most directly comparable financial measure stated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7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Management believes that Adjusted EBITDA is a strong indicator of our overall operating performance and is useful to management and investors as a measure of comparative operating performance from period to period. We define Adjusted EBITDA as net income (loss) before interest, taxes, depreciation, and amortization, and as further adjusted for loss on extinguishment of debt, share-based compensation, transaction and acquisition-related charges, integration and restructuring charges, and other non-cash charges. We exclude the impact of share-based compensation because it is a non-cash expense and we believe that excluding this item provides meaningful supplemental information regarding performance and ongoing cash generation potential. We exclude loss on extinguishment of debt, transaction and acquisition related charges, integration and restructuring charges, and other charges because such expenses are episodic in nature and have no direct correlation to the cost of operating our business on an ongoing basis.</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was $55.8 million for the three months ended June 30, 2024 and represented an Adjusted EBITDA Margin of 30.2%. Adjusted EBITDA was $56.0 million for the three months ended June 30, 2023 and represented an Adjusted EBITDA Margin of 30.2%. Adjusted EBITDA for the three months ended June 30, 2024 decreased by $0.2 million, or 0.4%, compared to the three months ended June 30, 2023.</w:t>
      </w:r>
    </w:p>
    <w:p>
      <w:pPr>
        <w:spacing w:after="0" w:line="12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Adjusted EBITDA was $102.3 million for the six months ended June 30, 2024 and represented an Adjusted EBITDA Margin of 28.9%. Adjusted EBITDA was $104.5 million for the six months ended June 30, 2023 and represented an Adjusted EBITDA Margin of 29.0%. Adjusted EBITDA for the six months ended June 30, 2024 decreased by $2.2 million, or 2.1%, compared to the six months ended June 30, 2023.</w:t>
      </w:r>
    </w:p>
    <w:p>
      <w:pPr>
        <w:spacing w:after="0" w:line="12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Adjusted EBITDA declined during the six months ended June 30, 2024, as macroeconomic events impacted our revenues attributed to existing customers. These decreases were partially offset by increased revenues from certain existing and new customers, including ongoing strength in upselling and cross-selling, cost structure benefits due to increased automation, operational efficiencies, and certain other cost savings actions taken by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EBITDA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1,861</w:t>
            </w:r>
          </w:p>
        </w:tc>
        <w:tc>
          <w:tcPr>
            <w:tcW w:w="9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9,782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11,707</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7,353</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10,923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12,568</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4,649</w:t>
            </w: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29,978</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32,056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63,922</w:t>
            </w:r>
          </w:p>
        </w:tc>
      </w:tr>
      <w:tr>
        <w:trPr>
          <w:trHeight w:val="247"/>
        </w:trPr>
        <w:tc>
          <w:tcPr>
            <w:tcW w:w="498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(a)</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5,659</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(b)</w:t>
            </w: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9,873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2,261</w:t>
            </w:r>
          </w:p>
        </w:tc>
      </w:tr>
      <w:tr>
        <w:trPr>
          <w:trHeight w:val="243"/>
        </w:trPr>
        <w:tc>
          <w:tcPr>
            <w:tcW w:w="498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(c)</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3,765</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55,761</w:t>
            </w:r>
          </w:p>
        </w:tc>
        <w:tc>
          <w:tcPr>
            <w:tcW w:w="9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55,971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102,319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104,531</w:t>
            </w:r>
          </w:p>
        </w:tc>
      </w:tr>
      <w:tr>
        <w:trPr>
          <w:trHeight w:val="20"/>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-187960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-187960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5" w:lineRule="exact"/>
        <w:rPr>
          <w:sz w:val="20"/>
          <w:szCs w:val="20"/>
          <w:color w:val="auto"/>
        </w:rPr>
      </w:pPr>
    </w:p>
    <w:p>
      <w:pPr>
        <w:ind w:left="240" w:right="540" w:hanging="232"/>
        <w:spacing w:after="0" w:line="229"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and six months ended June 30, 2024, includes approximately $2.5 million and $5.1 million, respectively, of incrementally recognized expense associated with the May 2023 vesting modification. Share-based compensation for the three and six months ended June 30, 2023, includes approximately $1.5 million of incrementally recognized expense. See Note 10 to the condensed consolidated financial statements included elsewhere in this Quarterly Report on Form 10-Q for further information.</w:t>
      </w:r>
    </w:p>
    <w:p>
      <w:pPr>
        <w:ind w:left="240" w:right="240" w:hanging="232"/>
        <w:spacing w:after="0" w:line="221"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and six months ended June 30, 2024 include approximately $9.2 million and $20.3 million of expense, respectively, associated with the pending acquisition of Sterling, primarily consisting of legal, regulatory, and diligence professional service fees. The three and six months ended June 30, 2024 and 2023 also include insurance costs incurred related to the initial public offering.</w:t>
      </w:r>
    </w:p>
    <w:p>
      <w:pPr>
        <w:spacing w:after="0" w:line="1" w:lineRule="exact"/>
        <w:rPr>
          <w:rFonts w:ascii="Times New Roman" w:cs="Times New Roman" w:eastAsia="Times New Roman" w:hAnsi="Times New Roman"/>
          <w:sz w:val="14"/>
          <w:szCs w:val="14"/>
          <w:color w:val="auto"/>
        </w:rPr>
      </w:pPr>
    </w:p>
    <w:p>
      <w:pPr>
        <w:ind w:left="240" w:right="180" w:hanging="232"/>
        <w:spacing w:after="0" w:line="239" w:lineRule="auto"/>
        <w:tabs>
          <w:tab w:leader="none" w:pos="2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spacing w:after="0" w:line="1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define Adjusted EBITDA Margin as Adjusted EBITDA divided by total revenues. The following table presents the calculation of Adjusted EBITDA Margin for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55,761</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55,971</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102,319</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104,531</w:t>
            </w:r>
          </w:p>
        </w:tc>
        <w:tc>
          <w:tcPr>
            <w:tcW w:w="80" w:type="dxa"/>
            <w:vAlign w:val="bottom"/>
          </w:tcPr>
          <w:p>
            <w:pPr>
              <w:spacing w:after="0"/>
              <w:rPr>
                <w:sz w:val="20"/>
                <w:szCs w:val="20"/>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184,546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185,315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353,962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360,835</w:t>
            </w:r>
          </w:p>
        </w:tc>
        <w:tc>
          <w:tcPr>
            <w:tcW w:w="80" w:type="dxa"/>
            <w:vAlign w:val="bottom"/>
          </w:tcPr>
          <w:p>
            <w:pPr>
              <w:spacing w:after="0"/>
              <w:rPr>
                <w:sz w:val="20"/>
                <w:szCs w:val="20"/>
                <w:color w:val="auto"/>
              </w:rPr>
            </w:pPr>
          </w:p>
        </w:tc>
      </w:tr>
      <w:tr>
        <w:trPr>
          <w:trHeight w:val="23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2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30.2 %</w:t>
            </w: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30.2 %</w:t>
            </w:r>
          </w:p>
        </w:tc>
        <w:tc>
          <w:tcPr>
            <w:tcW w:w="3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28.9 %</w:t>
            </w: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calculation of Adjusted EBITDA by segment for the periods presented. See Note 15, “Reportable Segments” to the condensed consolidated financial statements for a reconciliation of Adjusted EBITDA for the periods presented by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82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7"/>
        </w:trPr>
        <w:tc>
          <w:tcPr>
            <w:tcW w:w="498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51,594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52,324</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95,263</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96,980</w:t>
            </w:r>
          </w:p>
        </w:tc>
        <w:tc>
          <w:tcPr>
            <w:tcW w:w="8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3,647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7,056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7,551</w:t>
            </w:r>
          </w:p>
        </w:tc>
        <w:tc>
          <w:tcPr>
            <w:tcW w:w="80" w:type="dxa"/>
            <w:vAlign w:val="bottom"/>
          </w:tcPr>
          <w:p>
            <w:pPr>
              <w:spacing w:after="0"/>
              <w:rPr>
                <w:sz w:val="21"/>
                <w:szCs w:val="21"/>
                <w:color w:val="auto"/>
              </w:rPr>
            </w:pP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55,761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55,971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102,319</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104,531</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4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162,378</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162,682</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311,505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314,738</w:t>
            </w:r>
          </w:p>
        </w:tc>
        <w:tc>
          <w:tcPr>
            <w:tcW w:w="80" w:type="dxa"/>
            <w:vAlign w:val="bottom"/>
          </w:tcPr>
          <w:p>
            <w:pPr>
              <w:spacing w:after="0"/>
              <w:rPr>
                <w:sz w:val="21"/>
                <w:szCs w:val="21"/>
                <w:color w:val="auto"/>
              </w:rPr>
            </w:pPr>
          </w:p>
        </w:tc>
      </w:tr>
      <w:tr>
        <w:trPr>
          <w:trHeight w:val="239"/>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0"/>
                <w:szCs w:val="20"/>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24,187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24,113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46,210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48,961</w:t>
            </w:r>
          </w:p>
        </w:tc>
        <w:tc>
          <w:tcPr>
            <w:tcW w:w="80" w:type="dxa"/>
            <w:vAlign w:val="bottom"/>
          </w:tcPr>
          <w:p>
            <w:pPr>
              <w:spacing w:after="0"/>
              <w:rPr>
                <w:sz w:val="20"/>
                <w:szCs w:val="20"/>
                <w:color w:val="auto"/>
              </w:rPr>
            </w:pPr>
          </w:p>
        </w:tc>
      </w:tr>
      <w:tr>
        <w:trPr>
          <w:trHeight w:val="247"/>
        </w:trPr>
        <w:tc>
          <w:tcPr>
            <w:tcW w:w="49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intersegment eliminations</w:t>
            </w: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(2,019 )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(2,864 )</w:t>
            </w:r>
          </w:p>
        </w:tc>
        <w:tc>
          <w:tcPr>
            <w:tcW w:w="80" w:type="dxa"/>
            <w:vAlign w:val="bottom"/>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184,546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185,315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353,962</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360,835</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4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31.8 %</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32.2 %</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30.6 %</w:t>
            </w: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30.8 %</w:t>
            </w:r>
          </w:p>
        </w:tc>
      </w:tr>
      <w:tr>
        <w:trPr>
          <w:trHeight w:val="243"/>
        </w:trPr>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17.2 %</w:t>
            </w:r>
          </w:p>
        </w:tc>
        <w:tc>
          <w:tcPr>
            <w:tcW w:w="3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15.1 %</w:t>
            </w: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15.3 %</w:t>
            </w:r>
          </w:p>
        </w:tc>
        <w:tc>
          <w:tcPr>
            <w:tcW w:w="3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15.4 %</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32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30.2 %</w:t>
            </w:r>
          </w:p>
        </w:tc>
        <w:tc>
          <w:tcPr>
            <w:tcW w:w="32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30.2 %</w:t>
            </w:r>
          </w:p>
        </w:tc>
        <w:tc>
          <w:tcPr>
            <w:tcW w:w="32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28.9 %</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54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-1910715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-1910715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-1910715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-951230</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-951230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-951230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240" w:right="320" w:hanging="232"/>
        <w:spacing w:after="0" w:line="261" w:lineRule="auto"/>
        <w:tabs>
          <w:tab w:leader="none" w:pos="2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the reconciliation of net income (loss) to Adjusted EBITDA above. Segment Adjusted EBITDA margins are calculated using segment gross revenues and segment Adjusted EBITDA. Consolidated Adjusted EBITDA margin is calculated using consolidated revenues and consolidated Adjusted EBITDA.</w:t>
      </w:r>
    </w:p>
    <w:p>
      <w:pPr>
        <w:spacing w:after="0" w:line="1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985"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Similar to Adjusted EBITDA, management believes that Adjusted Net Income and Adjusted Diluted Earnings Per Share are strong indicators of our overall operating performance and are useful to our management and investors as measures of comparative operating performance from period to period. We define Adjusted Net Income for a particular period as net income (loss) before taxes adjusted for debt-related costs, acquisition-related depreciation and amortization, share-based compensation, transaction and acquisition related charges, integration and restructuring charges, and other non-cash charges, to which we then apply the related effective tax rate. We define Adjusted Diluted Earnings Per Share as Adjusted Net Income divided by adjusted weighted average number of shares outstanding—diluted.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was $30.8 million for the three months ended June 30, 2024, compared to $34.8 million for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for the three months ended June 30, 2024 decreased by $4.1 million, or 11.7% compared to the three months ended June 30, 2023.</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Adjusted Diluted Earnings Per Share was $0.21 for the three months ended June 30, 2024, compared to $0.24 for the three months ended June 30, 2023. Adjusted Diluted Earnings Per Share for the three months ended June 30, 2024 decreased by $0.03, or 12.5% compared to the three months ended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was $55.5 million for the six months ended June 30, 2024, compared to $63.2 million for the six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for the six months ended June 30, 2024 decreased by $7.7 million, or 12.1%, compared to the six months ended June 30, 2023.</w:t>
      </w:r>
    </w:p>
    <w:p>
      <w:pPr>
        <w:spacing w:after="0" w:line="15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Adjusted Diluted Earnings Per Share was $0.38 for the six months ended June 30, 2024, compared to $0.43 for the six months ended June 30, 2023. Adjusted Diluted Earnings Per Share for the six months ended June 30, 2024 decreased by $0.05, or 11.6% compared to the six months ended June 30, 2023.</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Adjusted Net Income and Adjusted Diluted Earnings Per Share declined during the six months ended June 30, 2024 as reduced demand from customers more impacted by macroeconomic events contributed to lower revenues and profitability. Adjusted Net Income and Adjusted Diluted Earnings Per Share were further impacted by changes in acquisition-related depreciation and amortization and changes in our capital structure that are captured in interest expense. Gains or losses and actual cash payments and receipts on the Company’s interest rate swaps impact the comparability of Adjusted Net Income and Adjusted Diluted Earnings Per Share across historical periods. Adjusted Diluted Earnings Per Share is further impacted by shares repurchased under the Company’s Repurchase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1,861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9,782</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11,707</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4,649</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2,550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13,750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(1,746 )</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16,356</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4,501</w:t>
            </w: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22,616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25,470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45,241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50,955</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32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5,659</w:t>
            </w:r>
          </w:p>
        </w:tc>
      </w:tr>
      <w:tr>
        <w:trPr>
          <w:trHeight w:val="243"/>
        </w:trPr>
        <w:tc>
          <w:tcPr>
            <w:tcW w:w="49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9,873</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21,865</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2,261</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3,765</w:t>
            </w:r>
          </w:p>
        </w:tc>
      </w:tr>
      <w:tr>
        <w:trPr>
          <w:trHeight w:val="23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 effect</w:t>
            </w: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40,784</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45,531</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73,561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83,497</w:t>
            </w:r>
          </w:p>
        </w:tc>
      </w:tr>
      <w:tr>
        <w:trPr>
          <w:trHeight w:val="243"/>
        </w:trPr>
        <w:tc>
          <w:tcPr>
            <w:tcW w:w="49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Adjusted income taxes</w:t>
            </w:r>
            <w:r>
              <w:rPr>
                <w:rFonts w:ascii="Times New Roman" w:cs="Times New Roman" w:eastAsia="Times New Roman" w:hAnsi="Times New Roman"/>
                <w:sz w:val="24"/>
                <w:szCs w:val="24"/>
                <w:color w:val="auto"/>
                <w:vertAlign w:val="superscript"/>
              </w:rPr>
              <w:t>(f)</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10,031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10,705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18,022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20,307</w:t>
            </w:r>
          </w:p>
        </w:tc>
      </w:tr>
      <w:tr>
        <w:trPr>
          <w:trHeight w:val="27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30,753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34,826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55,539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63,190</w:t>
            </w:r>
          </w:p>
        </w:tc>
      </w:tr>
      <w:tr>
        <w:trPr>
          <w:trHeight w:val="413"/>
        </w:trPr>
        <w:tc>
          <w:tcPr>
            <w:tcW w:w="49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-796290</wp:posOffset>
            </wp:positionV>
            <wp:extent cx="768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-779145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-796290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-779145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-796290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-779145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Adjusted Diluted Earnings Per Share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 (GAAP)</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Net Income adjustments per share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Debt-related charges</w:t>
            </w:r>
            <w:r>
              <w:rPr>
                <w:rFonts w:ascii="Times New Roman" w:cs="Times New Roman" w:eastAsia="Times New Roman" w:hAnsi="Times New Roman"/>
                <w:sz w:val="24"/>
                <w:szCs w:val="24"/>
                <w:color w:val="auto"/>
                <w:vertAlign w:val="superscript"/>
              </w:rPr>
              <w:t>(a)</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Acquisition-related depreciation and amortization</w:t>
            </w:r>
            <w:r>
              <w:rPr>
                <w:rFonts w:ascii="Times New Roman" w:cs="Times New Roman" w:eastAsia="Times New Roman" w:hAnsi="Times New Roman"/>
                <w:sz w:val="24"/>
                <w:szCs w:val="24"/>
                <w:color w:val="auto"/>
                <w:vertAlign w:val="superscript"/>
              </w:rPr>
              <w:t>(b)</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0.18</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4"/>
                <w:szCs w:val="24"/>
                <w:color w:val="auto"/>
                <w:vertAlign w:val="superscript"/>
              </w:rPr>
              <w:t>(c)</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Transaction and acquisition-related charges</w:t>
            </w:r>
            <w:r>
              <w:rPr>
                <w:rFonts w:ascii="Times New Roman" w:cs="Times New Roman" w:eastAsia="Times New Roman" w:hAnsi="Times New Roman"/>
                <w:sz w:val="24"/>
                <w:szCs w:val="24"/>
                <w:color w:val="auto"/>
                <w:vertAlign w:val="superscript"/>
              </w:rPr>
              <w:t>(d)</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49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Integration, restructuring, and other charges</w:t>
            </w:r>
            <w:r>
              <w:rPr>
                <w:rFonts w:ascii="Times New Roman" w:cs="Times New Roman" w:eastAsia="Times New Roman" w:hAnsi="Times New Roman"/>
                <w:sz w:val="24"/>
                <w:szCs w:val="24"/>
                <w:color w:val="auto"/>
                <w:vertAlign w:val="superscript"/>
              </w:rPr>
              <w:t>(e)</w:t>
            </w:r>
          </w:p>
        </w:tc>
        <w:tc>
          <w:tcPr>
            <w:tcW w:w="28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43"/>
        </w:trPr>
        <w:tc>
          <w:tcPr>
            <w:tcW w:w="498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Adjusted income taxes</w:t>
            </w:r>
            <w:r>
              <w:rPr>
                <w:rFonts w:ascii="Times New Roman" w:cs="Times New Roman" w:eastAsia="Times New Roman" w:hAnsi="Times New Roman"/>
                <w:sz w:val="24"/>
                <w:szCs w:val="24"/>
                <w:color w:val="auto"/>
                <w:vertAlign w:val="superscript"/>
              </w:rPr>
              <w:t>(f)</w:t>
            </w: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36"/>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 (Non-GAAP)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0.21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0.24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0.38</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0.43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used in</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computation of Adjusted Diluted Earnings Per Share:</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(GAAP)</w:t>
            </w:r>
          </w:p>
        </w:tc>
        <w:tc>
          <w:tcPr>
            <w:tcW w:w="28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145,856,112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145,338,920</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143,727,612</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146,894,790</w:t>
            </w:r>
          </w:p>
        </w:tc>
        <w:tc>
          <w:tcPr>
            <w:tcW w:w="0" w:type="dxa"/>
            <w:vAlign w:val="bottom"/>
          </w:tcPr>
          <w:p>
            <w:pPr>
              <w:spacing w:after="0"/>
              <w:rPr>
                <w:sz w:val="1"/>
                <w:szCs w:val="1"/>
                <w:color w:val="auto"/>
              </w:rPr>
            </w:pPr>
          </w:p>
        </w:tc>
      </w:tr>
      <w:tr>
        <w:trPr>
          <w:trHeight w:val="211"/>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and restricted stock not included in weighted average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 of shares outstanding—diluted (GAAP) (using treasury</w:t>
            </w:r>
          </w:p>
        </w:tc>
        <w:tc>
          <w:tcPr>
            <w:tcW w:w="280" w:type="dxa"/>
            <w:vAlign w:val="bottom"/>
          </w:tcPr>
          <w:p>
            <w:pPr>
              <w:spacing w:after="0"/>
              <w:rPr>
                <w:sz w:val="18"/>
                <w:szCs w:val="18"/>
                <w:color w:val="auto"/>
              </w:rPr>
            </w:pPr>
          </w:p>
        </w:tc>
        <w:tc>
          <w:tcPr>
            <w:tcW w:w="122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2,105,134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method)</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98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Adjusted weighted average number of shares outstanding—</w:t>
            </w:r>
          </w:p>
        </w:tc>
        <w:tc>
          <w:tcPr>
            <w:tcW w:w="28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145,856,112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145,338,920</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145,832,746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146,894,790</w:t>
            </w: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(Non-GAAP)</w:t>
            </w:r>
          </w:p>
        </w:tc>
        <w:tc>
          <w:tcPr>
            <w:tcW w:w="2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vMerge w:val="continue"/>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-1645285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-1645285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-1645285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240" w:right="60" w:hanging="232"/>
        <w:spacing w:after="0" w:line="229"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non-cash interest expense related to the amortization of debt issuance costs for the 2021 February refinancing of the Company’s First Lien Credit Facility (as defined below). This adjustment also includes the impact of the change in fair value of interest rate swaps, which represents the difference between the fair value gains or losses and actual cash payments and receipts on the interest rate swaps.</w:t>
      </w:r>
    </w:p>
    <w:p>
      <w:pPr>
        <w:ind w:left="240" w:right="140" w:hanging="232"/>
        <w:spacing w:after="0" w:line="221"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depreciation and amortization expense related to intangible assets and developed technology assets recorded due to the application of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a result, the purchase accounting related depreciation and amortization expense will recur in future periods until the related assets are fully depreciated or amortized, and the related purchase accounting assets may contribute to revenue generation.</w:t>
      </w:r>
    </w:p>
    <w:p>
      <w:pPr>
        <w:ind w:left="240" w:right="460" w:hanging="232"/>
        <w:spacing w:after="0" w:line="221"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for the three and six months ended June 30, 2024, includes approximately $2.5 million and $5.1 million, respectively, of incrementally recognized expense associated with the May 2023 vesting modification. Share-based compensation for the three and six months ended June 30, 2023, includes approximately $1.5 million of incrementally recognized expense. See Note 10 to the condensed consolidated financial statements included elsewhere in this Quarterly Report on Form 10-Q for further information.</w:t>
      </w:r>
    </w:p>
    <w:p>
      <w:pPr>
        <w:ind w:left="240" w:right="160" w:hanging="232"/>
        <w:spacing w:after="0" w:line="221"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incurred related to acquisitions and similar transactions, primarily consisting of change in control-related costs, professional service fees, and other third-party costs. Transaction and acquisition related charges for the three and six months ended June 30, 2024 include approximately $9.2 million and $20.3 million of expense, respectively, associated with the pending acquisition of Sterling, primarily consisting of legal, regulatory, and diligence professional service fees. The three and six months ended June 30, 2024 and 2023 also include insurance costs incurred related to the initial public offering.</w:t>
      </w:r>
    </w:p>
    <w:p>
      <w:pPr>
        <w:spacing w:after="0" w:line="1" w:lineRule="exact"/>
        <w:rPr>
          <w:rFonts w:ascii="Times New Roman" w:cs="Times New Roman" w:eastAsia="Times New Roman" w:hAnsi="Times New Roman"/>
          <w:sz w:val="14"/>
          <w:szCs w:val="14"/>
          <w:color w:val="auto"/>
        </w:rPr>
      </w:pPr>
    </w:p>
    <w:p>
      <w:pPr>
        <w:ind w:left="240" w:right="100" w:hanging="232"/>
        <w:spacing w:after="0" w:line="221"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charges from organizational restructuring and integration activities, non-cash, and other charges primarily related to nonrecurring legal exposures, foreign currency (gains) losses, (gains) losses on the sale of assets, and other non-recurring items.</w:t>
      </w:r>
    </w:p>
    <w:p>
      <w:pPr>
        <w:ind w:left="240" w:right="80" w:hanging="232"/>
        <w:spacing w:after="0" w:line="233" w:lineRule="auto"/>
        <w:tabs>
          <w:tab w:leader="none" w:pos="2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tax rates of approximately 24.6% and 24.5% have been used to compute Adjusted Net Income and Adjusted Diluted Earnings Per Share for the three and six months ended June 30, 2024, respectively. Effective tax rates of approximately 23.5% and 24.3% have been used to compute Adjusted Net Income and Adjusted Diluted Earnings Per Share for the three and six months ended June 30, 2023, respectively.</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primary liquidity requirements are for working capital, continued investments in software development and other capital expenditures, and other strategic investments, including the Acquisition. In 2023, the Company fully utilized its remaining U.S. Federal income tax net operating loss carryforwards. As a result, income taxes are and will be a material use of funds, depending on our future profitability, and future tax rates. The Company’s liquidity needs are met primarily through existing balance sheet cash, cash flows from operations, as well as funds available under our revolving credit facility and proceeds from our term loan borrowings, including incremental term loan borrowings expected to be incurred to fund the Acquisition pursuant to commitment letters entered into with certain financial institutions. Our cash flows from operations include cash received from customers, less cash costs to provide services to our customers, which includes general and administrative costs and interest payments.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of June 30, 2024, we had $269.6 million in cash and cash equivalents and $100.0 million available under our revolving credit facility. As of June 30, 2024, we had $564.7 million of total debt outstanding. We believe our cash on hand, together with amounts available under our revolving credit facility, and cash provided by operating activities are and will continue to be adequate to meet our operational and business needs in the next twelve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that may be beyond our control, including those described under our “Risk Factors” included in the Company’s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August 2, 2022, the Company’s Board of Directors authorized the repurchase of up to $50.0 million of the Company’s common stock over the 12-month period ending August 2, 2023 (the “Repurchase Program”). 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The Company has used and plans to use its existing cash to fund repurchases made under the share repurchase program.</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August 2, 2024, the Company repurchased approximately $119.5 million of shares under the Repurchase Program. In connection with the execution of the Merger Agreement, the Company suspended purchases under its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August 8, 2023, the Company’s Board of Directors declared a one-time special cash dividend of $1.50 per share to stockholders of record at the close of business on August 21, 2023. Since August 31, 2023 through June 30, 2024, the Company has paid an aggregate cash dividend of $217.9 million with cash from the balance sheet.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February 2020, a new financing structure was established, which included a new First Lien Credit Agreement (as amended, the “Credit Agreement”). The Credit Agreement provided financing in the form of a $670.0 million term loan due January 31, 2027 (“First Lien Credit Facility”) and a $75.0 million new revolving credit facility due January 31, 2025 (“Revolver”).</w:t>
      </w:r>
    </w:p>
    <w:p>
      <w:pPr>
        <w:spacing w:after="0" w:line="12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1, 2021, we amended the First Lien Agreement to fund $100.0 million of additional first lien term loans and reduce the applicable margins by 0.25%.</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its IPO, the Company entered into an amendment to increase the borrowing capacity under the Revolver from $75.0 million to $100.0 million and extend the maturity date from January 31, 2025 to July 31, 2026.</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First Lien Agreement bear interest at a rate per annum equal to an applicable margin plus, at our option, either (a) a base rate or (b) LIBOR, which is subject to a floor of 0.00% per annum. Pursuant to an amendment in June 2023, the reference rate under the Credit Agreement was transitioned from LIBOR to SOFR (the Secured Overnight Financing Rate as administered by the Federal Reserve Bank of New York), with the addition of an applicable margin. The applicable margins under the First Lien Agreement are subject to stepdowns based on our first lien net leverage ratio. In connection with the closing of the IPO, each applicable margin was reduced further by 0.25%. In addition, the borrower, First Advantage Holdings, LLC, which is an indirect wholly-owned subsidiary of the Company, is required to pay a commitment fee on any unutilized commitments under the revolving credit facility. The commitment fee rate ranges between 0.25% and 0.50% per annum based on our first lien net leverage ratio. The borrower is also required to pay customary letter of credit fees.</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First Lien Credit Facility amortizes in equal quarterly installments in aggregate annual amounts equal to 1.00% of the principal amount. The Revolver has no amortization. The First Lien Credit Facility requires the borrower to prepay outstanding term loans, subject to certain exceptions, with certain proceeds from non-ordinary course asset sales, issuance of debt not permitted by the credit agreement to be incurred and annual excess cash flows. In addition, any voluntary prepayment of term loans in connection with certain repricing transactions on or prior to August 1, 2021 were subject to a 1.00% prepayment premium. Otherwise, the borrower may voluntarily repay outstanding loans without premium or penalty, other than customary “breakage” costs.</w:t>
      </w:r>
    </w:p>
    <w:p>
      <w:pPr>
        <w:spacing w:after="0" w:line="13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IPO, on June 30, 2021, the Company repaid $200.0 million of the First Lien Credit Facility outstanding, of which $44.3 million was applied to all of the remaining quarterly amortizing principal payments due under the First Lien Agreement. The remaining $564.7 million term loan is scheduled to mature on January 31, 2027.</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First Lien Agreement is unconditionally guaranteed by Fastball Parent, Inc., a wholly-owned subsidiary of the Company and the direct parent of the borrower, and material wholly owned domestic restricted subsidiaries of Fastball Parent, Inc. The First Lien Agreement and the guarantees of such obligations, are secured, subject to permitted liens and other exceptions, by (1) a first priority security interest in certain tangible and intangible assets of the borrower and the guarantors and (2) a first-priority pledge of 100% of the capital stock of the borrower and of each wholly-owned material restricted subsidiary of the borrower and the guarantors (which pledge, in the case of any non-U.S. subsidiary of a U.S. subsidiary, does not include more than 65% of the voting stock of such non-U.S. subsidiary).</w:t>
      </w:r>
    </w:p>
    <w:p>
      <w:pPr>
        <w:spacing w:after="0" w:line="13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First Lien Agreement contains customary affirmative covenants, negative covenants, and events of default (including upon a change of control). The First Lien Agreement also includes a “springing” first lien net leverage ratio test, applicable only to the Revolver, that requires such ratio to be no greater than 7.75:1.00 on the last day of any fiscal quarter if more than 35.0% of the Revolver is utilized on such date.</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Cash Flows for the six months ended June 30, 2024 compared to the six months ended June 30,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our cash flow activity for the periods presented:</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70,372</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71,722</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(13,318 )</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(50,984 )</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$70.4 million for the six months ended June 30, 2024, compared to $71.7 million for the six months ended June 30, 2023. Net cash provided by operating activities for the six months ended June 30, 2024 decreased by $1.4 million compared to the six months ended June 30, 2023. Cash flows from operating activities were impacted by the payment of professional service and legal fees related to the Company’s pending acquisition of Sterling and the continuation of more modest hiring activity from our customers resulting from the current hiring environment. This was offset in part by lower accounts receivable driven by increased cash collections from customers.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7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$13.8 million for the six months ended June 30, 2024, compared to $13.3 million for the six months ended June 30, 2023. Net cash used in investing activities for the six months ended June 30, 2024 increased by $0.5 million compared to the six months ended June 30, 2023. Increases in cash flows used in investing activities for the six months ended June 30, 2024 were driven primarily by capitalized software development costs, which increased in 2024 as the Company continued to make incremental investments in its technology platform.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(used in) financing activities was $0.2 million for the six months ended June 30, 2024, compared to $(51.0) million for the six months ended June 30, 2023. Net cash provided by financing activities for the six months ended June 30, 2024 was driven by cash inflows related to share-based compensation activity. These inflows were offset by cash outflows related to payments on the deferred purchase of a software platform and dividends paid on vested RSUs as a result of the Company’s August 2023 one-time special dividend. Net cash used in financing activities for six months ended June 30, 2023 was impacted by shares repurchased under the Company’s Repurchase Program. During the six months ended June 30, 2023, 3,895,737 shares were repurchased under the program at a total cost of $52.3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See Note 2 to the condensed consolidated financial statements for disclosure of the impact that recent accounting pronouncements may have on the condensed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there have been no significant changes to our critical accounting policies and estimates compared with those disclosed in Part II, Item 7, “Management’s Discussion and Analysis of Financial Condition and Results of Operations” included in the Company’s Annual Report on Form 10-K for the year ended December 31, 2023.</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June 30, 2024, no material change had occurred in our market risks, compared with the disclosure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has evaluated the effectiveness of the Company’s disclosure controls and procedures as of the end of the period covered by this report.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discussions regarding required disclosures.</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not absolute, assurance of achieving their desired control objectives. Based on the evaluation of management’s disclosure controls and procedures as of the end of the period covered by this report, our Chief Executive Officer and Chief Financial Officer concluded that, as of such date, the disclosure controls and procedures were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quarter covered by this report, there were no changes in our internal control over financial reporting (as defined in Rules 13a-15(f) and 15d-15(f) under the Exchange Act) that materially affected, or are reasonably likely to materially affect, our internal control over financial reporting.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in response to this Item is included in “Part I — Item 1. — Note 12 — Commitments and Contingencies” and is incorporated by reference into Part II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June 30, 2024, no material changes had occurred in our risk factors, compared with the disclosure in our Annual Report on Form 10-K for the year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relates to the Company’s purchase of its common stock during each month within the second quarter of 2024:</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380" w:type="dxa"/>
            <w:vAlign w:val="bottom"/>
            <w:gridSpan w:val="2"/>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80" w:type="dxa"/>
            <w:vAlign w:val="bottom"/>
          </w:tcPr>
          <w:p>
            <w:pPr>
              <w:spacing w:after="0"/>
              <w:rPr>
                <w:sz w:val="12"/>
                <w:szCs w:val="12"/>
                <w:color w:val="auto"/>
              </w:rPr>
            </w:pPr>
          </w:p>
        </w:tc>
        <w:tc>
          <w:tcPr>
            <w:tcW w:w="1380" w:type="dxa"/>
            <w:vAlign w:val="bottom"/>
            <w:gridSpan w:val="2"/>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218"/>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8"/>
              <w:spacing w:after="0" w:line="189" w:lineRule="exact"/>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19"/>
                <w:szCs w:val="19"/>
                <w:b w:val="1"/>
                <w:bCs w:val="1"/>
                <w:color w:val="auto"/>
                <w:w w:val="98"/>
                <w:vertAlign w:val="superscript"/>
              </w:rPr>
              <w:t>(2)</w:t>
            </w: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2024 through April 30, 2024</w:t>
            </w:r>
          </w:p>
        </w:tc>
        <w:tc>
          <w:tcPr>
            <w:tcW w:w="14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May 1, 2024 through May 31, 2024</w:t>
            </w:r>
          </w:p>
        </w:tc>
        <w:tc>
          <w:tcPr>
            <w:tcW w:w="14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47"/>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2024 through June 30, 2024</w:t>
            </w:r>
          </w:p>
        </w:tc>
        <w:tc>
          <w:tcPr>
            <w:tcW w:w="14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80,478,639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-187960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5" w:lineRule="exact"/>
        <w:rPr>
          <w:sz w:val="20"/>
          <w:szCs w:val="20"/>
          <w:color w:val="auto"/>
        </w:rPr>
      </w:pPr>
    </w:p>
    <w:p>
      <w:pPr>
        <w:ind w:left="820" w:hanging="213"/>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for shares purchased as part of our Repurchase Program (includes brokerage commissions).</w:t>
      </w:r>
    </w:p>
    <w:p>
      <w:pPr>
        <w:spacing w:after="0" w:line="3" w:lineRule="exact"/>
        <w:rPr>
          <w:rFonts w:ascii="Times New Roman" w:cs="Times New Roman" w:eastAsia="Times New Roman" w:hAnsi="Times New Roman"/>
          <w:sz w:val="14"/>
          <w:szCs w:val="14"/>
          <w:color w:val="auto"/>
        </w:rPr>
      </w:pPr>
    </w:p>
    <w:p>
      <w:pPr>
        <w:ind w:left="820" w:right="780" w:hanging="213"/>
        <w:spacing w:after="0" w:line="227" w:lineRule="auto"/>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 2022, the Company’s Board of Directors authorized the repurchase of up to $50.0 million of the Company’s common stock over the 12-month period ending August 2, 2023. On November 8, 2022, the Company’s Board of Directors authorized an increase to the total available amount under its Repurchase Program to $150.0 million and extended the program through December 31, 2023. On February 28, 2023, the Company’s Board of Directors authorized an increase to the total available amount under its Repurchase Program to $200.0 million. On September 14, 2023, the Company announced that its Board of Directors approved a one-year extension of its share repurchase authorization, extending the previously authorized $200.0 million program through December 31, 2024. Through August 2, 2024, the Company repurchased approximately $119.5 million of shares under the Repurchase Program.</w:t>
      </w:r>
    </w:p>
    <w:p>
      <w:pPr>
        <w:spacing w:after="0" w:line="1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Stock repurchases may be effected through open market repurchases at prevailing market prices, including through the use of block trades and trading plans intended to qualify under Rule 10b5-1 under the Securities Exchange Act of 1934, as amended, privately-negotiated transactions, through other transactions in accordance with applicable securities laws, or a combination of these methods on such terms and in such amounts as the Company deems appropriate and will be funded from available capital. The Company is not obligated to repurchase any specific number of shares, and the timing, manner, value, and actual number of shares repurchased will depend on a variety of factors, including the Company’s stock price and liquidity requirements, other business considerations and general market and economic conditions. No shares will be purchased from SLP Fastball Aggregator, L.P. and its affiliates. The Company may discontinue or modify purchases without notice at any time. In connection with the execution of the Merger Agreement, the Company suspended purchases under its Repurchase Program.</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Rule 16a-1(f) of the Securities Exchange Act of 1934, as amended) adopted, terminated, or modified a Rule 10b5-1 trading arrangement or non-Rule 10b5-1 trading arrangement (as such terms are defined in Item 408 of Regulation S-K), except as described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3"/>
                <w:szCs w:val="13"/>
                <w:b w:val="1"/>
                <w:bCs w:val="1"/>
                <w:color w:val="auto"/>
              </w:rPr>
              <w:t>Trading Arrangement</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Scheduled</w:t>
            </w: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 Date of</w:t>
            </w:r>
          </w:p>
        </w:tc>
        <w:tc>
          <w:tcPr>
            <w:tcW w:w="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Date of</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Rule 10b5-1</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Rule 10b5-1 Trading</w:t>
            </w:r>
          </w:p>
        </w:tc>
        <w:tc>
          <w:tcPr>
            <w:tcW w:w="100" w:type="dxa"/>
            <w:vAlign w:val="bottom"/>
          </w:tcPr>
          <w:p>
            <w:pPr>
              <w:spacing w:after="0"/>
              <w:rPr>
                <w:sz w:val="12"/>
                <w:szCs w:val="12"/>
                <w:color w:val="auto"/>
              </w:rPr>
            </w:pPr>
          </w:p>
        </w:tc>
        <w:tc>
          <w:tcPr>
            <w:tcW w:w="26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Aggregate Number of Securities to Be</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Director/Officer Name</w:t>
            </w: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Adoption/Termination</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Non-Rule 10b5-1</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1"/>
              </w:rPr>
              <w:t>Plan</w:t>
            </w:r>
            <w:r>
              <w:rPr>
                <w:rFonts w:ascii="Times New Roman" w:cs="Times New Roman" w:eastAsia="Times New Roman" w:hAnsi="Times New Roman"/>
                <w:sz w:val="18"/>
                <w:szCs w:val="18"/>
                <w:b w:val="1"/>
                <w:bCs w:val="1"/>
                <w:color w:val="auto"/>
                <w:w w:val="91"/>
                <w:vertAlign w:val="superscript"/>
              </w:rPr>
              <w:t>(2)</w:t>
            </w:r>
          </w:p>
        </w:tc>
        <w:tc>
          <w:tcPr>
            <w:tcW w:w="100" w:type="dxa"/>
            <w:vAlign w:val="bottom"/>
          </w:tcPr>
          <w:p>
            <w:pPr>
              <w:spacing w:after="0"/>
              <w:rPr>
                <w:sz w:val="16"/>
                <w:szCs w:val="16"/>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Purchased or Sold</w:t>
            </w:r>
          </w:p>
        </w:tc>
        <w:tc>
          <w:tcPr>
            <w:tcW w:w="0" w:type="dxa"/>
            <w:vAlign w:val="bottom"/>
          </w:tcPr>
          <w:p>
            <w:pPr>
              <w:spacing w:after="0"/>
              <w:rPr>
                <w:sz w:val="1"/>
                <w:szCs w:val="1"/>
                <w:color w:val="auto"/>
              </w:rPr>
            </w:pPr>
          </w:p>
        </w:tc>
      </w:tr>
      <w:tr>
        <w:trPr>
          <w:trHeight w:val="133"/>
        </w:trPr>
        <w:tc>
          <w:tcPr>
            <w:tcW w:w="15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James L. Clark</w:t>
            </w:r>
          </w:p>
        </w:tc>
        <w:tc>
          <w:tcPr>
            <w:tcW w:w="12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Director</w:t>
            </w:r>
          </w:p>
        </w:tc>
        <w:tc>
          <w:tcPr>
            <w:tcW w:w="120" w:type="dxa"/>
            <w:vAlign w:val="bottom"/>
            <w:shd w:val="clear" w:color="auto" w:fill="CFF0FC"/>
          </w:tcPr>
          <w:p>
            <w:pPr>
              <w:spacing w:after="0"/>
              <w:rPr>
                <w:sz w:val="11"/>
                <w:szCs w:val="11"/>
                <w:color w:val="auto"/>
              </w:rPr>
            </w:pPr>
          </w:p>
        </w:tc>
        <w:tc>
          <w:tcPr>
            <w:tcW w:w="1840" w:type="dxa"/>
            <w:vAlign w:val="bottom"/>
            <w:gridSpan w:val="2"/>
            <w:vMerge w:val="restart"/>
            <w:shd w:val="clear" w:color="auto" w:fill="CFF0FC"/>
          </w:tcPr>
          <w:p>
            <w:pPr>
              <w:jc w:val="center"/>
              <w:ind w:right="120"/>
              <w:spacing w:after="0"/>
              <w:rPr>
                <w:sz w:val="20"/>
                <w:szCs w:val="20"/>
                <w:color w:val="auto"/>
              </w:rPr>
            </w:pPr>
            <w:r>
              <w:rPr>
                <w:rFonts w:ascii="Times New Roman" w:cs="Times New Roman" w:eastAsia="Times New Roman" w:hAnsi="Times New Roman"/>
                <w:sz w:val="14"/>
                <w:szCs w:val="14"/>
                <w:color w:val="auto"/>
              </w:rPr>
              <w:t>Adopted June 11, 2024</w:t>
            </w:r>
          </w:p>
        </w:tc>
        <w:tc>
          <w:tcPr>
            <w:tcW w:w="10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June 9, 2025</w:t>
            </w:r>
          </w:p>
        </w:tc>
        <w:tc>
          <w:tcPr>
            <w:tcW w:w="100" w:type="dxa"/>
            <w:vAlign w:val="bottom"/>
            <w:shd w:val="clear" w:color="auto" w:fill="CFF0FC"/>
          </w:tcPr>
          <w:p>
            <w:pPr>
              <w:spacing w:after="0"/>
              <w:rPr>
                <w:sz w:val="11"/>
                <w:szCs w:val="11"/>
                <w:color w:val="auto"/>
              </w:rPr>
            </w:pPr>
          </w:p>
        </w:tc>
        <w:tc>
          <w:tcPr>
            <w:tcW w:w="266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Sale of up to 4,482 shares of common stock</w:t>
            </w:r>
          </w:p>
        </w:tc>
        <w:tc>
          <w:tcPr>
            <w:tcW w:w="0" w:type="dxa"/>
            <w:vAlign w:val="bottom"/>
          </w:tcPr>
          <w:p>
            <w:pPr>
              <w:spacing w:after="0"/>
              <w:rPr>
                <w:sz w:val="1"/>
                <w:szCs w:val="1"/>
                <w:color w:val="auto"/>
              </w:rPr>
            </w:pPr>
          </w:p>
        </w:tc>
      </w:tr>
      <w:tr>
        <w:trPr>
          <w:trHeight w:val="185"/>
        </w:trPr>
        <w:tc>
          <w:tcPr>
            <w:tcW w:w="15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40" w:type="dxa"/>
            <w:vAlign w:val="bottom"/>
            <w:gridSpan w:val="2"/>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in one transaction</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satisfy the affirmative defense of Rule 10b5-1(c).</w:t>
      </w:r>
    </w:p>
    <w:p>
      <w:pPr>
        <w:spacing w:after="0" w:line="3"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trading plan may also expire on such earlier date that all transactions under the trading plan are completed.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840" w:type="dxa"/>
            <w:vAlign w:val="bottom"/>
            <w:tcBorders>
              <w:bottom w:val="single" w:sz="8" w:color="auto"/>
            </w:tcBorders>
            <w:gridSpan w:val="9"/>
          </w:tcPr>
          <w:p>
            <w:pPr>
              <w:ind w:left="3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2"/>
        </w:trPr>
        <w:tc>
          <w:tcPr>
            <w:tcW w:w="9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tcBorders>
              <w:bottom w:val="single" w:sz="8" w:color="0000FF"/>
            </w:tcBorders>
            <w:gridSpan w:val="10"/>
          </w:tcPr>
          <w:p>
            <w:pPr>
              <w:spacing w:after="0" w:line="162"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Agreement and Plan of Merger, dated as of February 28, 2024, by and among First Advantage Corporation, Sterling Check Corp. and Starter Merger Sub,</w:t>
              </w:r>
            </w:hyperlink>
          </w:p>
        </w:tc>
        <w:tc>
          <w:tcPr>
            <w:tcW w:w="180" w:type="dxa"/>
            <w:vAlign w:val="bottom"/>
            <w:gridSpan w:val="3"/>
          </w:tcPr>
          <w:p>
            <w:pPr>
              <w:spacing w:after="0"/>
              <w:rPr>
                <w:sz w:val="14"/>
                <w:szCs w:val="14"/>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3"/>
          </w:tcPr>
          <w:p>
            <w:pPr>
              <w:spacing w:after="0" w:line="183"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Inc. (incorporated herein by reference to Exhibit 2.1 of First Advantage’s Form 8-K filed on March 1,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tcBorders>
              <w:bottom w:val="single" w:sz="8" w:color="0000FF"/>
            </w:tcBorders>
            <w:gridSpan w:val="9"/>
          </w:tcPr>
          <w:p>
            <w:pPr>
              <w:spacing w:after="0"/>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Waiver of Brazil Antitrust Filing Obligation and Closing Condition, dated as of March 25, 2024, related to the Agreement and Plan of Merger, dated as of</w:t>
              </w:r>
            </w:hyperlink>
          </w:p>
        </w:tc>
        <w:tc>
          <w:tcPr>
            <w:tcW w:w="200" w:type="dxa"/>
            <w:vAlign w:val="bottom"/>
            <w:gridSpan w:val="4"/>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6"/>
          </w:tcPr>
          <w:p>
            <w:pPr>
              <w:spacing w:after="0" w:line="183"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February 28, 2024, by and among First Advantage Corporation, Sterling Check Corp. and Starter Merger Sub, Inc. (incorporated herein by reference to</w:t>
              </w:r>
            </w:hyperlink>
          </w:p>
        </w:tc>
        <w:tc>
          <w:tcPr>
            <w:tcW w:w="340" w:type="dxa"/>
            <w:vAlign w:val="bottom"/>
            <w:gridSpan w:val="7"/>
          </w:tcPr>
          <w:p>
            <w:pPr>
              <w:spacing w:after="0"/>
              <w:rPr>
                <w:sz w:val="15"/>
                <w:szCs w:val="15"/>
                <w:color w:val="auto"/>
              </w:rPr>
            </w:pPr>
          </w:p>
        </w:tc>
      </w:tr>
      <w:tr>
        <w:trPr>
          <w:trHeight w:val="182"/>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3"/>
          </w:tcPr>
          <w:p>
            <w:pPr>
              <w:spacing w:after="0" w:line="183"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Exhibit 2.2 of First Advantage’s Form 10-Q filed on May 9, 2024).</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Amended and Restated Certificate of Incorporation of First Advantage Corporation (incorporated herein by reference to Exhibit 3.1 of First Advantage’s</w:t>
              </w:r>
            </w:hyperlink>
          </w:p>
        </w:tc>
        <w:tc>
          <w:tcPr>
            <w:tcW w:w="260" w:type="dxa"/>
            <w:vAlign w:val="bottom"/>
            <w:gridSpan w:val="5"/>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tcBorders>
              <w:bottom w:val="single" w:sz="8" w:color="0000FF"/>
            </w:tcBorders>
            <w:gridSpan w:val="2"/>
          </w:tcPr>
          <w:p>
            <w:pPr>
              <w:spacing w:after="0" w:line="183"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Form 8-K filed on June 25, 2021).</w:t>
              </w:r>
            </w:hyperlink>
          </w:p>
        </w:tc>
        <w:tc>
          <w:tcPr>
            <w:tcW w:w="7980" w:type="dxa"/>
            <w:vAlign w:val="bottom"/>
            <w:gridSpan w:val="11"/>
          </w:tcPr>
          <w:p>
            <w:pPr>
              <w:spacing w:after="0"/>
              <w:rPr>
                <w:sz w:val="15"/>
                <w:szCs w:val="15"/>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80" w:type="dxa"/>
            <w:vAlign w:val="bottom"/>
            <w:tcBorders>
              <w:bottom w:val="single" w:sz="8" w:color="0000FF"/>
            </w:tcBorders>
            <w:gridSpan w:val="12"/>
          </w:tcPr>
          <w:p>
            <w:pPr>
              <w:spacing w:after="0"/>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Amended and Restated Bylaws of First Advantage Corporation (incorporated herein by reference to Exhibit 3.2 of First Advantage’s Form 8-K filed on June</w:t>
              </w:r>
            </w:hyperlink>
          </w:p>
        </w:tc>
        <w:tc>
          <w:tcPr>
            <w:tcW w:w="20" w:type="dxa"/>
            <w:vAlign w:val="bottom"/>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800" w:type="dxa"/>
            <w:vAlign w:val="bottom"/>
            <w:gridSpan w:val="3"/>
          </w:tcPr>
          <w:p>
            <w:pPr>
              <w:ind w:left="120"/>
              <w:spacing w:after="0" w:line="183" w:lineRule="exact"/>
              <w:rPr>
                <w:rFonts w:ascii="Times New Roman" w:cs="Times New Roman" w:eastAsia="Times New Roman" w:hAnsi="Times New Roman"/>
                <w:sz w:val="16"/>
                <w:szCs w:val="16"/>
                <w:color w:val="0000FF"/>
                <w:w w:val="97"/>
              </w:rPr>
            </w:pPr>
            <w:hyperlink r:id="rId207">
              <w:r>
                <w:rPr>
                  <w:rFonts w:ascii="Times New Roman" w:cs="Times New Roman" w:eastAsia="Times New Roman" w:hAnsi="Times New Roman"/>
                  <w:sz w:val="16"/>
                  <w:szCs w:val="16"/>
                  <w:color w:val="0000FF"/>
                  <w:w w:val="97"/>
                </w:rPr>
                <w:t>25, 2021).</w:t>
              </w:r>
            </w:hyperlink>
          </w:p>
        </w:tc>
        <w:tc>
          <w:tcPr>
            <w:tcW w:w="1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Rules 13a-14(a) and 15d-14(a) under the Securities Exchange Act of 1934, as Adopted Pursuant to</w:t>
            </w:r>
          </w:p>
        </w:tc>
        <w:tc>
          <w:tcPr>
            <w:tcW w:w="140" w:type="dxa"/>
            <w:vAlign w:val="bottom"/>
            <w:gridSpan w:val="2"/>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Rules 13a-14(a) and 15d-14(a) under the Securities Exchange Act of 1934, as Adopted Pursuant to</w:t>
            </w:r>
          </w:p>
        </w:tc>
        <w:tc>
          <w:tcPr>
            <w:tcW w:w="180" w:type="dxa"/>
            <w:vAlign w:val="bottom"/>
            <w:gridSpan w:val="3"/>
          </w:tcPr>
          <w:p>
            <w:pPr>
              <w:spacing w:after="0"/>
              <w:rPr>
                <w:sz w:val="17"/>
                <w:szCs w:val="17"/>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0" w:type="dxa"/>
            <w:vAlign w:val="bottom"/>
            <w:gridSpan w:val="13"/>
          </w:tcPr>
          <w:p>
            <w:pPr>
              <w:spacing w:after="0" w:line="183"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Sarbanes-Oxley Act of 2002.</w:t>
            </w:r>
          </w:p>
        </w:tc>
        <w:tc>
          <w:tcPr>
            <w:tcW w:w="300" w:type="dxa"/>
            <w:vAlign w:val="bottom"/>
            <w:gridSpan w:val="6"/>
          </w:tcPr>
          <w:p>
            <w:pPr>
              <w:spacing w:after="0"/>
              <w:rPr>
                <w:sz w:val="17"/>
                <w:szCs w:val="17"/>
                <w:color w:val="auto"/>
              </w:rPr>
            </w:pPr>
          </w:p>
        </w:tc>
      </w:tr>
      <w:tr>
        <w:trPr>
          <w:trHeight w:val="19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60" w:type="dxa"/>
            <w:vAlign w:val="bottom"/>
            <w:tcBorders>
              <w:right w:val="single" w:sz="8" w:color="0000EE"/>
            </w:tcBorders>
            <w:gridSpan w:val="6"/>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XBRL tags are embedded within the Inline</w:t>
            </w: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951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7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FIRST ADVANTAGE CORPORATION</w:t>
      </w:r>
    </w:p>
    <w:p>
      <w:pPr>
        <w:spacing w:after="0" w:line="252"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Staples, certify that:</w:t>
      </w:r>
    </w:p>
    <w:p>
      <w:pPr>
        <w:spacing w:after="0" w:line="333"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1038860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Gamsey, certify that:</w:t>
      </w:r>
    </w:p>
    <w:p>
      <w:pPr>
        <w:spacing w:after="0" w:line="333"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First Advantage Corporation;</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right="18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4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80" w:hanging="514"/>
        <w:spacing w:after="0" w:line="266"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Advantage Corporation (the “Company”) for the quarter ended June 30, 2024,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Staples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Scott Staples</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Advantage Corporation (the “Company”) for the quarter ended June 30, 2024, as filed with the Securities and Exchange Commission on the date hereof (the “Report”), I certify, pursuant to 18 U.S.C. § 1350, as adopted pursuant to § 906 of the Sarbanes-Oxley Act of 2002, that, to the best of my knowledge:</w:t>
      </w:r>
    </w:p>
    <w:p>
      <w:pPr>
        <w:spacing w:after="0" w:line="284"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L. Gamsey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L. Gamsey</w:t>
      </w:r>
    </w:p>
    <w:p>
      <w:pPr>
        <w:spacing w:after="0" w:line="3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Executive Vice President &amp; Chief Financial Officer</w:t>
      </w:r>
    </w:p>
    <w:p>
      <w:pPr>
        <w:spacing w:after="0" w:line="3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2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04" Type="http://schemas.openxmlformats.org/officeDocument/2006/relationships/hyperlink" Target="https://www.sec.gov/Archives/edgar/data/1210677/000095017024023541/fa-ex2_1.htm" TargetMode="External"/><Relationship Id="rId205" Type="http://schemas.openxmlformats.org/officeDocument/2006/relationships/hyperlink" Target="https://www.sec.gov/Archives/edgar/data/1210677/000095017024056995/fa-ex2_2.htm" TargetMode="External"/><Relationship Id="rId206" Type="http://schemas.openxmlformats.org/officeDocument/2006/relationships/hyperlink" Target="https://www.sec.gov/Archives/edgar/data/1210677/000119312521200542/d12470dex31.htm" TargetMode="External"/><Relationship Id="rId207" Type="http://schemas.openxmlformats.org/officeDocument/2006/relationships/hyperlink" Target="https://www.sec.gov/Archives/edgar/data/1210677/000119312521200542/d1247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2024-08-08T15:49:55Z</dcterms:created>
  <dcterms:modified xsi:type="dcterms:W3CDTF">2024-08-08T15:49:55Z</dcterms:modified>
</cp:coreProperties>
</file>