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52"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First Advantage Corporation</w:t>
      </w:r>
    </w:p>
    <w:p>
      <w:pPr>
        <w:sectPr>
          <w:pgSz w:w="11900" w:h="16838" w:orient="portrait"/>
          <w:cols w:equalWidth="0" w:num="1">
            <w:col w:w="11240"/>
          </w:cols>
          <w:pgMar w:left="320" w:top="638"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84-3884690</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700" w:space="240"/>
            <w:col w:w="3300"/>
          </w:cols>
          <w:pgMar w:left="320" w:top="638" w:right="339" w:bottom="1440" w:gutter="0" w:footer="0" w:header="0"/>
          <w:type w:val="continuous"/>
        </w:sectPr>
      </w:pPr>
    </w:p>
    <w:tbl>
      <w:tblPr>
        <w:tblLayout w:type="fixed"/>
        <w:tblInd w:w="1420" w:type="dxa"/>
        <w:tblCellMar>
          <w:top w:w="0" w:type="dxa"/>
          <w:left w:w="0" w:type="dxa"/>
          <w:bottom w:w="0" w:type="dxa"/>
          <w:right w:w="0" w:type="dxa"/>
        </w:tblCellMar>
      </w:tblPr>
      <w:tr>
        <w:trPr>
          <w:trHeight w:val="187"/>
        </w:trPr>
        <w:tc>
          <w:tcPr>
            <w:tcW w:w="4760" w:type="dxa"/>
            <w:vAlign w:val="bottom"/>
          </w:tcPr>
          <w:p>
            <w:pPr>
              <w:jc w:val="center"/>
              <w:ind w:right="1899"/>
              <w:spacing w:after="0" w:line="188" w:lineRule="exact"/>
              <w:rPr>
                <w:sz w:val="20"/>
                <w:szCs w:val="20"/>
                <w:color w:val="auto"/>
              </w:rPr>
            </w:pPr>
            <w:r>
              <w:rPr>
                <w:rFonts w:ascii="Arial" w:cs="Arial" w:eastAsia="Arial" w:hAnsi="Arial"/>
                <w:sz w:val="18"/>
                <w:szCs w:val="18"/>
                <w:b w:val="1"/>
                <w:bCs w:val="1"/>
                <w:color w:val="auto"/>
                <w:w w:val="90"/>
              </w:rPr>
              <w:t>1 Concourse Parkway NE, Suite 200</w:t>
            </w:r>
          </w:p>
        </w:tc>
        <w:tc>
          <w:tcPr>
            <w:tcW w:w="2540" w:type="dxa"/>
            <w:vAlign w:val="bottom"/>
          </w:tcPr>
          <w:p>
            <w:pPr>
              <w:spacing w:after="0"/>
              <w:rPr>
                <w:sz w:val="16"/>
                <w:szCs w:val="16"/>
                <w:color w:val="auto"/>
              </w:rPr>
            </w:pPr>
          </w:p>
        </w:tc>
      </w:tr>
      <w:tr>
        <w:trPr>
          <w:trHeight w:val="216"/>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5"/>
              </w:rPr>
              <w:t>Atlanta, GA</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30328</w:t>
            </w:r>
          </w:p>
        </w:tc>
      </w:tr>
      <w:tr>
        <w:trPr>
          <w:trHeight w:val="164"/>
        </w:trPr>
        <w:tc>
          <w:tcPr>
            <w:tcW w:w="476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40" w:type="dxa"/>
            <w:vAlign w:val="bottom"/>
          </w:tcPr>
          <w:p>
            <w:pPr>
              <w:jc w:val="center"/>
              <w:ind w:left="1884"/>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2"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2022, the registrant had 152,982,128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5"/>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tcBorders>
              <w:top w:val="single" w:sz="8" w:color="0563C1"/>
            </w:tcBorders>
            <w:gridSpan w:val="10"/>
          </w:tcPr>
          <w:p>
            <w:pPr>
              <w:spacing w:after="0" w:line="169" w:lineRule="exact"/>
              <w:rPr>
                <w:rFonts w:ascii="Arial" w:cs="Arial" w:eastAsia="Arial" w:hAnsi="Arial"/>
                <w:sz w:val="18"/>
                <w:szCs w:val="18"/>
                <w:color w:val="0563C1"/>
                <w:w w:val="88"/>
              </w:rPr>
            </w:pPr>
            <w:hyperlink w:anchor="page3">
              <w:r>
                <w:rPr>
                  <w:rFonts w:ascii="Arial" w:cs="Arial" w:eastAsia="Arial" w:hAnsi="Arial"/>
                  <w:sz w:val="18"/>
                  <w:szCs w:val="18"/>
                  <w:color w:val="0563C1"/>
                  <w:w w:val="88"/>
                </w:rPr>
                <w:t>Condensed Consolidated Balance</w:t>
              </w:r>
            </w:hyperlink>
          </w:p>
        </w:tc>
        <w:tc>
          <w:tcPr>
            <w:tcW w:w="6880" w:type="dxa"/>
            <w:vAlign w:val="bottom"/>
            <w:gridSpan w:val="9"/>
          </w:tcPr>
          <w:p>
            <w:pPr>
              <w:ind w:left="60"/>
              <w:spacing w:after="0" w:line="169" w:lineRule="exact"/>
              <w:rPr>
                <w:rFonts w:ascii="Arial" w:cs="Arial" w:eastAsia="Arial" w:hAnsi="Arial"/>
                <w:sz w:val="18"/>
                <w:szCs w:val="18"/>
                <w:color w:val="0563C1"/>
              </w:rPr>
            </w:pPr>
            <w:hyperlink w:anchor="page3">
              <w:r>
                <w:rPr>
                  <w:rFonts w:ascii="Arial" w:cs="Arial" w:eastAsia="Arial" w:hAnsi="Arial"/>
                  <w:sz w:val="18"/>
                  <w:szCs w:val="18"/>
                  <w:color w:val="0563C1"/>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top w:val="single" w:sz="8" w:color="0563C1"/>
            </w:tcBorders>
            <w:gridSpan w:val="11"/>
          </w:tcPr>
          <w:p>
            <w:pPr>
              <w:spacing w:after="0" w:line="169" w:lineRule="exact"/>
              <w:rPr>
                <w:rFonts w:ascii="Arial" w:cs="Arial" w:eastAsia="Arial" w:hAnsi="Arial"/>
                <w:sz w:val="18"/>
                <w:szCs w:val="18"/>
                <w:color w:val="0563C1"/>
                <w:w w:val="91"/>
              </w:rPr>
            </w:pPr>
            <w:hyperlink w:anchor="page4">
              <w:r>
                <w:rPr>
                  <w:rFonts w:ascii="Arial" w:cs="Arial" w:eastAsia="Arial" w:hAnsi="Arial"/>
                  <w:sz w:val="18"/>
                  <w:szCs w:val="18"/>
                  <w:color w:val="0563C1"/>
                  <w:w w:val="91"/>
                </w:rPr>
                <w:t>Condensed Consolidated Statements of</w:t>
              </w:r>
            </w:hyperlink>
          </w:p>
        </w:tc>
        <w:tc>
          <w:tcPr>
            <w:tcW w:w="6360" w:type="dxa"/>
            <w:vAlign w:val="bottom"/>
            <w:gridSpan w:val="8"/>
          </w:tcPr>
          <w:p>
            <w:pPr>
              <w:spacing w:after="0" w:line="169" w:lineRule="exact"/>
              <w:rPr>
                <w:rFonts w:ascii="Arial" w:cs="Arial" w:eastAsia="Arial" w:hAnsi="Arial"/>
                <w:sz w:val="18"/>
                <w:szCs w:val="18"/>
                <w:color w:val="0563C1"/>
              </w:rPr>
            </w:pPr>
            <w:hyperlink w:anchor="page4">
              <w:r>
                <w:rPr>
                  <w:rFonts w:ascii="Arial" w:cs="Arial" w:eastAsia="Arial" w:hAnsi="Arial"/>
                  <w:sz w:val="18"/>
                  <w:szCs w:val="18"/>
                  <w:color w:val="0563C1"/>
                </w:rPr>
                <w:t xml:space="preserve">Operations </w:t>
              </w:r>
            </w:hyperlink>
            <w:r>
              <w:rPr>
                <w:rFonts w:ascii="Arial" w:cs="Arial" w:eastAsia="Arial" w:hAnsi="Arial"/>
                <w:sz w:val="18"/>
                <w:szCs w:val="18"/>
                <w:color w:val="0563C1"/>
              </w:rPr>
              <w:t>and Comprehensive Income (Loss)</w:t>
            </w: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tcBorders>
              <w:top w:val="single" w:sz="8" w:color="0563C1"/>
              <w:bottom w:val="single" w:sz="8" w:color="0563C1"/>
            </w:tcBorders>
            <w:gridSpan w:val="12"/>
          </w:tcPr>
          <w:p>
            <w:pPr>
              <w:spacing w:after="0" w:line="169" w:lineRule="exact"/>
              <w:rPr>
                <w:rFonts w:ascii="Arial" w:cs="Arial" w:eastAsia="Arial" w:hAnsi="Arial"/>
                <w:sz w:val="18"/>
                <w:szCs w:val="18"/>
                <w:color w:val="0563C1"/>
                <w:w w:val="88"/>
              </w:rPr>
            </w:pPr>
            <w:hyperlink w:anchor="page5">
              <w:r>
                <w:rPr>
                  <w:rFonts w:ascii="Arial" w:cs="Arial" w:eastAsia="Arial" w:hAnsi="Arial"/>
                  <w:sz w:val="18"/>
                  <w:szCs w:val="18"/>
                  <w:color w:val="0563C1"/>
                  <w:w w:val="88"/>
                </w:rPr>
                <w:t>Condensed Consolidated Statements of Cash Flows</w:t>
              </w:r>
            </w:hyperlink>
          </w:p>
        </w:tc>
        <w:tc>
          <w:tcPr>
            <w:tcW w:w="640" w:type="dxa"/>
            <w:vAlign w:val="bottom"/>
            <w:tcBorders>
              <w:top w:val="single" w:sz="8" w:color="0563C1"/>
            </w:tcBorders>
          </w:tcPr>
          <w:p>
            <w:pPr>
              <w:spacing w:after="0"/>
              <w:rPr>
                <w:sz w:val="14"/>
                <w:szCs w:val="14"/>
                <w:color w:val="auto"/>
              </w:rPr>
            </w:pPr>
          </w:p>
        </w:tc>
        <w:tc>
          <w:tcPr>
            <w:tcW w:w="20" w:type="dxa"/>
            <w:vAlign w:val="bottom"/>
            <w:tcBorders>
              <w:top w:val="single" w:sz="8" w:color="0563C1"/>
            </w:tcBorders>
          </w:tcPr>
          <w:p>
            <w:pPr>
              <w:spacing w:after="0"/>
              <w:rPr>
                <w:sz w:val="14"/>
                <w:szCs w:val="14"/>
                <w:color w:val="auto"/>
              </w:rPr>
            </w:pPr>
          </w:p>
        </w:tc>
        <w:tc>
          <w:tcPr>
            <w:tcW w:w="420" w:type="dxa"/>
            <w:vAlign w:val="bottom"/>
            <w:tcBorders>
              <w:top w:val="single" w:sz="8" w:color="0563C1"/>
            </w:tcBorders>
          </w:tcPr>
          <w:p>
            <w:pPr>
              <w:spacing w:after="0"/>
              <w:rPr>
                <w:sz w:val="14"/>
                <w:szCs w:val="14"/>
                <w:color w:val="auto"/>
              </w:rPr>
            </w:pPr>
          </w:p>
        </w:tc>
        <w:tc>
          <w:tcPr>
            <w:tcW w:w="460" w:type="dxa"/>
            <w:vAlign w:val="bottom"/>
            <w:tcBorders>
              <w:top w:val="single" w:sz="8" w:color="0563C1"/>
            </w:tcBorders>
          </w:tcPr>
          <w:p>
            <w:pPr>
              <w:spacing w:after="0"/>
              <w:rPr>
                <w:sz w:val="14"/>
                <w:szCs w:val="14"/>
                <w:color w:val="auto"/>
              </w:rPr>
            </w:pPr>
          </w:p>
        </w:tc>
        <w:tc>
          <w:tcPr>
            <w:tcW w:w="980" w:type="dxa"/>
            <w:vAlign w:val="bottom"/>
            <w:tcBorders>
              <w:top w:val="single" w:sz="8" w:color="0563C1"/>
            </w:tcBorders>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gridSpan w:val="12"/>
          </w:tcPr>
          <w:p>
            <w:pPr>
              <w:spacing w:after="0" w:line="169" w:lineRule="exact"/>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Consolidated Statements of Changes in</w:t>
              </w:r>
            </w:hyperlink>
          </w:p>
        </w:tc>
        <w:tc>
          <w:tcPr>
            <w:tcW w:w="5580" w:type="dxa"/>
            <w:vAlign w:val="bottom"/>
            <w:gridSpan w:val="7"/>
          </w:tcPr>
          <w:p>
            <w:pPr>
              <w:spacing w:after="0" w:line="169" w:lineRule="exact"/>
              <w:rPr>
                <w:rFonts w:ascii="Arial" w:cs="Arial" w:eastAsia="Arial" w:hAnsi="Arial"/>
                <w:sz w:val="18"/>
                <w:szCs w:val="18"/>
                <w:color w:val="0563C1"/>
              </w:rPr>
            </w:pPr>
            <w:hyperlink w:anchor="page6">
              <w:r>
                <w:rPr>
                  <w:rFonts w:ascii="Arial" w:cs="Arial" w:eastAsia="Arial" w:hAnsi="Arial"/>
                  <w:sz w:val="18"/>
                  <w:szCs w:val="18"/>
                  <w:color w:val="0563C1"/>
                </w:rPr>
                <w:t>Stockholders’ Equity</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Borders>
              <w:top w:val="single" w:sz="8" w:color="0563C1"/>
              <w:bottom w:val="single" w:sz="8" w:color="0563C1"/>
            </w:tcBorders>
            <w:gridSpan w:val="15"/>
          </w:tcPr>
          <w:p>
            <w:pPr>
              <w:spacing w:after="0" w:line="169" w:lineRule="exact"/>
              <w:rPr>
                <w:rFonts w:ascii="Arial" w:cs="Arial" w:eastAsia="Arial" w:hAnsi="Arial"/>
                <w:sz w:val="18"/>
                <w:szCs w:val="18"/>
                <w:color w:val="0563C1"/>
                <w:w w:val="89"/>
              </w:rPr>
            </w:pPr>
            <w:hyperlink w:anchor="page7">
              <w:r>
                <w:rPr>
                  <w:rFonts w:ascii="Arial" w:cs="Arial" w:eastAsia="Arial" w:hAnsi="Arial"/>
                  <w:sz w:val="18"/>
                  <w:szCs w:val="18"/>
                  <w:color w:val="0563C1"/>
                  <w:w w:val="89"/>
                </w:rPr>
                <w:t>Notes to Unaudited Condensed Consolidated Financial Statements</w:t>
              </w:r>
            </w:hyperlink>
          </w:p>
        </w:tc>
        <w:tc>
          <w:tcPr>
            <w:tcW w:w="460" w:type="dxa"/>
            <w:vAlign w:val="bottom"/>
            <w:tcBorders>
              <w:top w:val="single" w:sz="8" w:color="0563C1"/>
            </w:tcBorders>
          </w:tcPr>
          <w:p>
            <w:pPr>
              <w:spacing w:after="0"/>
              <w:rPr>
                <w:sz w:val="14"/>
                <w:szCs w:val="14"/>
                <w:color w:val="auto"/>
              </w:rPr>
            </w:pPr>
          </w:p>
        </w:tc>
        <w:tc>
          <w:tcPr>
            <w:tcW w:w="1200" w:type="dxa"/>
            <w:vAlign w:val="bottom"/>
            <w:gridSpan w:val="2"/>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line="169" w:lineRule="exact"/>
              <w:rPr>
                <w:rFonts w:ascii="Arial" w:cs="Arial" w:eastAsia="Arial" w:hAnsi="Arial"/>
                <w:sz w:val="18"/>
                <w:szCs w:val="18"/>
                <w:color w:val="0563C1"/>
              </w:rPr>
            </w:pPr>
            <w:hyperlink w:anchor="page24">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38">
              <w:r>
                <w:rPr>
                  <w:rFonts w:ascii="Arial" w:cs="Arial" w:eastAsia="Arial" w:hAnsi="Arial"/>
                  <w:sz w:val="18"/>
                  <w:szCs w:val="18"/>
                  <w:color w:val="0563C1"/>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line="169" w:lineRule="exact"/>
              <w:rPr>
                <w:rFonts w:ascii="Arial" w:cs="Arial" w:eastAsia="Arial" w:hAnsi="Arial"/>
                <w:sz w:val="18"/>
                <w:szCs w:val="18"/>
                <w:color w:val="0563C1"/>
                <w:w w:val="88"/>
              </w:rPr>
            </w:pPr>
            <w:hyperlink w:anchor="page38">
              <w:r>
                <w:rPr>
                  <w:rFonts w:ascii="Arial" w:cs="Arial" w:eastAsia="Arial" w:hAnsi="Arial"/>
                  <w:sz w:val="18"/>
                  <w:szCs w:val="18"/>
                  <w:color w:val="0563C1"/>
                  <w:w w:val="88"/>
                </w:rPr>
                <w:t>Controls and Procedures</w:t>
              </w:r>
            </w:hyperlink>
          </w:p>
        </w:tc>
        <w:tc>
          <w:tcPr>
            <w:tcW w:w="20" w:type="dxa"/>
            <w:vAlign w:val="bottom"/>
            <w:tcBorders>
              <w:top w:val="single" w:sz="8" w:color="0563C1"/>
              <w:bottom w:val="single" w:sz="8" w:color="0000EE"/>
            </w:tcBorders>
          </w:tcPr>
          <w:p>
            <w:pPr>
              <w:spacing w:after="0"/>
              <w:rPr>
                <w:sz w:val="14"/>
                <w:szCs w:val="14"/>
                <w:color w:val="auto"/>
              </w:rPr>
            </w:pPr>
          </w:p>
        </w:tc>
        <w:tc>
          <w:tcPr>
            <w:tcW w:w="2580" w:type="dxa"/>
            <w:vAlign w:val="bottom"/>
            <w:tcBorders>
              <w:top w:val="single" w:sz="8" w:color="0563C1"/>
            </w:tcBorders>
            <w:gridSpan w:val="8"/>
          </w:tcPr>
          <w:p>
            <w:pPr>
              <w:spacing w:after="0"/>
              <w:rPr>
                <w:sz w:val="14"/>
                <w:szCs w:val="14"/>
                <w:color w:val="auto"/>
              </w:rPr>
            </w:pPr>
          </w:p>
        </w:tc>
        <w:tc>
          <w:tcPr>
            <w:tcW w:w="492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7"/>
          </w:tcPr>
          <w:p>
            <w:pPr>
              <w:spacing w:after="0"/>
              <w:rPr>
                <w:rFonts w:ascii="Arial" w:cs="Arial" w:eastAsia="Arial" w:hAnsi="Arial"/>
                <w:sz w:val="18"/>
                <w:szCs w:val="18"/>
                <w:color w:val="0563C1"/>
                <w:w w:val="96"/>
              </w:rPr>
            </w:pPr>
            <w:hyperlink w:anchor="page39">
              <w:r>
                <w:rPr>
                  <w:rFonts w:ascii="Arial" w:cs="Arial" w:eastAsia="Arial" w:hAnsi="Arial"/>
                  <w:sz w:val="18"/>
                  <w:szCs w:val="18"/>
                  <w:color w:val="0563C1"/>
                  <w:w w:val="96"/>
                </w:rPr>
                <w:t>OTHER INFORMATION</w:t>
              </w:r>
            </w:hyperlink>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563C1"/>
              </w:rPr>
            </w:pPr>
            <w:hyperlink w:anchor="page39">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39">
              <w:r>
                <w:rPr>
                  <w:rFonts w:ascii="Arial" w:cs="Arial" w:eastAsia="Arial" w:hAnsi="Arial"/>
                  <w:sz w:val="18"/>
                  <w:szCs w:val="18"/>
                  <w:color w:val="0563C1"/>
                </w:rPr>
                <w:t>Risk Factors</w:t>
              </w:r>
            </w:hyperlink>
          </w:p>
        </w:tc>
        <w:tc>
          <w:tcPr>
            <w:tcW w:w="1000" w:type="dxa"/>
            <w:vAlign w:val="bottom"/>
            <w:gridSpan w:val="5"/>
          </w:tcPr>
          <w:p>
            <w:pPr>
              <w:spacing w:after="0"/>
              <w:rPr>
                <w:sz w:val="14"/>
                <w:szCs w:val="14"/>
                <w:color w:val="auto"/>
              </w:rPr>
            </w:pPr>
          </w:p>
        </w:tc>
        <w:tc>
          <w:tcPr>
            <w:tcW w:w="2020" w:type="dxa"/>
            <w:vAlign w:val="bottom"/>
            <w:gridSpan w:val="4"/>
          </w:tcPr>
          <w:p>
            <w:pPr>
              <w:spacing w:after="0"/>
              <w:rPr>
                <w:sz w:val="14"/>
                <w:szCs w:val="14"/>
                <w:color w:val="auto"/>
              </w:rPr>
            </w:pPr>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2"/>
          </w:tcPr>
          <w:p>
            <w:pPr>
              <w:spacing w:after="0" w:line="169" w:lineRule="exact"/>
              <w:rPr>
                <w:rFonts w:ascii="Arial" w:cs="Arial" w:eastAsia="Arial" w:hAnsi="Arial"/>
                <w:sz w:val="18"/>
                <w:szCs w:val="18"/>
                <w:color w:val="0563C1"/>
                <w:w w:val="87"/>
              </w:rPr>
            </w:pPr>
            <w:hyperlink w:anchor="page39">
              <w:r>
                <w:rPr>
                  <w:rFonts w:ascii="Arial" w:cs="Arial" w:eastAsia="Arial" w:hAnsi="Arial"/>
                  <w:sz w:val="18"/>
                  <w:szCs w:val="18"/>
                  <w:color w:val="0563C1"/>
                  <w:w w:val="87"/>
                </w:rPr>
                <w:t>Unregistered</w:t>
              </w:r>
            </w:hyperlink>
          </w:p>
        </w:tc>
        <w:tc>
          <w:tcPr>
            <w:tcW w:w="8380" w:type="dxa"/>
            <w:vAlign w:val="bottom"/>
            <w:gridSpan w:val="17"/>
          </w:tcPr>
          <w:p>
            <w:pPr>
              <w:ind w:left="60"/>
              <w:spacing w:after="0" w:line="169" w:lineRule="exact"/>
              <w:rPr>
                <w:rFonts w:ascii="Arial" w:cs="Arial" w:eastAsia="Arial" w:hAnsi="Arial"/>
                <w:sz w:val="18"/>
                <w:szCs w:val="18"/>
                <w:color w:val="0563C1"/>
              </w:rPr>
            </w:pPr>
            <w:hyperlink w:anchor="page39">
              <w:r>
                <w:rPr>
                  <w:rFonts w:ascii="Arial" w:cs="Arial" w:eastAsia="Arial" w:hAnsi="Arial"/>
                  <w:sz w:val="18"/>
                  <w:szCs w:val="18"/>
                  <w:color w:val="0563C1"/>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3"/>
          </w:tcPr>
          <w:p>
            <w:pPr>
              <w:spacing w:after="0" w:line="169" w:lineRule="exact"/>
              <w:rPr>
                <w:rFonts w:ascii="Arial" w:cs="Arial" w:eastAsia="Arial" w:hAnsi="Arial"/>
                <w:sz w:val="18"/>
                <w:szCs w:val="18"/>
                <w:color w:val="0563C1"/>
              </w:rPr>
            </w:pPr>
            <w:hyperlink w:anchor="page39">
              <w:r>
                <w:rPr>
                  <w:rFonts w:ascii="Arial" w:cs="Arial" w:eastAsia="Arial" w:hAnsi="Arial"/>
                  <w:sz w:val="18"/>
                  <w:szCs w:val="18"/>
                  <w:color w:val="0563C1"/>
                </w:rPr>
                <w:t>Defaults Upon Senior Securities</w:t>
              </w:r>
            </w:hyperlink>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9"/>
          </w:tcPr>
          <w:p>
            <w:pPr>
              <w:spacing w:after="0" w:line="169" w:lineRule="exact"/>
              <w:rPr>
                <w:rFonts w:ascii="Arial" w:cs="Arial" w:eastAsia="Arial" w:hAnsi="Arial"/>
                <w:sz w:val="18"/>
                <w:szCs w:val="18"/>
                <w:color w:val="0563C1"/>
              </w:rPr>
            </w:pPr>
            <w:hyperlink w:anchor="page39">
              <w:r>
                <w:rPr>
                  <w:rFonts w:ascii="Arial" w:cs="Arial" w:eastAsia="Arial" w:hAnsi="Arial"/>
                  <w:sz w:val="18"/>
                  <w:szCs w:val="18"/>
                  <w:color w:val="0563C1"/>
                </w:rPr>
                <w:t>Mine Safety Disclosures</w:t>
              </w:r>
            </w:hyperlink>
          </w:p>
        </w:tc>
        <w:tc>
          <w:tcPr>
            <w:tcW w:w="696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39">
              <w:r>
                <w:rPr>
                  <w:rFonts w:ascii="Arial" w:cs="Arial" w:eastAsia="Arial" w:hAnsi="Arial"/>
                  <w:sz w:val="18"/>
                  <w:szCs w:val="18"/>
                  <w:color w:val="0563C1"/>
                </w:rPr>
                <w:t>Other Information</w:t>
              </w:r>
            </w:hyperlink>
          </w:p>
        </w:tc>
        <w:tc>
          <w:tcPr>
            <w:tcW w:w="7520" w:type="dxa"/>
            <w:vAlign w:val="bottom"/>
            <w:gridSpan w:val="1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line="169" w:lineRule="exact"/>
              <w:rPr>
                <w:rFonts w:ascii="Arial" w:cs="Arial" w:eastAsia="Arial" w:hAnsi="Arial"/>
                <w:sz w:val="18"/>
                <w:szCs w:val="18"/>
                <w:color w:val="0563C1"/>
              </w:rPr>
            </w:pPr>
            <w:hyperlink w:anchor="page40">
              <w:r>
                <w:rPr>
                  <w:rFonts w:ascii="Arial" w:cs="Arial" w:eastAsia="Arial" w:hAnsi="Arial"/>
                  <w:sz w:val="18"/>
                  <w:szCs w:val="18"/>
                  <w:color w:val="0563C1"/>
                </w:rPr>
                <w:t>Exhibits</w:t>
              </w:r>
            </w:hyperlink>
          </w:p>
        </w:tc>
        <w:tc>
          <w:tcPr>
            <w:tcW w:w="7980" w:type="dxa"/>
            <w:vAlign w:val="bottom"/>
            <w:gridSpan w:val="1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rFonts w:ascii="Arial" w:cs="Arial" w:eastAsia="Arial" w:hAnsi="Arial"/>
                <w:sz w:val="18"/>
                <w:szCs w:val="18"/>
                <w:color w:val="0563C1"/>
              </w:rPr>
            </w:pPr>
            <w:hyperlink w:anchor="page41">
              <w:r>
                <w:rPr>
                  <w:rFonts w:ascii="Arial" w:cs="Arial" w:eastAsia="Arial" w:hAnsi="Arial"/>
                  <w:sz w:val="18"/>
                  <w:szCs w:val="18"/>
                  <w:color w:val="0563C1"/>
                </w:rPr>
                <w:t>Signatures</w:t>
              </w:r>
            </w:hyperlink>
          </w:p>
        </w:tc>
        <w:tc>
          <w:tcPr>
            <w:tcW w:w="600" w:type="dxa"/>
            <w:vAlign w:val="bottom"/>
            <w:tcBorders>
              <w:top w:val="single" w:sz="8" w:color="0563C1"/>
            </w:tcBorders>
            <w:vMerge w:val="restart"/>
          </w:tcPr>
          <w:p>
            <w:pPr>
              <w:spacing w:after="0"/>
              <w:rPr>
                <w:sz w:val="14"/>
                <w:szCs w:val="14"/>
                <w:color w:val="auto"/>
              </w:rPr>
            </w:pPr>
          </w:p>
        </w:tc>
        <w:tc>
          <w:tcPr>
            <w:tcW w:w="4200" w:type="dxa"/>
            <w:vAlign w:val="bottom"/>
            <w:gridSpan w:val="14"/>
            <w:vMerge w:val="restart"/>
          </w:tcPr>
          <w:p>
            <w:pPr>
              <w:jc w:val="right"/>
              <w:ind w:right="3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563C1"/>
            </w:tcBorders>
            <w:vMerge w:val="continue"/>
          </w:tcPr>
          <w:p>
            <w:pPr>
              <w:spacing w:after="0"/>
              <w:rPr>
                <w:sz w:val="24"/>
                <w:szCs w:val="24"/>
                <w:color w:val="auto"/>
              </w:rPr>
            </w:pPr>
          </w:p>
        </w:tc>
        <w:tc>
          <w:tcPr>
            <w:tcW w:w="4200" w:type="dxa"/>
            <w:vAlign w:val="bottom"/>
            <w:gridSpan w:val="14"/>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ind w:left="5180"/>
        <w:spacing w:after="0"/>
        <w:rPr>
          <w:sz w:val="20"/>
          <w:szCs w:val="20"/>
          <w:color w:val="auto"/>
        </w:rPr>
      </w:pPr>
      <w:r>
        <w:rPr>
          <w:rFonts w:ascii="Arial" w:cs="Arial" w:eastAsia="Arial" w:hAnsi="Arial"/>
          <w:sz w:val="18"/>
          <w:szCs w:val="18"/>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307,671</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292,642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927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w w:val="93"/>
              </w:rPr>
              <w:t>Accounts receivable (net of allowance for doubtful accounts of $1,087 and $1,258 at March 31, 2022</w:t>
            </w:r>
          </w:p>
        </w:tc>
        <w:tc>
          <w:tcPr>
            <w:tcW w:w="220" w:type="dxa"/>
            <w:vAlign w:val="bottom"/>
          </w:tcPr>
          <w:p>
            <w:pPr>
              <w:spacing w:after="0"/>
              <w:rPr>
                <w:sz w:val="14"/>
                <w:szCs w:val="14"/>
                <w:color w:val="auto"/>
              </w:rPr>
            </w:pPr>
          </w:p>
        </w:tc>
        <w:tc>
          <w:tcPr>
            <w:tcW w:w="1500" w:type="dxa"/>
            <w:vAlign w:val="bottom"/>
            <w:vMerge w:val="restart"/>
          </w:tcPr>
          <w:p>
            <w:pPr>
              <w:jc w:val="right"/>
              <w:ind w:right="11"/>
              <w:spacing w:after="0"/>
              <w:rPr>
                <w:sz w:val="20"/>
                <w:szCs w:val="20"/>
                <w:color w:val="auto"/>
              </w:rPr>
            </w:pPr>
            <w:r>
              <w:rPr>
                <w:rFonts w:ascii="Arial" w:cs="Arial" w:eastAsia="Arial" w:hAnsi="Arial"/>
                <w:sz w:val="18"/>
                <w:szCs w:val="18"/>
                <w:color w:val="auto"/>
              </w:rPr>
              <w:t>148,163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ind w:right="11"/>
              <w:spacing w:after="0"/>
              <w:rPr>
                <w:sz w:val="20"/>
                <w:szCs w:val="20"/>
                <w:color w:val="auto"/>
              </w:rPr>
            </w:pPr>
            <w:r>
              <w:rPr>
                <w:rFonts w:ascii="Arial" w:cs="Arial" w:eastAsia="Arial" w:hAnsi="Arial"/>
                <w:sz w:val="18"/>
                <w:szCs w:val="18"/>
                <w:color w:val="auto"/>
              </w:rPr>
              <w:t>155,772</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and December 31, 2021, respectively)</w:t>
            </w: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19,089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1,572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477,670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466,160</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146,392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154,309</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802,675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793,892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Trade name, net</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77,641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79,585</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Customer lists, net</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375,428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384,766</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tax asset, net</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21,921</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1,903,331</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1,886,581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51,450</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53,977</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20,709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30,054</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17,985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operating lease liability</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6,253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3,300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725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100,422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109,306</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Long-term debt (net of deferred financing costs of $9,434 and $9,879 at March 31, 2022 and</w:t>
            </w:r>
          </w:p>
        </w:tc>
        <w:tc>
          <w:tcPr>
            <w:tcW w:w="220" w:type="dxa"/>
            <w:vAlign w:val="bottom"/>
          </w:tcPr>
          <w:p>
            <w:pPr>
              <w:spacing w:after="0"/>
              <w:rPr>
                <w:sz w:val="14"/>
                <w:szCs w:val="14"/>
                <w:color w:val="auto"/>
              </w:rPr>
            </w:pPr>
          </w:p>
        </w:tc>
        <w:tc>
          <w:tcPr>
            <w:tcW w:w="1500" w:type="dxa"/>
            <w:vAlign w:val="bottom"/>
            <w:vMerge w:val="restart"/>
          </w:tcPr>
          <w:p>
            <w:pPr>
              <w:jc w:val="right"/>
              <w:ind w:right="11"/>
              <w:spacing w:after="0"/>
              <w:rPr>
                <w:sz w:val="20"/>
                <w:szCs w:val="20"/>
                <w:color w:val="auto"/>
              </w:rPr>
            </w:pPr>
            <w:r>
              <w:rPr>
                <w:rFonts w:ascii="Arial" w:cs="Arial" w:eastAsia="Arial" w:hAnsi="Arial"/>
                <w:sz w:val="18"/>
                <w:szCs w:val="18"/>
                <w:color w:val="auto"/>
              </w:rPr>
              <w:t>555,290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ind w:right="11"/>
              <w:spacing w:after="0"/>
              <w:rPr>
                <w:sz w:val="20"/>
                <w:szCs w:val="20"/>
                <w:color w:val="auto"/>
              </w:rPr>
            </w:pPr>
            <w:r>
              <w:rPr>
                <w:rFonts w:ascii="Arial" w:cs="Arial" w:eastAsia="Arial" w:hAnsi="Arial"/>
                <w:sz w:val="18"/>
                <w:szCs w:val="18"/>
                <w:color w:val="auto"/>
              </w:rPr>
              <w:t>554,845</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December 31, 2021, respectively)</w:t>
            </w: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tax liability, net</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86,490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84,653</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liability, less current portion</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11,583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3,406</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1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757,191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754,343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 $0.001 par value; 1,000,000,000 shares authorized, 152,982,128 and</w:t>
            </w: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152,901,040 shares issued and outstanding as of March 31, 2022 and December 31, 2021,</w:t>
            </w:r>
          </w:p>
        </w:tc>
        <w:tc>
          <w:tcPr>
            <w:tcW w:w="220" w:type="dxa"/>
            <w:vAlign w:val="bottom"/>
            <w:shd w:val="clear" w:color="auto" w:fill="CFF0FC"/>
          </w:tcPr>
          <w:p>
            <w:pPr>
              <w:spacing w:after="0"/>
              <w:rPr>
                <w:sz w:val="15"/>
                <w:szCs w:val="15"/>
                <w:color w:val="auto"/>
              </w:rPr>
            </w:pPr>
          </w:p>
        </w:tc>
        <w:tc>
          <w:tcPr>
            <w:tcW w:w="150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7"/>
                <w:szCs w:val="17"/>
                <w:color w:val="auto"/>
              </w:rPr>
            </w:pP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1,167,569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1,165,163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(18,428 )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(31,441 )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(3,154 )</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(1,637 )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1,146,140</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EQUITY</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1,903,331</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1,886,581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-3382645</wp:posOffset>
            </wp:positionV>
            <wp:extent cx="1117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-1428115</wp:posOffset>
            </wp:positionV>
            <wp:extent cx="1117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1117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jc w:val="center"/>
              <w:ind w:right="372"/>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ind w:right="372"/>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189,881</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132,070</w:t>
            </w:r>
          </w:p>
        </w:tc>
      </w:tr>
      <w:tr>
        <w:trPr>
          <w:trHeight w:val="203"/>
        </w:trPr>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Cost of services (exclusive of depreciation and amortization below)</w:t>
            </w:r>
          </w:p>
        </w:tc>
        <w:tc>
          <w:tcPr>
            <w:tcW w:w="340" w:type="dxa"/>
            <w:vAlign w:val="bottom"/>
          </w:tcPr>
          <w:p>
            <w:pPr>
              <w:spacing w:after="0"/>
              <w:rPr>
                <w:sz w:val="17"/>
                <w:szCs w:val="17"/>
                <w:color w:val="auto"/>
              </w:rPr>
            </w:pPr>
          </w:p>
        </w:tc>
        <w:tc>
          <w:tcPr>
            <w:tcW w:w="1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96,431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65,945</w:t>
            </w: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and technology expense</w:t>
            </w: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13,773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10,553</w:t>
            </w: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17"/>
                <w:szCs w:val="17"/>
                <w:color w:val="auto"/>
              </w:rPr>
            </w:pPr>
          </w:p>
        </w:tc>
        <w:tc>
          <w:tcPr>
            <w:tcW w:w="1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28,545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23,978</w:t>
            </w:r>
          </w:p>
        </w:tc>
      </w:tr>
      <w:tr>
        <w:trPr>
          <w:trHeight w:val="203"/>
        </w:trPr>
        <w:tc>
          <w:tcPr>
            <w:tcW w:w="67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34,034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34,763</w:t>
            </w:r>
          </w:p>
        </w:tc>
      </w:tr>
      <w:tr>
        <w:trPr>
          <w:trHeight w:val="196"/>
        </w:trPr>
        <w:tc>
          <w:tcPr>
            <w:tcW w:w="67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172,783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135,239</w:t>
            </w:r>
          </w:p>
        </w:tc>
      </w:tr>
      <w:tr>
        <w:trPr>
          <w:trHeight w:val="196"/>
        </w:trPr>
        <w:tc>
          <w:tcPr>
            <w:tcW w:w="6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34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17,098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(3,169 )</w:t>
            </w:r>
          </w:p>
        </w:tc>
      </w:tr>
      <w:tr>
        <w:trPr>
          <w:trHeight w:val="196"/>
        </w:trPr>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w:t>
            </w: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(850 )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6,717</w:t>
            </w:r>
          </w:p>
        </w:tc>
      </w:tr>
      <w:tr>
        <w:trPr>
          <w:trHeight w:val="203"/>
        </w:trPr>
        <w:tc>
          <w:tcPr>
            <w:tcW w:w="67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13,938</w:t>
            </w:r>
          </w:p>
        </w:tc>
      </w:tr>
      <w:tr>
        <w:trPr>
          <w:trHeight w:val="196"/>
        </w:trPr>
        <w:tc>
          <w:tcPr>
            <w:tcW w:w="678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20,655</w:t>
            </w: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PROVISION FOR INCOME TAXES</w:t>
            </w: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17,948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(23,824 )</w:t>
            </w: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4,935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(4,435 )</w:t>
            </w:r>
          </w:p>
        </w:tc>
      </w:tr>
      <w:tr>
        <w:trPr>
          <w:trHeight w:val="236"/>
        </w:trPr>
        <w:tc>
          <w:tcPr>
            <w:tcW w:w="6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13,013</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(19,389 )</w:t>
            </w:r>
          </w:p>
        </w:tc>
      </w:tr>
      <w:tr>
        <w:trPr>
          <w:trHeight w:val="183"/>
        </w:trPr>
        <w:tc>
          <w:tcPr>
            <w:tcW w:w="6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03"/>
        </w:trPr>
        <w:tc>
          <w:tcPr>
            <w:tcW w:w="6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(loss) income</w:t>
            </w:r>
          </w:p>
        </w:tc>
        <w:tc>
          <w:tcPr>
            <w:tcW w:w="34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(1,517 )</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2,760</w:t>
            </w: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11,496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(16,629 )</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(LOSS)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13,013</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(19,389 )</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income (loss) per share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0.09</w:t>
            </w:r>
          </w:p>
        </w:tc>
        <w:tc>
          <w:tcPr>
            <w:tcW w:w="4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(0.15 )</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Diluted net income (loss) per share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0.09</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(0.15 )</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150,538,700</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130,000,000</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340" w:type="dxa"/>
            <w:vAlign w:val="bottom"/>
          </w:tcPr>
          <w:p>
            <w:pPr>
              <w:spacing w:after="0"/>
              <w:rPr>
                <w:sz w:val="20"/>
                <w:szCs w:val="20"/>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152,348,806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-2568575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-2294255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-1771650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-1234440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-1217295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-948690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271"/>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ind w:right="351"/>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7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251"/>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7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4"/>
              </w:rPr>
              <w:t>March 31, 2022</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13,013</w:t>
            </w:r>
          </w:p>
        </w:tc>
        <w:tc>
          <w:tcPr>
            <w:tcW w:w="5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(19,389 )</w:t>
            </w: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34,034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34,763</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13,938</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704</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Bad debt (recovery)</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(184 )</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(173 )</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1,698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(6,304 )</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1,859</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562</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(Gain) on foreign currency exchange rates</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(411 )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disposal of fixed assets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163</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interest rate swaps</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(5,260 )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(1,032 )</w:t>
            </w: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8,862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6,963</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1,151</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(6,161 )</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(1,329 )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(8,087 )</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and accrued liabilities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(13,215 )</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5,579</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(254 )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(405 )</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(26 )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363</w:t>
            </w:r>
          </w:p>
        </w:tc>
      </w:tr>
      <w:tr>
        <w:trPr>
          <w:trHeight w:val="203"/>
        </w:trPr>
        <w:tc>
          <w:tcPr>
            <w:tcW w:w="71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receivable and payable, net</w:t>
            </w:r>
          </w:p>
        </w:tc>
        <w:tc>
          <w:tcPr>
            <w:tcW w:w="2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1,442</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2,051</w:t>
            </w:r>
          </w:p>
        </w:tc>
      </w:tr>
      <w:tr>
        <w:trPr>
          <w:trHeight w:val="196"/>
        </w:trPr>
        <w:tc>
          <w:tcPr>
            <w:tcW w:w="7100" w:type="dxa"/>
            <w:vAlign w:val="bottom"/>
          </w:tcPr>
          <w:p>
            <w:pPr>
              <w:ind w:left="3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41,583</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23,713</w:t>
            </w: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Changes in short-term investments</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440</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(18,920 )</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(7,588 )</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(2,909 )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(1,443 )</w:t>
            </w:r>
          </w:p>
        </w:tc>
      </w:tr>
      <w:tr>
        <w:trPr>
          <w:trHeight w:val="203"/>
        </w:trPr>
        <w:tc>
          <w:tcPr>
            <w:tcW w:w="71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Capitalized software development costs</w:t>
            </w:r>
          </w:p>
        </w:tc>
        <w:tc>
          <w:tcPr>
            <w:tcW w:w="2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(4,643 )</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(3,536 )</w:t>
            </w:r>
          </w:p>
        </w:tc>
      </w:tr>
      <w:tr>
        <w:trPr>
          <w:trHeight w:val="196"/>
        </w:trPr>
        <w:tc>
          <w:tcPr>
            <w:tcW w:w="7100" w:type="dxa"/>
            <w:vAlign w:val="bottom"/>
          </w:tcPr>
          <w:p>
            <w:pPr>
              <w:ind w:left="380"/>
              <w:spacing w:after="0" w:line="196"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(26,472 )</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(12,127 )</w:t>
            </w: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Borrowings from Successor First Lien Credit Facility</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261,413</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Repayments of Successor First Lien Credit Facility</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(163,875 )</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Repayment of Successor Second Lien Credit Facility</w:t>
            </w:r>
          </w:p>
        </w:tc>
        <w:tc>
          <w:tcPr>
            <w:tcW w:w="240" w:type="dxa"/>
            <w:vAlign w:val="bottom"/>
          </w:tcPr>
          <w:p>
            <w:pPr>
              <w:spacing w:after="0"/>
              <w:rPr>
                <w:sz w:val="17"/>
                <w:szCs w:val="17"/>
                <w:color w:val="auto"/>
              </w:rPr>
            </w:pP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(146,584 )</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of debt issuance costs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(1,257 )</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Payments on capital and finance lease obligations</w:t>
            </w: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(238 )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(459 )</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on deferred purchase agreements</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(349 )</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547</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1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(40 )</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(50,762 )</w:t>
            </w: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Effect of exchange rate on cash, cash equivalents, and restricted cash</w:t>
            </w:r>
          </w:p>
        </w:tc>
        <w:tc>
          <w:tcPr>
            <w:tcW w:w="240" w:type="dxa"/>
            <w:vAlign w:val="bottom"/>
          </w:tcPr>
          <w:p>
            <w:pPr>
              <w:spacing w:after="0"/>
              <w:rPr>
                <w:sz w:val="17"/>
                <w:szCs w:val="17"/>
                <w:color w:val="auto"/>
              </w:rPr>
            </w:pPr>
          </w:p>
        </w:tc>
        <w:tc>
          <w:tcPr>
            <w:tcW w:w="15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(310 )</w:t>
            </w: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(decrease) in cash, cash equivalents, and restricted cash</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15,129</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(39,486 )</w:t>
            </w: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292,790</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152,970</w:t>
            </w:r>
          </w:p>
        </w:tc>
      </w:tr>
      <w:tr>
        <w:trPr>
          <w:trHeight w:val="236"/>
        </w:trPr>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307,919</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113,484</w:t>
            </w:r>
          </w:p>
        </w:tc>
      </w:tr>
      <w:tr>
        <w:trPr>
          <w:trHeight w:val="183"/>
        </w:trPr>
        <w:tc>
          <w:tcPr>
            <w:tcW w:w="7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Cash paid for income taxes, net of refunds received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1,713</w:t>
            </w:r>
          </w:p>
        </w:tc>
        <w:tc>
          <w:tcPr>
            <w:tcW w:w="5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298</w:t>
            </w: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4,774</w:t>
            </w:r>
          </w:p>
        </w:tc>
        <w:tc>
          <w:tcPr>
            <w:tcW w:w="5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7,153</w:t>
            </w: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Non-cash property and equipment additions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206</w:t>
            </w:r>
          </w:p>
        </w:tc>
        <w:tc>
          <w:tcPr>
            <w:tcW w:w="5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-3425190</wp:posOffset>
            </wp:positionV>
            <wp:extent cx="1200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-2636520</wp:posOffset>
            </wp:positionV>
            <wp:extent cx="1200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-1325245</wp:posOffset>
            </wp:positionV>
            <wp:extent cx="1200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-796290</wp:posOffset>
            </wp:positionV>
            <wp:extent cx="120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-779145</wp:posOffset>
            </wp:positionV>
            <wp:extent cx="120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9"/>
          </w:tcPr>
          <w:p>
            <w:pPr>
              <w:jc w:val="right"/>
              <w:ind w:right="918"/>
              <w:spacing w:after="0"/>
              <w:rPr>
                <w:sz w:val="20"/>
                <w:szCs w:val="20"/>
                <w:color w:val="auto"/>
              </w:rPr>
            </w:pPr>
            <w:r>
              <w:rPr>
                <w:rFonts w:ascii="Arial" w:cs="Arial" w:eastAsia="Arial" w:hAnsi="Arial"/>
                <w:sz w:val="14"/>
                <w:szCs w:val="14"/>
                <w:b w:val="1"/>
                <w:bCs w:val="1"/>
                <w:color w:val="auto"/>
              </w:rPr>
              <w:t>Three Months Ended March 31, 2022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218"/>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33"/>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auto"/>
                <w:w w:val="97"/>
              </w:rPr>
              <w:t>Paid-In-Capital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December 31, 2021</w:t>
            </w:r>
          </w:p>
        </w:tc>
        <w:tc>
          <w:tcPr>
            <w:tcW w:w="1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w:t>
            </w: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1,165,163</w:t>
            </w: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(31,441 )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(1,637 )</w:t>
            </w: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1,859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(1,517 )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(1,517 )</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13,013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13,013</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line="196" w:lineRule="exact"/>
              <w:rPr>
                <w:sz w:val="20"/>
                <w:szCs w:val="20"/>
                <w:color w:val="auto"/>
              </w:rPr>
            </w:pPr>
            <w:r>
              <w:rPr>
                <w:rFonts w:ascii="Arial" w:cs="Arial" w:eastAsia="Arial" w:hAnsi="Arial"/>
                <w:sz w:val="18"/>
                <w:szCs w:val="18"/>
                <w:color w:val="auto"/>
              </w:rPr>
              <w:t>BALANCE – March 31, 2022</w:t>
            </w:r>
          </w:p>
        </w:tc>
        <w:tc>
          <w:tcPr>
            <w:tcW w:w="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1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1,167,569</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(18,428 )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(3,154 )</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1,146,140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918"/>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9"/>
              </w:rPr>
              <w:t>Paid-In-Capital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December 31, 2020</w:t>
            </w: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w:t>
            </w:r>
          </w:p>
        </w:tc>
        <w:tc>
          <w:tcPr>
            <w:tcW w:w="160" w:type="dxa"/>
            <w:vAlign w:val="bottom"/>
            <w:gridSpan w:val="2"/>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839,148</w:t>
            </w: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(47,492 )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2,484</w:t>
            </w: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794,270</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(19,389 )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(19,389 )</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March 31, 2021</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w:t>
            </w:r>
          </w:p>
        </w:tc>
        <w:tc>
          <w:tcPr>
            <w:tcW w:w="16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839,710</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(66,881 )</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5,244</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778,203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-1513840</wp:posOffset>
            </wp:positionV>
            <wp:extent cx="946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-1513840</wp:posOffset>
            </wp:positionV>
            <wp:extent cx="946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-1513840</wp:posOffset>
            </wp:positionV>
            <wp:extent cx="857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-1513840</wp:posOffset>
            </wp:positionV>
            <wp:extent cx="857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-25400</wp:posOffset>
            </wp:positionV>
            <wp:extent cx="93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94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85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Nature of Business, and Basis of Presentation</w:t>
      </w:r>
    </w:p>
    <w:p>
      <w:pPr>
        <w:spacing w:after="0" w:line="16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Fastball Intermediate, Inc., a Delaware corporation, was formed on November 15, 2019 and subsequently changed its name to First Advantage Corporation in March 2021. Hereafter, First Advantage Corporation and its subsidiaries will collectively be referred to as the “Company.”</w:t>
      </w:r>
    </w:p>
    <w:p>
      <w:pPr>
        <w:spacing w:after="0" w:line="9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Company derives its revenues from a variety of background check and compliance services performed across all phases of the workforce lifecycle from pre-onboarding to post-onboarding and ongoing monitoring, after employees, contractors, contingent and extended workers, drivers, tenants, and volunteers have been onboarded. We generally classify our service offerings into three categories: pre-onboarding, post-onboarding, and adjacent products. 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 Post-onboarding services are comprised of continuous monitoring and re-screening solutions which are important tools to help keep their end customers, workforces, and other stakeholders safer, productive, and compliant. Our post-monitoring solutions include criminal records, healthcare sanctions, motor vehicle records, social media, and global sanctions screening continuously or at regular intervals selected by our customers. 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12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3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2021.</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September and November of each year, driven by many customers’ pre-holiday season hiring initiatives.</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 Operating segments are businesses for which separate financial information is available and evaluated regularly by our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maker (“CODM”) deciding how to allocate resources and assess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2022, the Company made organizational changes and modified information provided to its CODM to better align with how its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CODM assesses performance and allocates resources. As a result, the Company now has two reportable segments, Americas and International:</w:t>
      </w:r>
    </w:p>
    <w:p>
      <w:pPr>
        <w:spacing w:after="0" w:line="153" w:lineRule="exact"/>
        <w:rPr>
          <w:sz w:val="20"/>
          <w:szCs w:val="20"/>
          <w:color w:val="auto"/>
        </w:rPr>
      </w:pPr>
    </w:p>
    <w:p>
      <w:pPr>
        <w:ind w:left="1020" w:right="3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provides technology solutions for screening, verifications, safety, and compliance related to human capital in the United States, Canada, and Latin America markets; and</w:t>
      </w:r>
    </w:p>
    <w:p>
      <w:pPr>
        <w:spacing w:after="0" w:line="62"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provides technology solutions for screening, verifications, safety, and compliance related to human capital outside of the Americas.</w:t>
      </w:r>
    </w:p>
    <w:p>
      <w:pPr>
        <w:spacing w:after="0" w:line="6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Accordingly, prior period results have been recast to conform to the current presentation of segments. These changes do not impact the Company’s consolidated results.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Company’s segment disclosure is intended to provide the users of its consolidated financial statements with a view of the business that is consistent with management of the Company. Details of segment results are discussed in Note 16, “Reportable Segments.”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ind w:right="80"/>
        <w:spacing w:after="0" w:line="264"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the condensed consolidated financial statements in accordance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spacing w:after="0" w:line="1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Significant estimates, judgments, and assumptions, include, but are not limited to, the determination of the fair value and useful lives of assets acquired and liabilities assumed through business combinations, the impairment of long-lived assets, and goodwill impairment, collectability of receivables,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Certain financial assets and liabilities are reported at fair value in the accompanying consolidated balance sheets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Financial Accounting Standards Board (“FASB”)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04" w:lineRule="exact"/>
        <w:rPr>
          <w:sz w:val="20"/>
          <w:szCs w:val="20"/>
          <w:color w:val="auto"/>
        </w:rPr>
      </w:pPr>
    </w:p>
    <w:p>
      <w:pPr>
        <w:ind w:left="520" w:right="160"/>
        <w:spacing w:after="0" w:line="26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63" w:lineRule="exact"/>
        <w:rPr>
          <w:sz w:val="20"/>
          <w:szCs w:val="20"/>
          <w:color w:val="auto"/>
        </w:rPr>
      </w:pPr>
    </w:p>
    <w:p>
      <w:pPr>
        <w:ind w:left="520" w:right="240"/>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inputs to the valuation model are unobservable (supported by little or no market activities). These inputs may be used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 developed methodologies that reflect the Company’s best estimate of fair value from a market participant.</w:t>
      </w:r>
    </w:p>
    <w:p>
      <w:pPr>
        <w:spacing w:after="0" w:line="11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3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spacing w:after="0" w:line="12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March 31, 2022 (in thousands):</w:t>
      </w:r>
    </w:p>
    <w:p>
      <w:pPr>
        <w:spacing w:after="0" w:line="12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5,842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5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8" w:name="page9"/>
    <w:bookmarkEnd w:id="8"/>
    <w:p>
      <w:pPr>
        <w:ind w:right="180"/>
        <w:spacing w:after="0" w:line="280"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records business combinations using the acquisition method of accounting in accordance with ASC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Goodwill, Trade Name, and Customer Lists </w:t>
      </w:r>
      <w:r>
        <w:rPr>
          <w:rFonts w:ascii="Arial" w:cs="Arial" w:eastAsia="Arial" w:hAnsi="Arial"/>
          <w:sz w:val="18"/>
          <w:szCs w:val="18"/>
          <w:color w:val="auto"/>
        </w:rPr>
        <w:t>— The Company tests goodwill for impairment annually as of December 31 or more frequently if an event</w:t>
      </w:r>
      <w:r>
        <w:rPr>
          <w:rFonts w:ascii="Arial" w:cs="Arial" w:eastAsia="Arial" w:hAnsi="Arial"/>
          <w:sz w:val="18"/>
          <w:szCs w:val="18"/>
          <w:b w:val="1"/>
          <w:bCs w:val="1"/>
          <w:color w:val="auto"/>
        </w:rPr>
        <w:t xml:space="preserve"> </w:t>
      </w:r>
      <w:r>
        <w:rPr>
          <w:rFonts w:ascii="Arial" w:cs="Arial" w:eastAsia="Arial" w:hAnsi="Arial"/>
          <w:sz w:val="18"/>
          <w:szCs w:val="18"/>
          <w:color w:val="auto"/>
        </w:rPr>
        <w:t>occurs or circumstances change that would more likely than not reduce the fair value of a reporting unit or indefinite-lived intangible asset below its carrying value. Goodwill is tested for impairment at the reporting unit level using a fair value approach. At December 31, 2021, the Company had two reporting units comprised of the Americas and International.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 charges have been required.</w:t>
      </w:r>
    </w:p>
    <w:p>
      <w:pPr>
        <w:spacing w:after="0" w:line="14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Company’s trade name is amortized on an accelerated basis over its expected useful life of twenty years. The Company recorded $1.9 million and $2.0 million of amortization expense related to the trade name for the three months ended March 31, 2022 and 2021, respectively.</w:t>
      </w:r>
    </w:p>
    <w:p>
      <w:pPr>
        <w:spacing w:after="0" w:line="93"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color w:val="auto"/>
        </w:rPr>
        <w:t>Customer lists are amortized on an accelerated basis based upon their estimated useful life of thirteen to fourteen years. The Company recorded $15.3 million and $16.3 million of amortization expense related to customer lists for the three months ended March 31, 2022 and 2021, respectively.</w:t>
      </w:r>
    </w:p>
    <w:p>
      <w:pPr>
        <w:spacing w:after="0" w:line="70"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auto"/>
        </w:rPr>
        <w:t>The Company regularly evaluates the amortization period assigned to each intangible asset to determine whether there have been any events or circumstances that warrant revised estimates of useful lives. In December 2021, and since that time, the Company determined that there have been no triggering events that would require impairment of trade names or customer lists.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Revenues are recognized when control of the Company’s services is transferred to customers, in an amount that reflects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the Company expects to be entitled to in exchange for those services.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adopted as of January 1, 2019 using the modified retrospective method, revenues are recognized based on the following steps:</w:t>
      </w:r>
    </w:p>
    <w:p>
      <w:pPr>
        <w:spacing w:after="0" w:line="93" w:lineRule="exact"/>
        <w:rPr>
          <w:sz w:val="20"/>
          <w:szCs w:val="20"/>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or related businesses.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right="480"/>
        <w:spacing w:after="0" w:line="261" w:lineRule="auto"/>
        <w:rPr>
          <w:sz w:val="20"/>
          <w:szCs w:val="20"/>
          <w:color w:val="auto"/>
        </w:rPr>
      </w:pPr>
      <w:r>
        <w:rPr>
          <w:rFonts w:ascii="Arial" w:cs="Arial" w:eastAsia="Arial" w:hAnsi="Arial"/>
          <w:sz w:val="18"/>
          <w:szCs w:val="18"/>
          <w:color w:val="auto"/>
        </w:rPr>
        <w:t>The Company considers negotiated and anticipated incentives and estimated adjustments, including historical collections experience, when recording revenues.</w:t>
      </w:r>
    </w:p>
    <w:p>
      <w:pPr>
        <w:spacing w:after="0" w:line="11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0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Contract balances are generated when the revenues recognized in a given period varies from billing. A contract asset is created when the Company performs a service for a customer and recognizes more revenues than what has been billed. Contract assets are included in accounts receivable in the accompanying condensed consolidated balance sheets. 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Contract liabilities are included in deferred revenues in the accompanying condensed consolidated balance sheets.</w:t>
      </w:r>
    </w:p>
    <w:p>
      <w:pPr>
        <w:spacing w:after="0" w:line="117"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functional currency of all of the Company’s foreign subsidiaries is the applicable local currency. The translation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income (loss) were approximately $(1.5) million and $2.8 million for the three months ended March 31, 2022 and 2021, respectively.</w:t>
      </w:r>
    </w:p>
    <w:p>
      <w:pPr>
        <w:spacing w:after="0" w:line="10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income (loss). Currency transaction income included in the accompanying condensed consolidated statements of operations and comprehensive income (loss) was approximately $1.0 million and $0.1 million for the three months ended March 31, 2022 and 2021, respectively.</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 The Company qualifies as an emerging growth company under the Jumpstart Our Business Startups (“JOBS”)</w:t>
      </w:r>
      <w:r>
        <w:rPr>
          <w:rFonts w:ascii="Arial" w:cs="Arial" w:eastAsia="Arial" w:hAnsi="Arial"/>
          <w:sz w:val="17"/>
          <w:szCs w:val="17"/>
          <w:b w:val="1"/>
          <w:bCs w:val="1"/>
          <w:color w:val="auto"/>
        </w:rPr>
        <w:t xml:space="preserve"> </w:t>
      </w:r>
      <w:r>
        <w:rPr>
          <w:rFonts w:ascii="Arial" w:cs="Arial" w:eastAsia="Arial" w:hAnsi="Arial"/>
          <w:sz w:val="17"/>
          <w:szCs w:val="17"/>
          <w:color w:val="auto"/>
        </w:rPr>
        <w:t>Act. The JOBS Act permits the Company an extended transition period for complying with new or revised accounting standards affecting public companies. The Company has elected to use this extended transition period and adopt certain new accounting standards on the private company timeline, which means that the Company’s financial statements may not be comparable to the financial statements of public companies that comply with such new or revised accounting standards on a non-delayed basis. There were no accounting pronouncements issued during the three months ended March 31, 2022 that are expected to have a material impact on the condensed consolidated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spacing w:after="0" w:line="269"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February 2016, the FASB issued a new standard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and subsequently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ASUs amending this ASU (collectively ASC 842, </w:t>
      </w:r>
      <w:r>
        <w:rPr>
          <w:rFonts w:ascii="Arial" w:cs="Arial" w:eastAsia="Arial" w:hAnsi="Arial"/>
          <w:sz w:val="16"/>
          <w:szCs w:val="16"/>
          <w:i w:val="1"/>
          <w:iCs w:val="1"/>
          <w:color w:val="auto"/>
        </w:rPr>
        <w:t>Leases</w:t>
      </w:r>
      <w:r>
        <w:rPr>
          <w:rFonts w:ascii="Arial" w:cs="Arial" w:eastAsia="Arial" w:hAnsi="Arial"/>
          <w:sz w:val="16"/>
          <w:szCs w:val="16"/>
          <w:color w:val="auto"/>
        </w:rPr>
        <w:t>). ASC 842 was issued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18"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The adoption of ASC 842 had a material impact on the Company’s condensed consolidated balance sheets but did not have a material impact on our condensed consolidated statements of operations or cash flow. The most significant impact was the recognition of ROU assets of $12.7 million and lease liabilities for operating leases of $15.0 million based on the present value of the future minimum rental payments for existing operating leases. The difference in the balances is due to deferred rent, tenant incentive allowances and prepaid amounts taken into account for adoption. Our accounting for finance leases, described in Note 13, remained unchanged.</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removes specific exceptions to the general principles in Topic 740. Among other things it eliminates the need for an organization to analyze whether the following apply in a given period: exception to the incremental approach for intra-period tax allocation; exceptions to accounting for basis differences when there are ownership changes in foreign investments; and exception in interim period income tax accounting for year-to-date losses that exceed anticipated losses. This amendment also improves financial statement preparers’ application of income tax-related guidance and simplifies GAAP for: franchise taxes that are partially based on income; transactions with a government that result in a step up in the tax basis of goodwill; separate financial statements of legal entities that are not subject to tax; and enacted changes in tax laws in interim periods. Adoption of this standard on January 1, 2022 did not have a material impact on the condensed consolidated financial statements.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March 31, 2021, the Company completed its acquisition of selected assets and specified liabilities comprising the United Kingdom background screening business unit of a United Kingdom based company for cash consideration of $7.6 million. The Company recognized $3.1 million of goodwill and $3.0 million of intangible assets subject to amortization. Goodwill recognized is primarily attributable to assembled workforce and the expected growth of the Company and is not deductible for tax purposes. Results of operation have been included in the condensed consolidated financial statements of the Company’s International segment since the closing date.</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November 30, 2021, the Company completed its acquisition of a background screening and verification provider based in Mexico. Goodwill recognized as result of this acquisition was not deductible for tax purposes. Results of operation have been included in the condensed consolidated financial statements of the Company’s Americas segment since the closing date.</w:t>
      </w:r>
    </w:p>
    <w:p>
      <w:pPr>
        <w:spacing w:after="0" w:line="12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November 30, 2021, the Company, through one of its wholly-owned subsidiaries in the United States, entered into an agreement to acquire 100% of the outstanding equity of Corporate Screening Services, LLC (“Corporate Screening”), a U.S.-based screening and compliance solutions provider which strengthened the Company’s healthcare and higher education solutions by adding technology and expertise tailored to those customers, for cash consideration of $39.4 million. The acquisition was considered an acquisition of assets for tax purposes and, accordingly, a significant portion of the $22.2 million of goodwill recognized was deductible for tax purposes. Identifiable intangible assets related to this acquisition totaled $15.5 million, of which $11.8 million was attributable to a customer related intangible asset, with an estimated useful life of fourteen years and $3.6 million was attributable to developed technology with a useful life of five years. In addition, the Company acquired current assets of $2.9 million and assumed liabilities of $1.6 million. Results of operation have been included in the condensed consolidated financial statements of the Company’s Americas segment since the closing date.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2022 Acquisitions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completed its asset purchase of Form I-9 Compliance, a U.S.-based technology solution and consulting service provider for I-9 and E-Verify compliance, for cash consideration of approximately $19.8 million. The transfer of ownership became effective as of January 1, 2022 and strategically expands the Company’s product suite offerings through the addition of new I-9 and employment eligibility solutions. The acquired assets were determined to constitute a business and the Company was deemed to be the acquirer under ASC 805. The Company recorded a preliminary allocation of the purchase price to assets acquired and liabilities assumed based on their estimated fair values as of January 1, 2022.</w:t>
      </w:r>
    </w:p>
    <w:p>
      <w:pPr>
        <w:spacing w:after="0" w:line="12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As of the date these condensed consolidated financial statements were issued, the purchase accounting related to the acquisition of Form I-9 Compliance was incomplete as the valuations of deferred taxes and purchase price were still in the process of being finalized, and certain customary transaction adjustments were not yet finalized. The Company has reflected the provisional amounts for goodwill and deferred taxes in these condensed consolidated financial statements. As such, the above balances may be adjusted in a future period as the valuation is finalized and these adjustments may be material to the consolidated financial statements.</w:t>
      </w:r>
    </w:p>
    <w:p>
      <w:pPr>
        <w:spacing w:after="0" w:line="13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Cash, net of cash acquired</w:t>
            </w:r>
          </w:p>
        </w:tc>
        <w:tc>
          <w:tcPr>
            <w:tcW w:w="6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19,087</w:t>
            </w:r>
          </w:p>
        </w:tc>
      </w:tr>
      <w:tr>
        <w:trPr>
          <w:trHeight w:val="19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fair value of consideration transferred</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19,087</w:t>
            </w:r>
          </w:p>
        </w:tc>
      </w:tr>
      <w:tr>
        <w:trPr>
          <w:trHeight w:val="196"/>
        </w:trPr>
        <w:tc>
          <w:tcPr>
            <w:tcW w:w="8220" w:type="dxa"/>
            <w:vAlign w:val="bottom"/>
          </w:tcPr>
          <w:p>
            <w:pPr>
              <w:spacing w:after="0" w:line="196" w:lineRule="exact"/>
              <w:rPr>
                <w:sz w:val="20"/>
                <w:szCs w:val="20"/>
                <w:color w:val="auto"/>
              </w:rPr>
            </w:pPr>
            <w:r>
              <w:rPr>
                <w:rFonts w:ascii="Arial" w:cs="Arial" w:eastAsia="Arial" w:hAnsi="Arial"/>
                <w:sz w:val="18"/>
                <w:szCs w:val="18"/>
                <w:color w:val="auto"/>
              </w:rPr>
              <w:t>Current assets</w:t>
            </w:r>
          </w:p>
        </w:tc>
        <w:tc>
          <w:tcPr>
            <w:tcW w:w="68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1,151</w:t>
            </w: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including software developed for internal use</w:t>
            </w:r>
          </w:p>
        </w:tc>
        <w:tc>
          <w:tcPr>
            <w:tcW w:w="6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3,045</w:t>
            </w: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6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6,100</w:t>
            </w:r>
          </w:p>
        </w:tc>
      </w:tr>
      <w:tr>
        <w:trPr>
          <w:trHeight w:val="203"/>
        </w:trPr>
        <w:tc>
          <w:tcPr>
            <w:tcW w:w="8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6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(325 )</w:t>
            </w:r>
          </w:p>
        </w:tc>
      </w:tr>
      <w:tr>
        <w:trPr>
          <w:trHeight w:val="196"/>
        </w:trPr>
        <w:tc>
          <w:tcPr>
            <w:tcW w:w="8220" w:type="dxa"/>
            <w:vAlign w:val="bottom"/>
          </w:tcPr>
          <w:p>
            <w:pPr>
              <w:spacing w:after="0" w:line="196" w:lineRule="exact"/>
              <w:rPr>
                <w:sz w:val="20"/>
                <w:szCs w:val="20"/>
                <w:color w:val="auto"/>
              </w:rPr>
            </w:pPr>
            <w:r>
              <w:rPr>
                <w:rFonts w:ascii="Arial" w:cs="Arial" w:eastAsia="Arial" w:hAnsi="Arial"/>
                <w:sz w:val="18"/>
                <w:szCs w:val="18"/>
                <w:b w:val="1"/>
                <w:bCs w:val="1"/>
                <w:color w:val="auto"/>
              </w:rPr>
              <w:t>Total identifiable net assets</w:t>
            </w: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9,971</w:t>
            </w:r>
          </w:p>
        </w:tc>
      </w:tr>
      <w:tr>
        <w:trPr>
          <w:trHeight w:val="23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9,116</w:t>
            </w:r>
          </w:p>
        </w:tc>
      </w:tr>
    </w:tbl>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Goodwill recognized in the acquisition of Form I-9 Compliance is deductible for tax purposes. The results of Form I-9 Compliance have been included in our Americas segment from the effective date of the acquisition.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March 31, 2022 and December 31, 2021 consisted of the following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5"/>
              </w:rPr>
              <w:t>December 31, 2021</w:t>
            </w:r>
          </w:p>
        </w:tc>
      </w:tr>
      <w:tr>
        <w:trPr>
          <w:trHeight w:val="196"/>
        </w:trPr>
        <w:tc>
          <w:tcPr>
            <w:tcW w:w="7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and equipment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22,385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20,462</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Capitalized software for internal use, acquired by business combination</w:t>
            </w:r>
          </w:p>
        </w:tc>
        <w:tc>
          <w:tcPr>
            <w:tcW w:w="1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231,105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225,005</w:t>
            </w:r>
          </w:p>
        </w:tc>
      </w:tr>
      <w:tr>
        <w:trPr>
          <w:trHeight w:val="203"/>
        </w:trPr>
        <w:tc>
          <w:tcPr>
            <w:tcW w:w="7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software for internal use, developed internally or otherwise purchased</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38,049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37,326</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2,922</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3,001</w:t>
            </w:r>
          </w:p>
        </w:tc>
      </w:tr>
      <w:tr>
        <w:trPr>
          <w:trHeight w:val="196"/>
        </w:trPr>
        <w:tc>
          <w:tcPr>
            <w:tcW w:w="7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294,461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285,794</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(148,069 )</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(131,485 )</w:t>
            </w:r>
          </w:p>
        </w:tc>
      </w:tr>
      <w:tr>
        <w:trPr>
          <w:trHeight w:val="236"/>
        </w:trPr>
        <w:tc>
          <w:tcPr>
            <w:tcW w:w="7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146,392</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154,309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Depreciation and amortization expense of property and equipment was approximately $16.8 million and $16.5 million for the three months ended March 31, 2022 and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Trade Name, and Customer Lists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for the three months ended March 31, 2022 by reportable segment were as follows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December 31, 2021</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668,048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125,844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793,892</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9,116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9,116</w:t>
            </w: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initial purchase price allocations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(167 )</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(166 )</w:t>
            </w:r>
          </w:p>
        </w:tc>
      </w:tr>
      <w:tr>
        <w:trPr>
          <w:trHeight w:val="236"/>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 March 31, 2022</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677,014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125,661</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802,675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summarizes the gross carrying value and accumulated amortization for the Company’s trade name and customer lists as of March 31, 2022 and December 31, 2021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3"/>
        </w:trPr>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275"/>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jc w:val="center"/>
              <w:ind w:right="415"/>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496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6"/>
                <w:szCs w:val="16"/>
                <w:color w:val="auto"/>
              </w:rPr>
            </w:pPr>
          </w:p>
        </w:tc>
        <w:tc>
          <w:tcPr>
            <w:tcW w:w="118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94,976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(17,335 )</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77,641</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 years</w:t>
            </w:r>
          </w:p>
        </w:tc>
      </w:tr>
      <w:tr>
        <w:trPr>
          <w:trHeight w:val="202"/>
        </w:trPr>
        <w:tc>
          <w:tcPr>
            <w:tcW w:w="496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521,411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(145,983 )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375,428</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13-14 years</w:t>
            </w:r>
          </w:p>
        </w:tc>
      </w:tr>
      <w:tr>
        <w:trPr>
          <w:trHeight w:val="236"/>
        </w:trPr>
        <w:tc>
          <w:tcPr>
            <w:tcW w:w="49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616,387</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(163,318 )</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6"/>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453,069</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520"/>
        </w:trPr>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33"/>
        </w:trPr>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275"/>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jc w:val="center"/>
              <w:ind w:right="415"/>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496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6"/>
                <w:szCs w:val="16"/>
                <w:color w:val="auto"/>
              </w:rPr>
            </w:pPr>
          </w:p>
        </w:tc>
        <w:tc>
          <w:tcPr>
            <w:tcW w:w="118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95,026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(15,441 )</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79,585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515,524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(130,758 )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384,766</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 years</w:t>
            </w:r>
          </w:p>
        </w:tc>
      </w:tr>
      <w:tr>
        <w:trPr>
          <w:trHeight w:val="236"/>
        </w:trPr>
        <w:tc>
          <w:tcPr>
            <w:tcW w:w="49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610,550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(146,199 )</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6"/>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464,351</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-1010920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-993775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-1010920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-993775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-1010920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-993775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Amortization expense of trade name and customer lists was approximately $17.2 million and $18.3 million for the three months ended March 31, 2022 and 2021, respectively.</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Long-term Debt</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fair value of the Company’s long-term debt obligations approximated their book value as of March 31, 2022 and December 31, 2021 and consisted of the following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December 31, 2021</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Successor First Lien Credit Facility</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Less: Deferred financing costs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(9,434 )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(9,879 )</w:t>
            </w:r>
          </w:p>
        </w:tc>
      </w:tr>
      <w:tr>
        <w:trPr>
          <w:trHeight w:val="236"/>
        </w:trPr>
        <w:tc>
          <w:tcPr>
            <w:tcW w:w="6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555,290</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554,845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946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94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February 2020,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new $75.0 million revolving credit facility due January 31, 2025 (“Successor Revolver”). The Successor First Lien Credit Facility required mandatory quarterly repayments of 0.25% of the original loan balance commencing September 30, 2020. Beginning with the year ending December 31, 2021, the Successor First Lien Credit Facility required mandatory payments based on calculated excess cash flow, as defined within the Successor First Lien Credit Agreement. The Successor Second Lien Agreement provided financing in the form of a $145.0 million term loan due January 31, 2028, carrying an interest rate of 8.50% plus LIBOR (“Successor Second Lien Credit Facility”). The Successor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 to 1:00.</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In February 2021, the Company refinanced its Successor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connection with the closing of the Company’s initial public offering (“IPO”), on June 30, 2021, the Company repaid $200.0 million of its Successor First Lien Credit Facility outstanding, of which $44.3 million was applied to the remaining quarterly principal payments due under the Successor First Lien Agreement. As a result of the IPO, the Company’s interest rate under the Successor First Lien Credit Facility was reduced by 0.25% to a range of 2.75% to 3.00%, based on the first lien ratio, plus LIBOR.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Additionally, in connection with the closing of the IPO, the Company entered into an amendment that increased the borrowing capacity under the Successor Revolver from $75.0 million to $100.0 million and extended the maturity date from January 31, 2025 to July 31, 2026. As of March 31, 2022, the Company had no outstanding amounts under the Successor Revolver, and therefore was not subject to the consolidated first lien leverage ratio covenant and was compliant with all other covenants under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w:t>
      </w:r>
    </w:p>
    <w:p>
      <w:pPr>
        <w:spacing w:after="0" w:line="1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in order to reduce its exposure to interest rate volatility. In this agreement, the Company and the counterparty bank agreed to a one-month USD LIBOR floor of 0.48% and a cap of 1.50% on a portion of the Company’s Successor First Lien Facility. The notional amount of this agreement is $405.0 million through February 2022 at which time the notional amount reduces to $300.0 million through February 2024.</w:t>
      </w:r>
    </w:p>
    <w:p>
      <w:pPr>
        <w:spacing w:after="0" w:line="13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is a summary of location and fair value of the financial position and location and amount of gains and (losses) recorded related to the derivative instruments recorded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Derivatives</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Gain/(Loss)</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vMerge w:val="restart"/>
          </w:tcPr>
          <w:p>
            <w:pPr>
              <w:jc w:val="center"/>
              <w:ind w:right="195"/>
              <w:spacing w:after="0"/>
              <w:rPr>
                <w:sz w:val="20"/>
                <w:szCs w:val="20"/>
                <w:color w:val="auto"/>
              </w:rPr>
            </w:pPr>
            <w:r>
              <w:rPr>
                <w:rFonts w:ascii="Arial" w:cs="Arial" w:eastAsia="Arial" w:hAnsi="Arial"/>
                <w:sz w:val="13"/>
                <w:szCs w:val="13"/>
                <w:b w:val="1"/>
                <w:bCs w:val="1"/>
                <w:color w:val="auto"/>
                <w:w w:val="89"/>
              </w:rPr>
              <w:t>Three Months</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restart"/>
          </w:tcPr>
          <w:p>
            <w:pPr>
              <w:jc w:val="center"/>
              <w:ind w:right="275"/>
              <w:spacing w:after="0"/>
              <w:rPr>
                <w:sz w:val="20"/>
                <w:szCs w:val="20"/>
                <w:color w:val="auto"/>
              </w:rPr>
            </w:pPr>
            <w:r>
              <w:rPr>
                <w:rFonts w:ascii="Arial" w:cs="Arial" w:eastAsia="Arial" w:hAnsi="Arial"/>
                <w:sz w:val="13"/>
                <w:szCs w:val="13"/>
                <w:b w:val="1"/>
                <w:bCs w:val="1"/>
                <w:color w:val="auto"/>
                <w:w w:val="89"/>
              </w:rPr>
              <w:t>Three Months</w:t>
            </w:r>
          </w:p>
        </w:tc>
        <w:tc>
          <w:tcPr>
            <w:tcW w:w="0" w:type="dxa"/>
            <w:vAlign w:val="bottom"/>
          </w:tcPr>
          <w:p>
            <w:pPr>
              <w:spacing w:after="0"/>
              <w:rPr>
                <w:sz w:val="1"/>
                <w:szCs w:val="1"/>
                <w:color w:val="auto"/>
              </w:rPr>
            </w:pPr>
          </w:p>
        </w:tc>
      </w:tr>
      <w:tr>
        <w:trPr>
          <w:trHeight w:val="121"/>
        </w:trPr>
        <w:tc>
          <w:tcPr>
            <w:tcW w:w="16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not designated</w:t>
            </w:r>
          </w:p>
        </w:tc>
        <w:tc>
          <w:tcPr>
            <w:tcW w:w="140" w:type="dxa"/>
            <w:vAlign w:val="bottom"/>
          </w:tcPr>
          <w:p>
            <w:pPr>
              <w:spacing w:after="0"/>
              <w:rPr>
                <w:sz w:val="10"/>
                <w:szCs w:val="10"/>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Balance Sheet</w:t>
            </w:r>
          </w:p>
        </w:tc>
        <w:tc>
          <w:tcPr>
            <w:tcW w:w="160" w:type="dxa"/>
            <w:vAlign w:val="bottom"/>
          </w:tcPr>
          <w:p>
            <w:pPr>
              <w:spacing w:after="0"/>
              <w:rPr>
                <w:sz w:val="10"/>
                <w:szCs w:val="10"/>
                <w:color w:val="auto"/>
              </w:rPr>
            </w:pPr>
          </w:p>
        </w:tc>
        <w:tc>
          <w:tcPr>
            <w:tcW w:w="1180" w:type="dxa"/>
            <w:vAlign w:val="bottom"/>
            <w:vMerge w:val="restart"/>
          </w:tcPr>
          <w:p>
            <w:pPr>
              <w:jc w:val="center"/>
              <w:ind w:right="195"/>
              <w:spacing w:after="0"/>
              <w:rPr>
                <w:sz w:val="20"/>
                <w:szCs w:val="20"/>
                <w:color w:val="auto"/>
              </w:rPr>
            </w:pPr>
            <w:r>
              <w:rPr>
                <w:rFonts w:ascii="Arial" w:cs="Arial" w:eastAsia="Arial" w:hAnsi="Arial"/>
                <w:sz w:val="13"/>
                <w:szCs w:val="13"/>
                <w:b w:val="1"/>
                <w:bCs w:val="1"/>
                <w:color w:val="auto"/>
                <w:w w:val="86"/>
              </w:rPr>
              <w:t>As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center"/>
              <w:ind w:right="94"/>
              <w:spacing w:after="0"/>
              <w:rPr>
                <w:sz w:val="20"/>
                <w:szCs w:val="20"/>
                <w:color w:val="auto"/>
              </w:rPr>
            </w:pPr>
            <w:r>
              <w:rPr>
                <w:rFonts w:ascii="Arial" w:cs="Arial" w:eastAsia="Arial" w:hAnsi="Arial"/>
                <w:sz w:val="13"/>
                <w:szCs w:val="13"/>
                <w:b w:val="1"/>
                <w:bCs w:val="1"/>
                <w:color w:val="auto"/>
                <w:w w:val="86"/>
              </w:rPr>
              <w:t>As of</w:t>
            </w:r>
          </w:p>
        </w:tc>
        <w:tc>
          <w:tcPr>
            <w:tcW w:w="140" w:type="dxa"/>
            <w:vAlign w:val="bottom"/>
          </w:tcPr>
          <w:p>
            <w:pPr>
              <w:spacing w:after="0"/>
              <w:rPr>
                <w:sz w:val="10"/>
                <w:szCs w:val="10"/>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Income Statement</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as hedging</w:t>
            </w:r>
          </w:p>
        </w:tc>
        <w:tc>
          <w:tcPr>
            <w:tcW w:w="1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195"/>
              <w:spacing w:after="0" w:line="122"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275"/>
              <w:spacing w:after="0" w:line="122"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2"/>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1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4"/>
                <w:szCs w:val="14"/>
                <w:color w:val="auto"/>
              </w:rPr>
            </w:pPr>
          </w:p>
        </w:tc>
        <w:tc>
          <w:tcPr>
            <w:tcW w:w="1180" w:type="dxa"/>
            <w:vAlign w:val="bottom"/>
          </w:tcPr>
          <w:p>
            <w:pPr>
              <w:jc w:val="center"/>
              <w:ind w:right="155"/>
              <w:spacing w:after="0"/>
              <w:rPr>
                <w:sz w:val="20"/>
                <w:szCs w:val="20"/>
                <w:color w:val="auto"/>
              </w:rPr>
            </w:pPr>
            <w:r>
              <w:rPr>
                <w:rFonts w:ascii="Arial" w:cs="Arial" w:eastAsia="Arial" w:hAnsi="Arial"/>
                <w:sz w:val="13"/>
                <w:szCs w:val="13"/>
                <w:b w:val="1"/>
                <w:bCs w:val="1"/>
                <w:color w:val="auto"/>
                <w:w w:val="90"/>
              </w:rPr>
              <w:t>March 31, 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December 31, 2021</w:t>
            </w:r>
          </w:p>
        </w:tc>
        <w:tc>
          <w:tcPr>
            <w:tcW w:w="14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4"/>
                <w:szCs w:val="14"/>
                <w:color w:val="auto"/>
              </w:rPr>
            </w:pPr>
          </w:p>
        </w:tc>
        <w:tc>
          <w:tcPr>
            <w:tcW w:w="1260" w:type="dxa"/>
            <w:vAlign w:val="bottom"/>
          </w:tcPr>
          <w:p>
            <w:pPr>
              <w:jc w:val="center"/>
              <w:ind w:right="155"/>
              <w:spacing w:after="0"/>
              <w:rPr>
                <w:sz w:val="20"/>
                <w:szCs w:val="20"/>
                <w:color w:val="auto"/>
              </w:rPr>
            </w:pPr>
            <w:r>
              <w:rPr>
                <w:rFonts w:ascii="Arial" w:cs="Arial" w:eastAsia="Arial" w:hAnsi="Arial"/>
                <w:sz w:val="13"/>
                <w:szCs w:val="13"/>
                <w:b w:val="1"/>
                <w:bCs w:val="1"/>
                <w:color w:val="auto"/>
                <w:w w:val="90"/>
              </w:rPr>
              <w:t>March 31, 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35"/>
              <w:spacing w:after="0"/>
              <w:rPr>
                <w:sz w:val="20"/>
                <w:szCs w:val="20"/>
                <w:color w:val="auto"/>
              </w:rPr>
            </w:pPr>
            <w:r>
              <w:rPr>
                <w:rFonts w:ascii="Arial" w:cs="Arial" w:eastAsia="Arial" w:hAnsi="Arial"/>
                <w:sz w:val="13"/>
                <w:szCs w:val="13"/>
                <w:b w:val="1"/>
                <w:bCs w:val="1"/>
                <w:color w:val="auto"/>
                <w:w w:val="90"/>
              </w:rPr>
              <w:t>March 31, 2021</w:t>
            </w:r>
          </w:p>
        </w:tc>
        <w:tc>
          <w:tcPr>
            <w:tcW w:w="0" w:type="dxa"/>
            <w:vAlign w:val="bottom"/>
          </w:tcPr>
          <w:p>
            <w:pPr>
              <w:spacing w:after="0"/>
              <w:rPr>
                <w:sz w:val="1"/>
                <w:szCs w:val="1"/>
                <w:color w:val="auto"/>
              </w:rPr>
            </w:pPr>
          </w:p>
        </w:tc>
      </w:tr>
      <w:tr>
        <w:trPr>
          <w:trHeight w:val="137"/>
        </w:trPr>
        <w:tc>
          <w:tcPr>
            <w:tcW w:w="16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920" w:type="dxa"/>
            <w:vAlign w:val="bottom"/>
            <w:tcBorders>
              <w:top w:val="single" w:sz="8" w:color="auto"/>
            </w:tcBorders>
            <w:shd w:val="clear" w:color="auto" w:fill="CFF0FC"/>
          </w:tcPr>
          <w:p>
            <w:pPr>
              <w:ind w:left="160"/>
              <w:spacing w:after="0" w:line="137" w:lineRule="exact"/>
              <w:rPr>
                <w:sz w:val="20"/>
                <w:szCs w:val="20"/>
                <w:color w:val="auto"/>
              </w:rPr>
            </w:pPr>
            <w:r>
              <w:rPr>
                <w:rFonts w:ascii="Arial" w:cs="Arial" w:eastAsia="Arial" w:hAnsi="Arial"/>
                <w:sz w:val="14"/>
                <w:szCs w:val="14"/>
                <w:color w:val="auto"/>
                <w:w w:val="99"/>
              </w:rPr>
              <w:t>Prepaid expenses and other</w:t>
            </w: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ind w:left="200"/>
              <w:spacing w:after="0" w:line="137"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Interest rate swaps</w:t>
            </w:r>
          </w:p>
        </w:tc>
        <w:tc>
          <w:tcPr>
            <w:tcW w:w="140" w:type="dxa"/>
            <w:vAlign w:val="bottom"/>
            <w:shd w:val="clear" w:color="auto" w:fill="CFF0FC"/>
          </w:tcPr>
          <w:p>
            <w:pPr>
              <w:spacing w:after="0"/>
              <w:rPr>
                <w:sz w:val="15"/>
                <w:szCs w:val="15"/>
                <w:color w:val="auto"/>
              </w:rPr>
            </w:pPr>
          </w:p>
        </w:tc>
        <w:tc>
          <w:tcPr>
            <w:tcW w:w="20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88"/>
              </w:rPr>
              <w:t>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5"/>
              <w:spacing w:after="0"/>
              <w:rPr>
                <w:sz w:val="20"/>
                <w:szCs w:val="20"/>
                <w:color w:val="auto"/>
              </w:rPr>
            </w:pPr>
            <w:r>
              <w:rPr>
                <w:rFonts w:ascii="Arial" w:cs="Arial" w:eastAsia="Arial" w:hAnsi="Arial"/>
                <w:sz w:val="14"/>
                <w:szCs w:val="14"/>
                <w:color w:val="auto"/>
              </w:rPr>
              <w:t>5,842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87"/>
              </w:rPr>
              <w:t>expense, net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and balance sheet accounts reflect the results of the Company and its subsidiaries.</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three months ended March 31, 2022, the Company estimated the annual effective tax rate based on projected income for the full year and recorded a quarterly tax provision in accordance with the annual effective tax rate and adjusted for discrete tax items in the period.</w:t>
      </w:r>
    </w:p>
    <w:p>
      <w:pPr>
        <w:spacing w:after="0" w:line="11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effective income tax rate for the three months ended March 31, 2022 was 27.5%. The Company’s effective income tax rate for the three months ended March 31, 2022 was higher than the U.S. federal statutory rate of 21%, primarily due to Global Intangible Low-Taxed Income (“GILTI”) inclusion, nondeductible share-based compensation, and state income taxes.</w:t>
      </w:r>
    </w:p>
    <w:p>
      <w:pPr>
        <w:spacing w:after="0" w:line="12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Company’s effective income tax rate for the three months ended March 31, 2021 was 18.6%. The Company’s effective income tax rate for the three months ended March 31, 2021 was lower than the U.S. federal statutory rate of 21% primarily due to the book loss recognized for the period, offset by income taxes from various foreign jurisdictions and U.S. states which reduced the overall tax benefit.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0"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Accordingly, in any period, the Company does not recognize a significant amount of revenues from performance obligations satisfied or partially satisfied in prior periods and the amount of such revenues recognized during the three months ended March 31, 2022 and 2021 were immaterial.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contract asset balance was $9.4 million and $7.4 million as of March 31, 2022 and December 31, 2021, respectively, and is included in accounts receivable, net in the accompanying condensed consolidated balance sheets. The contract liability balance was $0.7 million and $0.9 million as of March 31, 2022 and December 31, 2021, respectively, and is included in deferred revenues in the accompanying condensed consolidated balance sheets. An immaterial amount of revenues was recognized in the current period related to the beginning balance of deferred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158"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The Company did not have any customers which represented 10% or more of consolidated revenues for the three months ended March 31, 2022 or March 31, 2021. Additionally, the Company did not have any customers which represented 10% or more of consolidated accounts receivable, net for any period presented.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disclosures about the disaggregation of our revenues see Note 16, “Reportable Segments.”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62"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color w:val="auto"/>
        </w:rPr>
        <w:t>After the Silver Lake Transaction and prior to the IPO, all share-based awards were issued by Fastball Holdco, L.P., the Company’s previous parent company under individual grant agreements and the partnership agreement of such parent company (collectively the “Successor Plan”).</w:t>
      </w:r>
    </w:p>
    <w:p>
      <w:pPr>
        <w:spacing w:after="0" w:line="70"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Share-based compensation expense is recognized in cost of services, product and technology expense, and selling, general, and administrative expense, in the accompanying condensed consolidated statements of operations and comprehensive income (loss) as follows (in thousands):</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60" w:type="dxa"/>
            <w:vAlign w:val="bottom"/>
          </w:tcPr>
          <w:p>
            <w:pPr>
              <w:jc w:val="center"/>
              <w:ind w:left="341"/>
              <w:spacing w:after="0"/>
              <w:rPr>
                <w:sz w:val="20"/>
                <w:szCs w:val="20"/>
                <w:color w:val="auto"/>
              </w:rPr>
            </w:pPr>
            <w:r>
              <w:rPr>
                <w:rFonts w:ascii="Arial" w:cs="Arial" w:eastAsia="Arial" w:hAnsi="Arial"/>
                <w:sz w:val="14"/>
                <w:szCs w:val="14"/>
                <w:b w:val="1"/>
                <w:bCs w:val="1"/>
                <w:color w:val="auto"/>
                <w:w w:val="95"/>
              </w:rPr>
              <w:t>Three Months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right="298"/>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060" w:type="dxa"/>
            <w:vAlign w:val="bottom"/>
          </w:tcPr>
          <w:p>
            <w:pPr>
              <w:spacing w:after="0"/>
              <w:rPr>
                <w:sz w:val="12"/>
                <w:szCs w:val="12"/>
                <w:color w:val="auto"/>
              </w:rPr>
            </w:pPr>
          </w:p>
        </w:tc>
        <w:tc>
          <w:tcPr>
            <w:tcW w:w="146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060" w:type="dxa"/>
            <w:vAlign w:val="bottom"/>
          </w:tcPr>
          <w:p>
            <w:pPr>
              <w:spacing w:after="0"/>
              <w:rPr>
                <w:sz w:val="16"/>
                <w:szCs w:val="16"/>
                <w:color w:val="auto"/>
              </w:rPr>
            </w:pPr>
          </w:p>
        </w:tc>
        <w:tc>
          <w:tcPr>
            <w:tcW w:w="146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96"/>
              </w:rPr>
              <w:t>March 31, 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Share-based compensation expense</w:t>
            </w:r>
          </w:p>
        </w:tc>
        <w:tc>
          <w:tcPr>
            <w:tcW w:w="14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6060" w:type="dxa"/>
            <w:vAlign w:val="bottom"/>
          </w:tcPr>
          <w:p>
            <w:pPr>
              <w:ind w:left="180"/>
              <w:spacing w:after="0" w:line="202" w:lineRule="exact"/>
              <w:rPr>
                <w:sz w:val="20"/>
                <w:szCs w:val="20"/>
                <w:color w:val="auto"/>
              </w:rPr>
            </w:pPr>
            <w:r>
              <w:rPr>
                <w:rFonts w:ascii="Arial" w:cs="Arial" w:eastAsia="Arial" w:hAnsi="Arial"/>
                <w:sz w:val="18"/>
                <w:szCs w:val="18"/>
                <w:color w:val="auto"/>
              </w:rPr>
              <w:t>Cost of services</w:t>
            </w:r>
          </w:p>
        </w:tc>
        <w:tc>
          <w:tcPr>
            <w:tcW w:w="1460" w:type="dxa"/>
            <w:vAlign w:val="bottom"/>
          </w:tcPr>
          <w:p>
            <w:pPr>
              <w:jc w:val="right"/>
              <w:ind w:right="1281"/>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6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 and technology expense</w:t>
            </w:r>
          </w:p>
        </w:tc>
        <w:tc>
          <w:tcPr>
            <w:tcW w:w="14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606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1,381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36"/>
        </w:trPr>
        <w:tc>
          <w:tcPr>
            <w:tcW w:w="6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share-based compensation expense</w:t>
            </w:r>
          </w:p>
        </w:tc>
        <w:tc>
          <w:tcPr>
            <w:tcW w:w="1460" w:type="dxa"/>
            <w:vAlign w:val="bottom"/>
            <w:tcBorders>
              <w:bottom w:val="single" w:sz="8" w:color="auto"/>
            </w:tcBorders>
            <w:shd w:val="clear" w:color="auto" w:fill="CFF0FC"/>
          </w:tcPr>
          <w:p>
            <w:pPr>
              <w:jc w:val="right"/>
              <w:ind w:right="1281"/>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1,859</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Plan</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Awards issued under the Successor Plan consist of options and profits interests and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Successor Plan generally expire ten years after the grant date. No awards were issued under the plan during the period from January 1, 2021 through March 31, 2021.</w:t>
      </w:r>
    </w:p>
    <w:p>
      <w:pPr>
        <w:spacing w:after="0" w:line="11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connection with the Company’s IPO, the Company’s parent was dissolved. Awards issued by the Company’s parent were converted in accordance with non-discretionary anti-dilution provisions of the Successor grants as follows:</w:t>
      </w:r>
    </w:p>
    <w:p>
      <w:pPr>
        <w:spacing w:after="0" w:line="117" w:lineRule="exact"/>
        <w:rPr>
          <w:sz w:val="20"/>
          <w:szCs w:val="20"/>
          <w:color w:val="auto"/>
        </w:rPr>
      </w:pPr>
    </w:p>
    <w:p>
      <w:pPr>
        <w:ind w:left="1020" w:right="18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Omnibus Incentive Plan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81" w:lineRule="exact"/>
        <w:rPr>
          <w:rFonts w:ascii="Arial" w:cs="Arial" w:eastAsia="Arial" w:hAnsi="Arial"/>
          <w:sz w:val="18"/>
          <w:szCs w:val="18"/>
          <w:color w:val="auto"/>
        </w:rPr>
      </w:pPr>
    </w:p>
    <w:p>
      <w:pPr>
        <w:ind w:left="1020" w:right="24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8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7"/>
              </w:rPr>
              <w:t>December 31, 2021</w:t>
            </w:r>
          </w:p>
        </w:tc>
        <w:tc>
          <w:tcPr>
            <w:tcW w:w="27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Grants outstanding</w:t>
            </w:r>
          </w:p>
        </w:tc>
        <w:tc>
          <w:tcPr>
            <w:tcW w:w="7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3,519,563</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00" w:type="dxa"/>
            <w:vAlign w:val="bottom"/>
          </w:tcPr>
          <w:p>
            <w:pPr>
              <w:ind w:left="120"/>
              <w:spacing w:after="0" w:line="202" w:lineRule="exact"/>
              <w:rPr>
                <w:sz w:val="20"/>
                <w:szCs w:val="20"/>
                <w:color w:val="auto"/>
              </w:rPr>
            </w:pPr>
            <w:r>
              <w:rPr>
                <w:rFonts w:ascii="Arial" w:cs="Arial" w:eastAsia="Arial" w:hAnsi="Arial"/>
                <w:sz w:val="18"/>
                <w:szCs w:val="18"/>
                <w:color w:val="auto"/>
              </w:rPr>
              <w:t>Grants exercised</w:t>
            </w:r>
          </w:p>
        </w:tc>
        <w:tc>
          <w:tcPr>
            <w:tcW w:w="22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(76,968 )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27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Grants cancelled/forfeited</w:t>
            </w:r>
          </w:p>
        </w:tc>
        <w:tc>
          <w:tcPr>
            <w:tcW w:w="7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60" w:type="dxa"/>
            <w:vAlign w:val="bottom"/>
          </w:tcPr>
          <w:p>
            <w:pPr>
              <w:spacing w:after="0" w:line="182" w:lineRule="exact"/>
              <w:rPr>
                <w:sz w:val="20"/>
                <w:szCs w:val="20"/>
                <w:color w:val="auto"/>
              </w:rPr>
            </w:pPr>
            <w:r>
              <w:rPr>
                <w:rFonts w:ascii="Arial" w:cs="Arial" w:eastAsia="Arial" w:hAnsi="Arial"/>
                <w:sz w:val="18"/>
                <w:szCs w:val="18"/>
                <w:color w:val="auto"/>
              </w:rPr>
              <w:t>March 31, 2022</w:t>
            </w:r>
          </w:p>
        </w:tc>
        <w:tc>
          <w:tcPr>
            <w:tcW w:w="2700" w:type="dxa"/>
            <w:vAlign w:val="bottom"/>
          </w:tcPr>
          <w:p>
            <w:pPr>
              <w:ind w:left="120"/>
              <w:spacing w:after="0" w:line="182" w:lineRule="exact"/>
              <w:rPr>
                <w:sz w:val="20"/>
                <w:szCs w:val="20"/>
                <w:color w:val="auto"/>
              </w:rPr>
            </w:pPr>
            <w:r>
              <w:rPr>
                <w:rFonts w:ascii="Arial" w:cs="Arial" w:eastAsia="Arial" w:hAnsi="Arial"/>
                <w:sz w:val="18"/>
                <w:szCs w:val="18"/>
                <w:color w:val="auto"/>
              </w:rPr>
              <w:t>Grants outstanding</w:t>
            </w:r>
          </w:p>
        </w:tc>
        <w:tc>
          <w:tcPr>
            <w:tcW w:w="1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3,442,595</w:t>
            </w:r>
          </w:p>
        </w:tc>
        <w:tc>
          <w:tcPr>
            <w:tcW w:w="22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6.66</w:t>
            </w:r>
          </w:p>
        </w:tc>
        <w:tc>
          <w:tcPr>
            <w:tcW w:w="140" w:type="dxa"/>
            <w:vAlign w:val="bottom"/>
          </w:tcPr>
          <w:p>
            <w:pPr>
              <w:spacing w:after="0"/>
              <w:rPr>
                <w:sz w:val="17"/>
                <w:szCs w:val="17"/>
                <w:color w:val="auto"/>
              </w:rPr>
            </w:pPr>
          </w:p>
        </w:tc>
        <w:tc>
          <w:tcPr>
            <w:tcW w:w="1240" w:type="dxa"/>
            <w:vAlign w:val="bottom"/>
          </w:tcPr>
          <w:p>
            <w:pPr>
              <w:ind w:left="560"/>
              <w:spacing w:after="0" w:line="182" w:lineRule="exact"/>
              <w:rPr>
                <w:sz w:val="20"/>
                <w:szCs w:val="20"/>
                <w:color w:val="auto"/>
              </w:rPr>
            </w:pPr>
            <w:r>
              <w:rPr>
                <w:rFonts w:ascii="Arial" w:cs="Arial" w:eastAsia="Arial" w:hAnsi="Arial"/>
                <w:sz w:val="18"/>
                <w:szCs w:val="18"/>
                <w:color w:val="auto"/>
                <w:w w:val="85"/>
              </w:rPr>
              <w:t>7.9 Years</w:t>
            </w:r>
          </w:p>
        </w:tc>
        <w:tc>
          <w:tcPr>
            <w:tcW w:w="100" w:type="dxa"/>
            <w:vAlign w:val="bottom"/>
          </w:tcPr>
          <w:p>
            <w:pPr>
              <w:spacing w:after="0"/>
              <w:rPr>
                <w:sz w:val="17"/>
                <w:szCs w:val="17"/>
                <w:color w:val="auto"/>
              </w:rPr>
            </w:pPr>
          </w:p>
        </w:tc>
        <w:tc>
          <w:tcPr>
            <w:tcW w:w="1200" w:type="dxa"/>
            <w:vAlign w:val="bottom"/>
          </w:tcPr>
          <w:p>
            <w:pPr>
              <w:ind w:left="220"/>
              <w:spacing w:after="0" w:line="182" w:lineRule="exact"/>
              <w:rPr>
                <w:sz w:val="20"/>
                <w:szCs w:val="20"/>
                <w:color w:val="auto"/>
              </w:rPr>
            </w:pPr>
            <w:r>
              <w:rPr>
                <w:rFonts w:ascii="Arial" w:cs="Arial" w:eastAsia="Arial" w:hAnsi="Arial"/>
                <w:sz w:val="18"/>
                <w:szCs w:val="18"/>
                <w:color w:val="auto"/>
                <w:w w:val="94"/>
              </w:rPr>
              <w:t>$46.6 million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March 31, 2022</w:t>
            </w:r>
          </w:p>
        </w:tc>
        <w:tc>
          <w:tcPr>
            <w:tcW w:w="27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Grants vested</w:t>
            </w:r>
          </w:p>
        </w:tc>
        <w:tc>
          <w:tcPr>
            <w:tcW w:w="7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933,896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6.64</w:t>
            </w: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ind w:left="560"/>
              <w:spacing w:after="0" w:line="183" w:lineRule="exact"/>
              <w:rPr>
                <w:sz w:val="20"/>
                <w:szCs w:val="20"/>
                <w:color w:val="auto"/>
              </w:rPr>
            </w:pPr>
            <w:r>
              <w:rPr>
                <w:rFonts w:ascii="Arial" w:cs="Arial" w:eastAsia="Arial" w:hAnsi="Arial"/>
                <w:sz w:val="18"/>
                <w:szCs w:val="18"/>
                <w:color w:val="auto"/>
                <w:w w:val="85"/>
              </w:rPr>
              <w:t>7.9 Years</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w w:val="94"/>
              </w:rPr>
              <w:t>$12.7 million</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March 31, 2022</w:t>
            </w:r>
          </w:p>
        </w:tc>
        <w:tc>
          <w:tcPr>
            <w:tcW w:w="2700" w:type="dxa"/>
            <w:vAlign w:val="bottom"/>
          </w:tcPr>
          <w:p>
            <w:pPr>
              <w:ind w:left="120"/>
              <w:spacing w:after="0"/>
              <w:rPr>
                <w:sz w:val="20"/>
                <w:szCs w:val="20"/>
                <w:color w:val="auto"/>
              </w:rPr>
            </w:pPr>
            <w:r>
              <w:rPr>
                <w:rFonts w:ascii="Arial" w:cs="Arial" w:eastAsia="Arial" w:hAnsi="Arial"/>
                <w:sz w:val="18"/>
                <w:szCs w:val="18"/>
                <w:color w:val="auto"/>
              </w:rPr>
              <w:t>Grants unvested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2,508,699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gridSpan w:val="2"/>
          </w:tcPr>
          <w:p>
            <w:pPr>
              <w:jc w:val="right"/>
              <w:ind w:right="101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-750570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2021 Equity Plan</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connection with the IPO, the Company adopted the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and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w:t>
      </w:r>
    </w:p>
    <w:p>
      <w:pPr>
        <w:spacing w:after="0" w:line="5" w:lineRule="exact"/>
        <w:rPr>
          <w:sz w:val="20"/>
          <w:szCs w:val="20"/>
          <w:color w:val="auto"/>
        </w:rPr>
      </w:pPr>
    </w:p>
    <w:p>
      <w:pPr>
        <w:ind w:right="480" w:firstLine="8"/>
        <w:spacing w:after="0" w:line="24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number of shares as determined by the Board of Directors. As of March 31, 2022, 14,315,549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Stock options issued immediately prior to the IPO vest based on two criteria (50% each): (1) Time — awards vest over five years at a rate of 20% per year; and (2) Performance — awards vest based upon a combination of the five year time vesting, subject to the Company’s investors receiving a targeted money-on-money return. Stock options issued after the IPO vest annually, generally over four to five years. Stock options generally expire ten years after the grant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option activity for the three months ended March 31, 2022 is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1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7"/>
              </w:rPr>
              <w:t>December 31, 2021</w:t>
            </w:r>
          </w:p>
        </w:tc>
        <w:tc>
          <w:tcPr>
            <w:tcW w:w="34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Grants outstanding</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3,714,540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15.33</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3420" w:type="dxa"/>
            <w:vAlign w:val="bottom"/>
          </w:tcPr>
          <w:p>
            <w:pPr>
              <w:ind w:left="140"/>
              <w:spacing w:after="0" w:line="202" w:lineRule="exact"/>
              <w:rPr>
                <w:sz w:val="20"/>
                <w:szCs w:val="20"/>
                <w:color w:val="auto"/>
              </w:rPr>
            </w:pPr>
            <w:r>
              <w:rPr>
                <w:rFonts w:ascii="Arial" w:cs="Arial" w:eastAsia="Arial" w:hAnsi="Arial"/>
                <w:sz w:val="18"/>
                <w:szCs w:val="18"/>
                <w:color w:val="auto"/>
              </w:rPr>
              <w:t>Grants issued</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42,950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16.85</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5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March 31, 2022</w:t>
            </w:r>
          </w:p>
        </w:tc>
        <w:tc>
          <w:tcPr>
            <w:tcW w:w="342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Grants outstanding</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3,757,490</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15.35</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ind w:left="560"/>
              <w:spacing w:after="0" w:line="182" w:lineRule="exact"/>
              <w:rPr>
                <w:sz w:val="20"/>
                <w:szCs w:val="20"/>
                <w:color w:val="auto"/>
              </w:rPr>
            </w:pPr>
            <w:r>
              <w:rPr>
                <w:rFonts w:ascii="Arial" w:cs="Arial" w:eastAsia="Arial" w:hAnsi="Arial"/>
                <w:sz w:val="18"/>
                <w:szCs w:val="18"/>
                <w:color w:val="auto"/>
                <w:w w:val="85"/>
              </w:rPr>
              <w:t>9.3 Years</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 million</w:t>
            </w:r>
          </w:p>
        </w:tc>
        <w:tc>
          <w:tcPr>
            <w:tcW w:w="0" w:type="dxa"/>
            <w:vAlign w:val="bottom"/>
          </w:tcPr>
          <w:p>
            <w:pPr>
              <w:spacing w:after="0"/>
              <w:rPr>
                <w:sz w:val="1"/>
                <w:szCs w:val="1"/>
                <w:color w:val="auto"/>
              </w:rPr>
            </w:pPr>
          </w:p>
        </w:tc>
      </w:tr>
      <w:tr>
        <w:trPr>
          <w:trHeight w:val="183"/>
        </w:trPr>
        <w:tc>
          <w:tcPr>
            <w:tcW w:w="1560" w:type="dxa"/>
            <w:vAlign w:val="bottom"/>
          </w:tcPr>
          <w:p>
            <w:pPr>
              <w:spacing w:after="0" w:line="183" w:lineRule="exact"/>
              <w:rPr>
                <w:sz w:val="20"/>
                <w:szCs w:val="20"/>
                <w:color w:val="auto"/>
              </w:rPr>
            </w:pPr>
            <w:r>
              <w:rPr>
                <w:rFonts w:ascii="Arial" w:cs="Arial" w:eastAsia="Arial" w:hAnsi="Arial"/>
                <w:sz w:val="18"/>
                <w:szCs w:val="18"/>
                <w:color w:val="auto"/>
              </w:rPr>
              <w:t>March 31, 2022</w:t>
            </w:r>
          </w:p>
        </w:tc>
        <w:tc>
          <w:tcPr>
            <w:tcW w:w="3420" w:type="dxa"/>
            <w:vAlign w:val="bottom"/>
          </w:tcPr>
          <w:p>
            <w:pPr>
              <w:ind w:left="140"/>
              <w:spacing w:after="0" w:line="183" w:lineRule="exact"/>
              <w:rPr>
                <w:sz w:val="20"/>
                <w:szCs w:val="20"/>
                <w:color w:val="auto"/>
              </w:rPr>
            </w:pPr>
            <w:r>
              <w:rPr>
                <w:rFonts w:ascii="Arial" w:cs="Arial" w:eastAsia="Arial" w:hAnsi="Arial"/>
                <w:sz w:val="18"/>
                <w:szCs w:val="18"/>
                <w:color w:val="auto"/>
              </w:rPr>
              <w:t>Grants vested</w:t>
            </w: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966,835</w:t>
            </w:r>
          </w:p>
        </w:tc>
        <w:tc>
          <w:tcPr>
            <w:tcW w:w="3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8"/>
                <w:szCs w:val="18"/>
                <w:color w:val="auto"/>
              </w:rPr>
              <w:t>15.00</w:t>
            </w:r>
          </w:p>
        </w:tc>
        <w:tc>
          <w:tcPr>
            <w:tcW w:w="160" w:type="dxa"/>
            <w:vAlign w:val="bottom"/>
          </w:tcPr>
          <w:p>
            <w:pPr>
              <w:spacing w:after="0"/>
              <w:rPr>
                <w:sz w:val="15"/>
                <w:szCs w:val="15"/>
                <w:color w:val="auto"/>
              </w:rPr>
            </w:pPr>
          </w:p>
        </w:tc>
        <w:tc>
          <w:tcPr>
            <w:tcW w:w="1240" w:type="dxa"/>
            <w:vAlign w:val="bottom"/>
          </w:tcPr>
          <w:p>
            <w:pPr>
              <w:ind w:left="560"/>
              <w:spacing w:after="0" w:line="183" w:lineRule="exact"/>
              <w:rPr>
                <w:sz w:val="20"/>
                <w:szCs w:val="20"/>
                <w:color w:val="auto"/>
              </w:rPr>
            </w:pPr>
            <w:r>
              <w:rPr>
                <w:rFonts w:ascii="Arial" w:cs="Arial" w:eastAsia="Arial" w:hAnsi="Arial"/>
                <w:sz w:val="18"/>
                <w:szCs w:val="18"/>
                <w:color w:val="auto"/>
                <w:w w:val="85"/>
              </w:rPr>
              <w:t>9.2 Years</w:t>
            </w:r>
          </w:p>
        </w:tc>
        <w:tc>
          <w:tcPr>
            <w:tcW w:w="1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$5.0 million</w:t>
            </w:r>
          </w:p>
        </w:tc>
        <w:tc>
          <w:tcPr>
            <w:tcW w:w="0" w:type="dxa"/>
            <w:vAlign w:val="bottom"/>
          </w:tcPr>
          <w:p>
            <w:pPr>
              <w:spacing w:after="0"/>
              <w:rPr>
                <w:sz w:val="1"/>
                <w:szCs w:val="1"/>
                <w:color w:val="auto"/>
              </w:rPr>
            </w:pPr>
          </w:p>
        </w:tc>
      </w:tr>
      <w:tr>
        <w:trPr>
          <w:trHeight w:val="203"/>
        </w:trPr>
        <w:tc>
          <w:tcPr>
            <w:tcW w:w="1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March 31, 2022</w:t>
            </w: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Grants unvested</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2,790,655</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15.47</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-281940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-264795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fair value for stock options granted for the three months ended March 31, 2022 was estimated at the date of grant using the Black-Scholes option-pricing model with the following weighed average assumptions: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Options</w:t>
            </w:r>
          </w:p>
        </w:tc>
      </w:tr>
      <w:tr>
        <w:trPr>
          <w:trHeight w:val="196"/>
        </w:trPr>
        <w:tc>
          <w:tcPr>
            <w:tcW w:w="6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stock price volatility</w:t>
            </w:r>
          </w:p>
        </w:tc>
        <w:tc>
          <w:tcPr>
            <w:tcW w:w="48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34.36 %</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2.13 %</w:t>
            </w:r>
          </w:p>
        </w:tc>
      </w:tr>
      <w:tr>
        <w:trPr>
          <w:trHeight w:val="203"/>
        </w:trPr>
        <w:tc>
          <w:tcPr>
            <w:tcW w:w="6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480" w:type="dxa"/>
            <w:vAlign w:val="bottom"/>
            <w:shd w:val="clear" w:color="auto" w:fill="CFF0FC"/>
          </w:tcPr>
          <w:p>
            <w:pPr>
              <w:spacing w:after="0"/>
              <w:rPr>
                <w:sz w:val="17"/>
                <w:szCs w:val="17"/>
                <w:color w:val="auto"/>
              </w:rPr>
            </w:pPr>
          </w:p>
        </w:tc>
        <w:tc>
          <w:tcPr>
            <w:tcW w:w="2000" w:type="dxa"/>
            <w:vAlign w:val="bottom"/>
            <w:shd w:val="clear" w:color="auto" w:fill="CFF0FC"/>
          </w:tcPr>
          <w:p>
            <w:pPr>
              <w:jc w:val="right"/>
              <w:ind w:right="174"/>
              <w:spacing w:after="0" w:line="202" w:lineRule="exact"/>
              <w:rPr>
                <w:sz w:val="20"/>
                <w:szCs w:val="20"/>
                <w:color w:val="auto"/>
              </w:rPr>
            </w:pPr>
            <w:r>
              <w:rPr>
                <w:rFonts w:ascii="Arial" w:cs="Arial" w:eastAsia="Arial" w:hAnsi="Arial"/>
                <w:sz w:val="18"/>
                <w:szCs w:val="18"/>
                <w:color w:val="auto"/>
              </w:rPr>
              <w:t>6.0</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16.85</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(“RSU”) vest annually, generally over three to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for the three months ended March 31, 2022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80" w:type="dxa"/>
            <w:vAlign w:val="bottom"/>
            <w:gridSpan w:val="2"/>
          </w:tcPr>
          <w:p>
            <w:pPr>
              <w:jc w:val="right"/>
              <w:ind w:right="114"/>
              <w:spacing w:after="0" w:line="149" w:lineRule="exact"/>
              <w:rPr>
                <w:sz w:val="20"/>
                <w:szCs w:val="20"/>
                <w:color w:val="auto"/>
              </w:rPr>
            </w:pPr>
            <w:r>
              <w:rPr>
                <w:rFonts w:ascii="Arial" w:cs="Arial" w:eastAsia="Arial" w:hAnsi="Arial"/>
                <w:sz w:val="14"/>
                <w:szCs w:val="14"/>
                <w:b w:val="1"/>
                <w:bCs w:val="1"/>
                <w:color w:val="auto"/>
              </w:rPr>
              <w:t>Grant 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8"/>
              </w:rPr>
              <w:t>December 31, 2021</w:t>
            </w:r>
          </w:p>
        </w:tc>
        <w:tc>
          <w:tcPr>
            <w:tcW w:w="2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Nonvested RSUs</w:t>
            </w:r>
          </w:p>
        </w:tc>
        <w:tc>
          <w:tcPr>
            <w:tcW w:w="34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340,875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4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15,528</w:t>
            </w:r>
          </w:p>
        </w:tc>
        <w:tc>
          <w:tcPr>
            <w:tcW w:w="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16.85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34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80" w:type="dxa"/>
            <w:vAlign w:val="bottom"/>
          </w:tcPr>
          <w:p>
            <w:pPr>
              <w:spacing w:after="0" w:line="182" w:lineRule="exact"/>
              <w:rPr>
                <w:sz w:val="20"/>
                <w:szCs w:val="20"/>
                <w:color w:val="auto"/>
              </w:rPr>
            </w:pPr>
            <w:r>
              <w:rPr>
                <w:rFonts w:ascii="Arial" w:cs="Arial" w:eastAsia="Arial" w:hAnsi="Arial"/>
                <w:sz w:val="18"/>
                <w:szCs w:val="18"/>
                <w:color w:val="auto"/>
              </w:rPr>
              <w:t>March 31, 2022</w:t>
            </w:r>
          </w:p>
        </w:tc>
        <w:tc>
          <w:tcPr>
            <w:tcW w:w="2380" w:type="dxa"/>
            <w:vAlign w:val="bottom"/>
          </w:tcPr>
          <w:p>
            <w:pPr>
              <w:ind w:left="180"/>
              <w:spacing w:after="0" w:line="182" w:lineRule="exact"/>
              <w:rPr>
                <w:sz w:val="20"/>
                <w:szCs w:val="20"/>
                <w:color w:val="auto"/>
              </w:rPr>
            </w:pPr>
            <w:r>
              <w:rPr>
                <w:rFonts w:ascii="Arial" w:cs="Arial" w:eastAsia="Arial" w:hAnsi="Arial"/>
                <w:sz w:val="18"/>
                <w:szCs w:val="18"/>
                <w:color w:val="auto"/>
              </w:rPr>
              <w:t>Nonvested RSUs</w:t>
            </w:r>
          </w:p>
        </w:tc>
        <w:tc>
          <w:tcPr>
            <w:tcW w:w="4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356,403</w:t>
            </w:r>
          </w:p>
        </w:tc>
        <w:tc>
          <w:tcPr>
            <w:tcW w:w="3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17.17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40" w:type="dxa"/>
            <w:vAlign w:val="bottom"/>
            <w:vMerge w:val="restart"/>
          </w:tcPr>
          <w:p>
            <w:pPr>
              <w:jc w:val="right"/>
              <w:ind w:right="2170"/>
              <w:spacing w:after="0"/>
              <w:rPr>
                <w:sz w:val="20"/>
                <w:szCs w:val="20"/>
                <w:color w:val="auto"/>
              </w:rPr>
            </w:pPr>
            <w:r>
              <w:rPr>
                <w:rFonts w:ascii="Arial" w:cs="Arial" w:eastAsia="Arial" w:hAnsi="Arial"/>
                <w:sz w:val="18"/>
                <w:szCs w:val="18"/>
                <w:color w:val="auto"/>
              </w:rPr>
              <w:t>16</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-493395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 A summary of the restricted stock activity for the three months ended March 31, 2022 is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80" w:type="dxa"/>
            <w:vAlign w:val="bottom"/>
            <w:gridSpan w:val="2"/>
          </w:tcPr>
          <w:p>
            <w:pPr>
              <w:jc w:val="center"/>
              <w:ind w:right="34"/>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1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8"/>
              </w:rPr>
              <w:t>December 31, 2021</w:t>
            </w:r>
          </w:p>
        </w:tc>
        <w:tc>
          <w:tcPr>
            <w:tcW w:w="57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Nonvested restricted stock</w:t>
            </w:r>
          </w:p>
        </w:tc>
        <w:tc>
          <w:tcPr>
            <w:tcW w:w="13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2,613,359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8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80" w:type="dxa"/>
            <w:vAlign w:val="bottom"/>
            <w:tcBorders>
              <w:bottom w:val="single" w:sz="8" w:color="CFF0FC"/>
            </w:tcBorders>
            <w:shd w:val="clear" w:color="auto" w:fill="CFF0FC"/>
          </w:tcPr>
          <w:p>
            <w:pPr>
              <w:spacing w:after="0"/>
              <w:rPr>
                <w:sz w:val="17"/>
                <w:szCs w:val="17"/>
                <w:color w:val="auto"/>
              </w:rPr>
            </w:pPr>
          </w:p>
        </w:tc>
        <w:tc>
          <w:tcPr>
            <w:tcW w:w="57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Vested</w:t>
            </w: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(332,059 )</w:t>
            </w:r>
          </w:p>
        </w:tc>
        <w:tc>
          <w:tcPr>
            <w:tcW w:w="380" w:type="dxa"/>
            <w:vAlign w:val="bottom"/>
            <w:tcBorders>
              <w:bottom w:val="single" w:sz="8" w:color="CFF0FC"/>
            </w:tcBorders>
            <w:gridSpan w:val="2"/>
            <w:shd w:val="clear" w:color="auto" w:fill="CFF0FC"/>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96"/>
        </w:trPr>
        <w:tc>
          <w:tcPr>
            <w:tcW w:w="1580" w:type="dxa"/>
            <w:vAlign w:val="bottom"/>
          </w:tcPr>
          <w:p>
            <w:pPr>
              <w:spacing w:after="0" w:line="182" w:lineRule="exact"/>
              <w:rPr>
                <w:sz w:val="20"/>
                <w:szCs w:val="20"/>
                <w:color w:val="auto"/>
              </w:rPr>
            </w:pPr>
            <w:r>
              <w:rPr>
                <w:rFonts w:ascii="Arial" w:cs="Arial" w:eastAsia="Arial" w:hAnsi="Arial"/>
                <w:sz w:val="18"/>
                <w:szCs w:val="18"/>
                <w:color w:val="auto"/>
              </w:rPr>
              <w:t>March 31, 2022</w:t>
            </w:r>
          </w:p>
        </w:tc>
        <w:tc>
          <w:tcPr>
            <w:tcW w:w="5780" w:type="dxa"/>
            <w:vAlign w:val="bottom"/>
          </w:tcPr>
          <w:p>
            <w:pPr>
              <w:ind w:left="160"/>
              <w:spacing w:after="0" w:line="182" w:lineRule="exact"/>
              <w:rPr>
                <w:sz w:val="20"/>
                <w:szCs w:val="20"/>
                <w:color w:val="auto"/>
              </w:rPr>
            </w:pPr>
            <w:r>
              <w:rPr>
                <w:rFonts w:ascii="Arial" w:cs="Arial" w:eastAsia="Arial" w:hAnsi="Arial"/>
                <w:sz w:val="18"/>
                <w:szCs w:val="18"/>
                <w:color w:val="auto"/>
              </w:rPr>
              <w:t>Nonvested restricted stock</w:t>
            </w:r>
          </w:p>
        </w:tc>
        <w:tc>
          <w:tcPr>
            <w:tcW w:w="134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rPr>
              <w:t>2,281,300</w:t>
            </w:r>
          </w:p>
        </w:tc>
        <w:tc>
          <w:tcPr>
            <w:tcW w:w="380" w:type="dxa"/>
            <w:vAlign w:val="bottom"/>
            <w:gridSpan w:val="2"/>
          </w:tcPr>
          <w:p>
            <w:pPr>
              <w:jc w:val="right"/>
              <w:ind w:right="82"/>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March 31, 2022, the Company had approximately $35.3 million of unrecognized pre-tax noncash compensation expense, comprised of approximately $8.6 million related to restricted stock, $5.5 million related to restricted stock units, and approximately $21.2 million related to stock options, which the Company expects to recognize over a weighted average period of 3.5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5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will be one six-month purchase period, which will have the same duration and coincide with the length of the offering period. During the holding period, ESPP purchased shares are not eligible for sale or broker transfer. No purchases have been made under the ESPP as of March 31,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class of stock.</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June 11, 2021, the Company’s Board of Directors approved and made effective a 1,300,000-for-one stock split of the Company’s common stock and filed an Amended and Restated Certificate of Incorporation, which authorized a total of 1,000,000,000 shares of Common Stock, $0.001 par value per share and 250,000,000 shares of Preferred Stock, par value $0.001 per share (the “Preferred Stock”). The par value per share of common stock remained unchanged at $0.001 per share. Authorized shares were increased from 10,000 shares to 1,000,000,000 shares. The condensed consolidated financial statements and accompanying notes give retroactive effect to the stock split for all periods presented. After giving retroactive effect to the stock split, as of December 31, 2020, 130,000,000 shares of common stock were issued and outstanding.</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connection with the IPO, Fastball Holdco, L.P., the Company’s parent, was dissolved and all outstanding Class A LP Units, Class B LP Units, and Class C LP Units of Fastball Holdco, L.P. were exchanged for 130,000,000 shares of the Company’s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 preferred stock had been issued and 152,982,128 shares of common stock were issued and outstanding.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Except for certain changes to our lease agreements discussed in Note 13, there have been no material changes to the Company’s contractual obligations as compared to December 31, 2021.</w:t>
      </w:r>
    </w:p>
    <w:p>
      <w:pPr>
        <w:spacing w:after="0" w:line="11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in litigation from time to time in the ordinary course of business. At times, the Company, given the nature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screening business, could become subject to lawsuits, or potential class action lawsuits, in multiple jurisdictions, related to claims brought primarily by consumers or individuals who were the subject of its screening services.</w:t>
      </w:r>
    </w:p>
    <w:p>
      <w:pPr>
        <w:spacing w:after="0" w:line="12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For all pending matters, the Company believes it has meritorious defenses and intends to defend vigorously or otherwise seek indemnification from other parties as appropriate. However, the Company has recorded a liability of $2.5 million and $7.9 million at March 31, 2022 and December 31, 2021, respectively, for matters that it believes a loss is both probable and estimable. This is included in accrued liabilities in the accompanying condensed consolidated balance sheets.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2022, the Company settled and paid $5.5 million related to a settlement agreement the parties had agreed upon in April 2020 and was approved by the court in December 2021. In March 2022, the Company received a recovery of $2.2 million, which represented the portion of the legal settlement and legal fees incurred by the Company and recoverable from the Company’s insurers related to this case.</w:t>
      </w:r>
    </w:p>
    <w:p>
      <w:pPr>
        <w:spacing w:after="0" w:line="12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Effective January 1, 2022 the Company adopted ASC 842, which requires recognition of right of use (“ROU”) assets and lease liabilities on the balance sheet, based on the present value of the future minimum rental payments for existing operating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2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measures the ROU assets and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The ROU assets are adjusted for any initial direct costs incurred less any lease incentives received, in addition to payments made on or before the commencement date of the lease. The Company recognizes lease expense for leases on a straight-line basis over the lease term.</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implicit rate is not readily determinable for most of the Company’s lease agreements, the Company uses an estimated incremental borrowing rate to determine the initial present value of lease payments.</w:t>
      </w:r>
    </w:p>
    <w:p>
      <w:pPr>
        <w:spacing w:after="0" w:line="117"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8 years with a majority of the Company’s lease terms ranging from 3 to 5 years.</w:t>
      </w:r>
    </w:p>
    <w:p>
      <w:pPr>
        <w:spacing w:after="0" w:line="128"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Some leases include one or more options to renew, with renewal terms that can extend the lease term from 1 to 5 years or more. The exercise of these lease renewal options is at the Company’s sole discretion. The depreciable life of assets and leasehold improvements are limited by the expected lease term.</w:t>
      </w:r>
    </w:p>
    <w:p>
      <w:pPr>
        <w:spacing w:after="0" w:line="7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components of lease costs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230"/>
              <w:spacing w:after="0" w:line="149" w:lineRule="exact"/>
              <w:rPr>
                <w:sz w:val="20"/>
                <w:szCs w:val="20"/>
                <w:color w:val="auto"/>
              </w:rPr>
            </w:pPr>
            <w:r>
              <w:rPr>
                <w:rFonts w:ascii="Arial" w:cs="Arial" w:eastAsia="Arial" w:hAnsi="Arial"/>
                <w:sz w:val="14"/>
                <w:szCs w:val="14"/>
                <w:b w:val="1"/>
                <w:bCs w:val="1"/>
                <w:color w:val="auto"/>
                <w:w w:val="98"/>
              </w:rPr>
              <w:t>Ended</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 2022</w:t>
            </w:r>
          </w:p>
        </w:tc>
        <w:tc>
          <w:tcPr>
            <w:tcW w:w="9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costs</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Fixed</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3"/>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1,759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2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Short-term</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Variable</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costs</w:t>
            </w:r>
          </w:p>
        </w:tc>
        <w:tc>
          <w:tcPr>
            <w:tcW w:w="15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Finance lease costs</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Amortization of leased assets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3"/>
          </w:tcPr>
          <w:p>
            <w:pPr>
              <w:jc w:val="right"/>
              <w:ind w:right="236"/>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on lease liabilities</w:t>
            </w:r>
          </w:p>
        </w:tc>
        <w:tc>
          <w:tcPr>
            <w:tcW w:w="15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finance lease costs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3"/>
          </w:tcPr>
          <w:p>
            <w:pPr>
              <w:jc w:val="right"/>
              <w:ind w:right="236"/>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280"/>
              <w:spacing w:after="0" w:line="182" w:lineRule="exact"/>
              <w:rPr>
                <w:sz w:val="20"/>
                <w:szCs w:val="20"/>
                <w:color w:val="auto"/>
              </w:rPr>
            </w:pPr>
            <w:r>
              <w:rPr>
                <w:rFonts w:ascii="Arial" w:cs="Arial" w:eastAsia="Arial" w:hAnsi="Arial"/>
                <w:sz w:val="18"/>
                <w:szCs w:val="18"/>
                <w:color w:val="auto"/>
              </w:rPr>
              <w:t>Total lease cost</w:t>
            </w:r>
          </w:p>
        </w:tc>
        <w:tc>
          <w:tcPr>
            <w:tcW w:w="15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6"/>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2,044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10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is as follows (in thousands):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March 31, 2022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Right of use operating lease assets</w:t>
            </w:r>
          </w:p>
        </w:tc>
        <w:tc>
          <w:tcPr>
            <w:tcW w:w="2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16,060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Property and equipment, gross</w:t>
            </w:r>
          </w:p>
        </w:tc>
        <w:tc>
          <w:tcPr>
            <w:tcW w:w="2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8"/>
              </w:rPr>
              <w:t>Property and equipment, net</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5,100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Accumulated depreciation</w:t>
            </w:r>
          </w:p>
        </w:tc>
        <w:tc>
          <w:tcPr>
            <w:tcW w:w="228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8"/>
              </w:rPr>
              <w:t>Property and equipment, net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(4,517 )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2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8"/>
              </w:rPr>
              <w:t>Property and equipment, net</w:t>
            </w:r>
          </w:p>
        </w:tc>
        <w:tc>
          <w:tcPr>
            <w:tcW w:w="6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583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lease assets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3"/>
          </w:tcPr>
          <w:p>
            <w:pPr>
              <w:jc w:val="right"/>
              <w:ind w:right="19"/>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182" w:lineRule="exact"/>
              <w:rPr>
                <w:sz w:val="20"/>
                <w:szCs w:val="20"/>
                <w:color w:val="auto"/>
              </w:rPr>
            </w:pPr>
            <w:r>
              <w:rPr>
                <w:rFonts w:ascii="Arial" w:cs="Arial" w:eastAsia="Arial" w:hAnsi="Arial"/>
                <w:sz w:val="18"/>
                <w:szCs w:val="18"/>
                <w:color w:val="auto"/>
              </w:rPr>
              <w:t>16,643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current</w:t>
            </w:r>
          </w:p>
        </w:tc>
        <w:tc>
          <w:tcPr>
            <w:tcW w:w="352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Current portion of operating lease liability</w:t>
            </w:r>
          </w:p>
        </w:tc>
        <w:tc>
          <w:tcPr>
            <w:tcW w:w="880" w:type="dxa"/>
            <w:vAlign w:val="bottom"/>
            <w:gridSpan w:val="3"/>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6,253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Non-current</w:t>
            </w:r>
          </w:p>
        </w:tc>
        <w:tc>
          <w:tcPr>
            <w:tcW w:w="3520" w:type="dxa"/>
            <w:vAlign w:val="bottom"/>
            <w:tcBorders>
              <w:bottom w:val="single" w:sz="8" w:color="CFF0FC"/>
            </w:tcBorders>
            <w:gridSpan w:val="6"/>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Operating lease liability, less current portion</w:t>
            </w: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11,583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operating liabilities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17,836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current</w:t>
            </w:r>
          </w:p>
        </w:tc>
        <w:tc>
          <w:tcPr>
            <w:tcW w:w="2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684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Non-current</w:t>
            </w:r>
          </w:p>
        </w:tc>
        <w:tc>
          <w:tcPr>
            <w:tcW w:w="22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finance liabilities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751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280"/>
              <w:spacing w:after="0" w:line="182" w:lineRule="exact"/>
              <w:rPr>
                <w:sz w:val="20"/>
                <w:szCs w:val="20"/>
                <w:color w:val="auto"/>
              </w:rPr>
            </w:pPr>
            <w:r>
              <w:rPr>
                <w:rFonts w:ascii="Arial" w:cs="Arial" w:eastAsia="Arial" w:hAnsi="Arial"/>
                <w:sz w:val="18"/>
                <w:szCs w:val="18"/>
                <w:color w:val="auto"/>
              </w:rPr>
              <w:t>Total lease liabilities</w:t>
            </w:r>
          </w:p>
        </w:tc>
        <w:tc>
          <w:tcPr>
            <w:tcW w:w="15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18,587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820" w:type="dxa"/>
            <w:vAlign w:val="bottom"/>
            <w:gridSpan w:val="3"/>
          </w:tcPr>
          <w:p>
            <w:pPr>
              <w:spacing w:after="0"/>
              <w:rPr>
                <w:sz w:val="20"/>
                <w:szCs w:val="20"/>
                <w:color w:val="auto"/>
              </w:rPr>
            </w:pPr>
            <w:r>
              <w:rPr>
                <w:rFonts w:ascii="Arial" w:cs="Arial" w:eastAsia="Arial" w:hAnsi="Arial"/>
                <w:sz w:val="18"/>
                <w:szCs w:val="18"/>
                <w:color w:val="auto"/>
              </w:rPr>
              <w:t>Maturities of lease liabilities are as follows (in thousands):</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500" w:type="dxa"/>
            <w:vAlign w:val="bottom"/>
          </w:tcPr>
          <w:p>
            <w:pPr>
              <w:spacing w:after="0"/>
              <w:rPr>
                <w:sz w:val="24"/>
                <w:szCs w:val="24"/>
                <w:color w:val="auto"/>
              </w:rPr>
            </w:pPr>
          </w:p>
        </w:tc>
        <w:tc>
          <w:tcPr>
            <w:tcW w:w="14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Finance Leases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vMerge w:val="restart"/>
          </w:tcPr>
          <w:p>
            <w:pPr>
              <w:jc w:val="right"/>
              <w:ind w:right="99"/>
              <w:spacing w:after="0"/>
              <w:rPr>
                <w:sz w:val="20"/>
                <w:szCs w:val="20"/>
                <w:color w:val="auto"/>
              </w:rPr>
            </w:pPr>
            <w:r>
              <w:rPr>
                <w:rFonts w:ascii="Arial" w:cs="Arial" w:eastAsia="Arial" w:hAnsi="Arial"/>
                <w:sz w:val="14"/>
                <w:szCs w:val="14"/>
                <w:b w:val="1"/>
                <w:bCs w:val="1"/>
                <w:color w:val="auto"/>
                <w:w w:val="93"/>
              </w:rPr>
              <w:t>Operating Leases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w w:val="92"/>
              </w:rPr>
              <w:t>2022 (excluding the three months ended March 31, 2022)</w:t>
            </w: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606</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9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5,722</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6,328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3"/>
          </w:tcPr>
          <w:p>
            <w:pPr>
              <w:jc w:val="right"/>
              <w:ind w:right="19"/>
              <w:spacing w:after="0" w:line="202" w:lineRule="exact"/>
              <w:rPr>
                <w:sz w:val="20"/>
                <w:szCs w:val="20"/>
                <w:color w:val="auto"/>
              </w:rPr>
            </w:pPr>
            <w:r>
              <w:rPr>
                <w:rFonts w:ascii="Arial" w:cs="Arial" w:eastAsia="Arial" w:hAnsi="Arial"/>
                <w:sz w:val="18"/>
                <w:szCs w:val="18"/>
                <w:color w:val="auto"/>
              </w:rPr>
              <w:t>5,840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5,946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5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4,995</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3"/>
          </w:tcPr>
          <w:p>
            <w:pPr>
              <w:jc w:val="right"/>
              <w:ind w:right="19"/>
              <w:spacing w:after="0" w:line="202" w:lineRule="exact"/>
              <w:rPr>
                <w:sz w:val="20"/>
                <w:szCs w:val="20"/>
                <w:color w:val="auto"/>
              </w:rPr>
            </w:pPr>
            <w:r>
              <w:rPr>
                <w:rFonts w:ascii="Arial" w:cs="Arial" w:eastAsia="Arial" w:hAnsi="Arial"/>
                <w:sz w:val="18"/>
                <w:szCs w:val="18"/>
                <w:color w:val="auto"/>
              </w:rPr>
              <w:t>1,708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1,708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5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1,236</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19"/>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minimum lease payments</w:t>
            </w:r>
          </w:p>
        </w:tc>
        <w:tc>
          <w:tcPr>
            <w:tcW w:w="2280" w:type="dxa"/>
            <w:vAlign w:val="bottom"/>
            <w:tcBorders>
              <w:bottom w:val="single" w:sz="8" w:color="CFF0FC"/>
            </w:tcBorders>
            <w:gridSpan w:val="2"/>
            <w:shd w:val="clear" w:color="auto" w:fill="CFF0FC"/>
          </w:tcPr>
          <w:p>
            <w:pPr>
              <w:ind w:left="1520"/>
              <w:spacing w:after="0" w:line="18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712</w:t>
            </w:r>
          </w:p>
        </w:tc>
        <w:tc>
          <w:tcPr>
            <w:tcW w:w="620" w:type="dxa"/>
            <w:vAlign w:val="bottom"/>
            <w:tcBorders>
              <w:bottom w:val="single" w:sz="8" w:color="CFF0FC"/>
            </w:tcBorders>
            <w:gridSpan w:val="3"/>
            <w:shd w:val="clear" w:color="auto" w:fill="CFF0FC"/>
          </w:tcPr>
          <w:p>
            <w:pPr>
              <w:jc w:val="right"/>
              <w:ind w:right="296"/>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gridSpan w:val="3"/>
            <w:shd w:val="clear" w:color="auto" w:fill="CFF0FC"/>
          </w:tcPr>
          <w:p>
            <w:pPr>
              <w:jc w:val="right"/>
              <w:ind w:right="19"/>
              <w:spacing w:after="0" w:line="182" w:lineRule="exact"/>
              <w:rPr>
                <w:sz w:val="20"/>
                <w:szCs w:val="20"/>
                <w:color w:val="auto"/>
              </w:rPr>
            </w:pPr>
            <w:r>
              <w:rPr>
                <w:rFonts w:ascii="Arial" w:cs="Arial" w:eastAsia="Arial" w:hAnsi="Arial"/>
                <w:sz w:val="18"/>
                <w:szCs w:val="18"/>
                <w:color w:val="auto"/>
              </w:rPr>
              <w:t>19,898</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20,610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24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Less: Imputed interest</w:t>
            </w:r>
          </w:p>
        </w:tc>
        <w:tc>
          <w:tcPr>
            <w:tcW w:w="15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(18 )</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8"/>
                <w:szCs w:val="18"/>
                <w:color w:val="auto"/>
              </w:rPr>
              <w:t>(1,465 )</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Present value of minimum lease payments</w:t>
            </w:r>
          </w:p>
        </w:tc>
        <w:tc>
          <w:tcPr>
            <w:tcW w:w="15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694</w:t>
            </w: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gridSpan w:val="2"/>
            <w:shd w:val="clear" w:color="auto" w:fill="CFF0FC"/>
          </w:tcPr>
          <w:p>
            <w:pPr>
              <w:jc w:val="right"/>
              <w:ind w:right="29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18,433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ind w:left="72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-359410</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-342265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ind w:right="380"/>
        <w:spacing w:after="0" w:line="261" w:lineRule="auto"/>
        <w:rPr>
          <w:sz w:val="20"/>
          <w:szCs w:val="20"/>
          <w:color w:val="auto"/>
        </w:rPr>
      </w:pPr>
      <w:r>
        <w:rPr>
          <w:rFonts w:ascii="Arial" w:cs="Arial" w:eastAsia="Arial" w:hAnsi="Arial"/>
          <w:sz w:val="18"/>
          <w:szCs w:val="18"/>
          <w:color w:val="auto"/>
        </w:rPr>
        <w:t>For additional information regarding the Company’s Commitments and Contingencies as of December 31, 2021 as disclosed for capital and operating leases, see Note 12 in its 2021 Annual Report filed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Lease term and discount rates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March 31, 2022</w:t>
            </w:r>
          </w:p>
        </w:tc>
      </w:tr>
      <w:tr>
        <w:trPr>
          <w:trHeight w:val="196"/>
        </w:trPr>
        <w:tc>
          <w:tcPr>
            <w:tcW w:w="580" w:type="dxa"/>
            <w:vAlign w:val="bottom"/>
          </w:tcPr>
          <w:p>
            <w:pPr>
              <w:spacing w:after="0"/>
              <w:rPr>
                <w:sz w:val="17"/>
                <w:szCs w:val="17"/>
                <w:color w:val="auto"/>
              </w:rPr>
            </w:pPr>
          </w:p>
        </w:tc>
        <w:tc>
          <w:tcPr>
            <w:tcW w:w="8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3.26 Years</w:t>
            </w: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0.91 Years</w:t>
            </w:r>
          </w:p>
        </w:tc>
      </w:tr>
      <w:tr>
        <w:trPr>
          <w:trHeight w:val="203"/>
        </w:trPr>
        <w:tc>
          <w:tcPr>
            <w:tcW w:w="58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w:t>
            </w:r>
          </w:p>
        </w:tc>
      </w:tr>
      <w:tr>
        <w:trPr>
          <w:trHeight w:val="378"/>
        </w:trPr>
        <w:tc>
          <w:tcPr>
            <w:tcW w:w="89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8"/>
        </w:trPr>
        <w:tc>
          <w:tcPr>
            <w:tcW w:w="5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235"/>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58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58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March 31, 2022</w:t>
            </w:r>
          </w:p>
        </w:tc>
      </w:tr>
      <w:tr>
        <w:trPr>
          <w:trHeight w:val="196"/>
        </w:trPr>
        <w:tc>
          <w:tcPr>
            <w:tcW w:w="580" w:type="dxa"/>
            <w:vAlign w:val="bottom"/>
          </w:tcPr>
          <w:p>
            <w:pPr>
              <w:spacing w:after="0"/>
              <w:rPr>
                <w:sz w:val="17"/>
                <w:szCs w:val="17"/>
                <w:color w:val="auto"/>
              </w:rPr>
            </w:pPr>
          </w:p>
        </w:tc>
        <w:tc>
          <w:tcPr>
            <w:tcW w:w="8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in measurement of lease liabilities: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580" w:type="dxa"/>
            <w:vAlign w:val="bottom"/>
          </w:tcPr>
          <w:p>
            <w:pPr>
              <w:spacing w:after="0"/>
              <w:rPr>
                <w:sz w:val="17"/>
                <w:szCs w:val="17"/>
                <w:color w:val="auto"/>
              </w:rPr>
            </w:pPr>
          </w:p>
        </w:tc>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from finance leases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17,737</w:t>
            </w: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Finance leases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 xml:space="preserve">Amortization of right-of-use operating lease assets </w:t>
            </w:r>
            <w:r>
              <w:rPr>
                <w:rFonts w:ascii="Arial" w:cs="Arial" w:eastAsia="Arial" w:hAnsi="Arial"/>
                <w:sz w:val="23"/>
                <w:szCs w:val="23"/>
                <w:color w:val="auto"/>
                <w:vertAlign w:val="superscript"/>
              </w:rPr>
              <w:t>(1)</w:t>
            </w:r>
          </w:p>
        </w:tc>
        <w:tc>
          <w:tcPr>
            <w:tcW w:w="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1,585</w:t>
            </w:r>
          </w:p>
        </w:tc>
      </w:tr>
    </w:tbl>
    <w:p>
      <w:pPr>
        <w:spacing w:after="0" w:line="29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Amortization of right of use operating lease assets during the period is reflected in operating lease liabilities on the condensed consolidated statements of cash flows.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related party transactions.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Net Income (Loss) Per Share</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did not have any potentially dilutive securities during the three months ended March 31, 2021. Basic and diluted net income (loss) per share was calculated as follows:</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center"/>
              <w:ind w:right="296"/>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center"/>
              <w:ind w:right="336"/>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5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4"/>
              </w:rPr>
              <w:t>March 31, 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Basic net income (loss) per share</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(0.15 )</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Diluted net income (loss) per share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(0.15 )</w:t>
            </w:r>
          </w:p>
        </w:tc>
      </w:tr>
      <w:tr>
        <w:trPr>
          <w:trHeight w:val="203"/>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Net income (loss) (in thousands)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13,013</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(19,389 )</w:t>
            </w:r>
          </w:p>
        </w:tc>
      </w:tr>
      <w:tr>
        <w:trPr>
          <w:trHeight w:val="203"/>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150,538,700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130,000,000</w:t>
            </w:r>
          </w:p>
        </w:tc>
      </w:tr>
      <w:tr>
        <w:trPr>
          <w:trHeight w:val="203"/>
        </w:trPr>
        <w:tc>
          <w:tcPr>
            <w:tcW w:w="5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 stock options to purchase shares and restricted stock units</w:t>
            </w:r>
          </w:p>
        </w:tc>
        <w:tc>
          <w:tcPr>
            <w:tcW w:w="3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1,810,106</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196"/>
        </w:trPr>
        <w:tc>
          <w:tcPr>
            <w:tcW w:w="5880" w:type="dxa"/>
            <w:vAlign w:val="bottom"/>
          </w:tcPr>
          <w:p>
            <w:pPr>
              <w:spacing w:after="0" w:line="196" w:lineRule="exact"/>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152,348,806</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130,000,000</w:t>
            </w: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-159385</wp:posOffset>
            </wp:positionV>
            <wp:extent cx="10287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2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For the three months ended March 31, 2022, 2,099,781 stock options were excluded from the calculation of diluted net income (loss) per share because their effect was anti-dilutive.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16. Reportable Segments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the first quarter of 2022, the Company made organizational changes and modified additional information provided to its CODM to better align with how its CODM assesses performance and allocates resources. As a result, we have two reportable segments, Americas and International. Our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5"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 xml:space="preserve">The segment financial information below aligns with how we report information to our CODM to assess operating performance and how the Company manages the business. Corporate </w:t>
      </w:r>
      <w:r>
        <w:rPr>
          <w:rFonts w:ascii="Arial" w:cs="Arial" w:eastAsia="Arial" w:hAnsi="Arial"/>
          <w:sz w:val="16"/>
          <w:szCs w:val="16"/>
          <w:color w:val="auto"/>
        </w:rPr>
        <w:t>costs are generally allocated to the segments based upon estimated revenues levels and other assumptions that management</w:t>
      </w:r>
      <w:r>
        <w:rPr>
          <w:rFonts w:ascii="Arial" w:cs="Arial" w:eastAsia="Arial" w:hAnsi="Arial"/>
          <w:sz w:val="17"/>
          <w:szCs w:val="17"/>
          <w:color w:val="auto"/>
        </w:rPr>
        <w:t xml:space="preserve"> </w:t>
      </w:r>
      <w:r>
        <w:rPr>
          <w:rFonts w:ascii="Arial" w:cs="Arial" w:eastAsia="Arial" w:hAnsi="Arial"/>
          <w:sz w:val="16"/>
          <w:szCs w:val="16"/>
          <w:color w:val="auto"/>
        </w:rPr>
        <w:t>considers reasonable. The CODM does not review the Company’s assets by segment; therefore, such information is not presented. The accounting policies of the segments are the same as described in Note 2, “Significant Accounting and Reporting Policies” and Note 9,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two reportable segments:</w:t>
      </w:r>
    </w:p>
    <w:p>
      <w:pPr>
        <w:spacing w:after="0" w:line="158" w:lineRule="exact"/>
        <w:rPr>
          <w:sz w:val="20"/>
          <w:szCs w:val="20"/>
          <w:color w:val="auto"/>
        </w:rPr>
      </w:pPr>
    </w:p>
    <w:p>
      <w:pPr>
        <w:ind w:left="520" w:right="20"/>
        <w:spacing w:after="0" w:line="243" w:lineRule="auto"/>
        <w:rPr>
          <w:sz w:val="20"/>
          <w:szCs w:val="20"/>
          <w:color w:val="auto"/>
        </w:rPr>
      </w:pPr>
      <w:r>
        <w:rPr>
          <w:rFonts w:ascii="Arial" w:cs="Arial" w:eastAsia="Arial" w:hAnsi="Arial"/>
          <w:sz w:val="18"/>
          <w:szCs w:val="18"/>
          <w:b w:val="1"/>
          <w:bCs w:val="1"/>
          <w:i w:val="1"/>
          <w:iCs w:val="1"/>
          <w:color w:val="auto"/>
        </w:rPr>
        <w:t xml:space="preserve">Americas. </w:t>
      </w:r>
      <w:r>
        <w:rPr>
          <w:rFonts w:ascii="Arial" w:cs="Arial" w:eastAsia="Arial" w:hAnsi="Arial"/>
          <w:sz w:val="18"/>
          <w:szCs w:val="18"/>
          <w:color w:val="auto"/>
        </w:rPr>
        <w:t>This segment performs a variety of background check and compliance services across all phases of the workforce lifecycle from pre-onboarding to post-onboarding and ongoing monitoring after the employee, extended worker, volunteer, or tenant has been onboarded. We generally classify our service offerings into three categories: pre-onboarding, post-onboarding, and adjacent products. We deliver our solutions across multiple vertical industries in the United States, Canada, and Latin America markets.</w:t>
      </w:r>
    </w:p>
    <w:p>
      <w:pPr>
        <w:spacing w:after="0" w:line="80" w:lineRule="exact"/>
        <w:rPr>
          <w:sz w:val="20"/>
          <w:szCs w:val="20"/>
          <w:color w:val="auto"/>
        </w:rPr>
      </w:pPr>
    </w:p>
    <w:p>
      <w:pPr>
        <w:ind w:left="520" w:right="520"/>
        <w:spacing w:after="0" w:line="261"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Segment information, including a reconciliation of Adjusted EBITDA to net income (loss), for the three months ended March 31, 2022 and 2021 (in thousands):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314"/>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314"/>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March 31, 2022</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46,819</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33,847</w:t>
            </w:r>
          </w:p>
        </w:tc>
      </w:tr>
      <w:tr>
        <w:trPr>
          <w:trHeight w:val="203"/>
        </w:trPr>
        <w:tc>
          <w:tcPr>
            <w:tcW w:w="60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6,781</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2,743</w:t>
            </w:r>
          </w:p>
        </w:tc>
      </w:tr>
      <w:tr>
        <w:trPr>
          <w:trHeight w:val="196"/>
        </w:trPr>
        <w:tc>
          <w:tcPr>
            <w:tcW w:w="60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53,600</w:t>
            </w:r>
          </w:p>
        </w:tc>
        <w:tc>
          <w:tcPr>
            <w:tcW w:w="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36,590</w:t>
            </w:r>
          </w:p>
        </w:tc>
      </w:tr>
      <w:tr>
        <w:trPr>
          <w:trHeight w:val="203"/>
        </w:trPr>
        <w:tc>
          <w:tcPr>
            <w:tcW w:w="6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to net income (loss):</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(850 )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6,717</w:t>
            </w:r>
          </w:p>
        </w:tc>
      </w:tr>
      <w:tr>
        <w:trPr>
          <w:trHeight w:val="203"/>
        </w:trPr>
        <w:tc>
          <w:tcPr>
            <w:tcW w:w="60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4,935</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(4,435 )</w:t>
            </w: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1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34,034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34,763</w:t>
            </w:r>
          </w:p>
        </w:tc>
      </w:tr>
      <w:tr>
        <w:trPr>
          <w:trHeight w:val="203"/>
        </w:trPr>
        <w:tc>
          <w:tcPr>
            <w:tcW w:w="60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13,938</w:t>
            </w: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7"/>
                <w:szCs w:val="17"/>
                <w:color w:val="auto"/>
              </w:rPr>
            </w:pPr>
          </w:p>
        </w:tc>
        <w:tc>
          <w:tcPr>
            <w:tcW w:w="1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1,859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562</w:t>
            </w:r>
          </w:p>
        </w:tc>
      </w:tr>
      <w:tr>
        <w:trPr>
          <w:trHeight w:val="203"/>
        </w:trPr>
        <w:tc>
          <w:tcPr>
            <w:tcW w:w="608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 xml:space="preserve">Transaction and acquisition-related charges </w:t>
            </w:r>
            <w:r>
              <w:rPr>
                <w:rFonts w:ascii="Arial" w:cs="Arial" w:eastAsia="Arial" w:hAnsi="Arial"/>
                <w:sz w:val="23"/>
                <w:szCs w:val="23"/>
                <w:color w:val="auto"/>
                <w:vertAlign w:val="superscript"/>
              </w:rPr>
              <w:t>(a)</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1,498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3,984</w:t>
            </w: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(b)</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(889 )</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450</w:t>
            </w:r>
          </w:p>
        </w:tc>
      </w:tr>
      <w:tr>
        <w:trPr>
          <w:trHeight w:val="236"/>
        </w:trPr>
        <w:tc>
          <w:tcPr>
            <w:tcW w:w="6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13,013</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(19,389 )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-1325245</wp:posOffset>
            </wp:positionV>
            <wp:extent cx="1200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ind w:left="1540" w:right="100" w:hanging="514"/>
        <w:spacing w:after="0" w:line="266" w:lineRule="auto"/>
        <w:tabs>
          <w:tab w:leader="none" w:pos="15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charges incurred related to acquisitions and similar transactions, primarily consisting of change in control-related costs, professional service fees, and other third-party costs. Additionally, the three months ended March 31, 2021 includes incremental professional service fees incurred related to the initial public offering and the three months ended March 31, 2022 includes a transaction bonus expense related to one of the Company’s 2021 acquisitions.</w:t>
      </w:r>
    </w:p>
    <w:p>
      <w:pPr>
        <w:ind w:left="1540" w:right="180" w:hanging="514"/>
        <w:spacing w:after="0" w:line="255" w:lineRule="auto"/>
        <w:tabs>
          <w:tab w:leader="none" w:pos="1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Geographic Information</w:t>
      </w:r>
    </w:p>
    <w:p>
      <w:pPr>
        <w:spacing w:after="0" w:line="15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revenues by geographical region for the three months ended March 31, 2022 and 2021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center"/>
              <w:ind w:right="318"/>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ind w:right="338"/>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94"/>
              </w:rPr>
              <w:t>March 31, 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03"/>
        </w:trPr>
        <w:tc>
          <w:tcPr>
            <w:tcW w:w="5960" w:type="dxa"/>
            <w:vAlign w:val="bottom"/>
          </w:tcPr>
          <w:p>
            <w:pPr>
              <w:ind w:left="10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160,088</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116,524</w:t>
            </w:r>
          </w:p>
        </w:tc>
      </w:tr>
      <w:tr>
        <w:trPr>
          <w:trHeight w:val="203"/>
        </w:trPr>
        <w:tc>
          <w:tcPr>
            <w:tcW w:w="59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31,741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16,562</w:t>
            </w:r>
          </w:p>
        </w:tc>
      </w:tr>
      <w:tr>
        <w:trPr>
          <w:trHeight w:val="203"/>
        </w:trPr>
        <w:tc>
          <w:tcPr>
            <w:tcW w:w="5960" w:type="dxa"/>
            <w:vAlign w:val="bottom"/>
          </w:tcPr>
          <w:p>
            <w:pPr>
              <w:ind w:left="100"/>
              <w:spacing w:after="0" w:line="202" w:lineRule="exact"/>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(1,948 )</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(1,016 )</w:t>
            </w:r>
          </w:p>
        </w:tc>
      </w:tr>
      <w:tr>
        <w:trPr>
          <w:trHeight w:val="236"/>
        </w:trPr>
        <w:tc>
          <w:tcPr>
            <w:tcW w:w="59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189,881</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132,070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120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long-lived assets by geographic area as of March 31, 2022 and December 31, 2021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9"/>
              </w:rPr>
              <w:t>December 31, 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Long-lived assets, net</w:t>
            </w:r>
          </w:p>
        </w:tc>
        <w:tc>
          <w:tcPr>
            <w:tcW w:w="2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United States, country of domicile</w:t>
            </w:r>
          </w:p>
        </w:tc>
        <w:tc>
          <w:tcPr>
            <w:tcW w:w="2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1,211,881</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1,213,093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All other countries</w:t>
            </w:r>
          </w:p>
        </w:tc>
        <w:tc>
          <w:tcPr>
            <w:tcW w:w="2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206,315</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199,459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720" w:type="dxa"/>
            <w:vAlign w:val="bottom"/>
          </w:tcPr>
          <w:p>
            <w:pPr>
              <w:spacing w:after="0" w:line="196" w:lineRule="exact"/>
              <w:rPr>
                <w:sz w:val="20"/>
                <w:szCs w:val="20"/>
                <w:color w:val="auto"/>
              </w:rPr>
            </w:pPr>
            <w:r>
              <w:rPr>
                <w:rFonts w:ascii="Arial" w:cs="Arial" w:eastAsia="Arial" w:hAnsi="Arial"/>
                <w:sz w:val="18"/>
                <w:szCs w:val="18"/>
                <w:color w:val="auto"/>
              </w:rPr>
              <w:t>Total long-lived assets, net</w:t>
            </w:r>
          </w:p>
        </w:tc>
        <w:tc>
          <w:tcPr>
            <w:tcW w:w="2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1,418,196</w:t>
            </w:r>
          </w:p>
        </w:tc>
        <w:tc>
          <w:tcPr>
            <w:tcW w:w="4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1,412,552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20" w:type="dxa"/>
            <w:vAlign w:val="bottom"/>
            <w:vMerge w:val="restart"/>
          </w:tcPr>
          <w:p>
            <w:pPr>
              <w:jc w:val="right"/>
              <w:ind w:right="710"/>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-502285</wp:posOffset>
            </wp:positionV>
            <wp:extent cx="1200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following discussion and analysis of First Advantage Corporations’ financial condition and results of operations is provided as a supplement to the condensed consolidated financial statements for the three months ended March 31, 2022, and should be read in conjunction with the audited consolidated financial statements for the year ended December 31, 2021, our “Risk Factors,” and “Management’s Discussion and Analysis of Financial Condition and Results of Operations” included in the Company’s Annual Report on Form 10-K for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2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These forward-looking statements are subject to various risks, uncertainties, assumptions or changes in circumstances that are difficult to predict or quantify. Such risks and uncertainties include, but are not limited to, the following: the impact of COVID-19 and related continuously evolving risks on our results of operations, financial position and/or liquidity; our operations in a highly regulated industry and the fact that we are subject to numerous and evolving laws and regulations, including with respect to personal data and data security; our reliance on third-party data providers; negative changes in external events beyond our control, including our customers’ onboarding volumes, economic drivers which are sensitive to macroeconomic cycles, such as interest rate volatility and inflation, geopolitical unrest, and the COVID-19 pandemic; potential harm to our business, brand and reputation as a result of security breaches, cyber-attacks or the mishandling of personal data; liability and litigation due to the sensitive and privacy-driven nature of our products and solutions, which could be costly and time-consuming to defend and may not be fully covered by insurance;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contracts with our customers, which do not guarantee exclusivity or contracted volumes; our reliance on third-party vendors to carry out certain portions of our operations; disruptions, outages or other errors with our technology and network infrastructure, including our data centers, servers and third-party cloud and internet providers and our migration to the cloud; disruptions at our Global Operating Center and other operating centers; operating in a penetrated and competitive market; our ability to obtain, maintain, protect and enforce our intellectual property and other proprietary information; our indebtedness could adversely affect our ability to raise additional capital to fund our operations, limit our ability to react to changes in the economy or our industry, and prevent us from meeting our obligations; Silver Lake controls us and may have interests that conflict with ours or those of our stockholders; our ability to maintain, protect and enforce the confidentiality of our trade secrets; the use of open-source software in our applications; the indemnification provisions in our contracts with our customers and third-party data suppliers; our ability to identify attractive targets or successfully complete such transactions; our international business; our dependence on the service of our key executive and other employees, and our ability to find and retain qualified employees; seasonality in our operations from quarter to quarter; failure to comply with anti-corruption laws and regulations; and changing interpretations of tax laws.</w:t>
      </w:r>
    </w:p>
    <w:p>
      <w:pPr>
        <w:spacing w:after="0" w:line="32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For additional information on these and other factors that could cause First Advantage’s actual results to differ materially from expected results, please see our Annual Report on Form 10-K for the year ended December 31, 2021,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are used in this Form 10-Q, unless otherwise noted or indicated by the context:</w:t>
      </w:r>
    </w:p>
    <w:p>
      <w:pPr>
        <w:spacing w:after="0" w:line="158"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“Americas” in regards to our business, means the United States, Canada, and Latin America;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“Enterprise customers” means our customers who contribute $500,000 or more to our revenues in a calendar year;</w:t>
      </w:r>
    </w:p>
    <w:p>
      <w:pPr>
        <w:spacing w:after="0" w:line="103" w:lineRule="exact"/>
        <w:rPr>
          <w:rFonts w:ascii="Arial" w:cs="Arial" w:eastAsia="Arial" w:hAnsi="Arial"/>
          <w:sz w:val="18"/>
          <w:szCs w:val="18"/>
          <w:color w:val="auto"/>
        </w:rPr>
      </w:pPr>
    </w:p>
    <w:p>
      <w:pPr>
        <w:ind w:left="1020" w:right="326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Advantage,” the “Company,” “we,” “us,” and “our” mean the business of First Advantage Corporation and its subsidiaries;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“International” in regards to our business, means all geographical regions outside of the United States, Canada, and Latin America;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“Silver Lake” means Silver Lake Group, L.L.C., together with its affiliates, successors, and assignees.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First Advantage is a leading global provider of technology solutions for screening, verifications, safety, and compliance related to human capital. We deliver innovative solutions and insights that help our customers manage risk and hire the best talent. Enabled by our core proprietary technology, our products and solutions help companies protect their brands and provide safer environments for their customers and their most important resources: employees, contractors, contingent and extended workers, drivers, tenants, and volunteers.</w:t>
      </w:r>
    </w:p>
    <w:p>
      <w:pPr>
        <w:spacing w:after="0" w:line="118"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Our comprehensive product suite includes criminal background checks, drug / health screening, extended workforce screening, biometrics &amp;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33,000 customers are global enterprises, mid-sized companies, and small companies, and our products and solutions are used by personnel in recruiting, human resources, risk, compliance, vendor management, safety, and/or security.</w:t>
      </w:r>
    </w:p>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products are sold both individually and bundled.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bundled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5" w:name="page26"/>
    <w:bookmarkEnd w:id="25"/>
    <w:p>
      <w:pPr>
        <w:spacing w:after="0" w:line="239" w:lineRule="auto"/>
        <w:rPr>
          <w:sz w:val="20"/>
          <w:szCs w:val="20"/>
          <w:color w:val="auto"/>
        </w:rPr>
      </w:pPr>
      <w:r>
        <w:rPr>
          <w:rFonts w:ascii="Arial" w:cs="Arial" w:eastAsia="Arial" w:hAnsi="Arial"/>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some visibility into their expected future order volumes, although these can be difficult to accurately forecast. We typically bill our customers at the end of each month and recognize revenues as completed orders are reported or otherwise made available to our customers. Over 90% of the criminal searches performed in the United States are completed the same day they are submitted.</w:t>
      </w:r>
    </w:p>
    <w:p>
      <w:pPr>
        <w:spacing w:after="0" w:line="13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generated revenues of $189.9 million for the three months ended March 31, 2022, as compared to $132.1 million for the three months ended March 31, 2021. These increases were driven by the improvement in the overall economy and hiring market, as well as the addition of a number of large new customers, upselling and cross-selling existing customers, and strong, broad-based demand across our existing customer base. We have experienced additional increases as a result of our recent acquisitions. Approximately 83% of our revenues for the three months ended March 31, 2022 was generated in the Americas, predominantly in the United States, while the remaining 17% was generated internationally. Other than the United States, no single country accounted for 10% or more of our total revenues for the three months ended March 31, 2022. Please refer to “Results of Operations” for further details.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During the first quarter of 2022, the Company made organizational changes and modified additional information provided to its chief operating decision maker (“CODM”) to better align with how its CODM assesses performance and allocates resources. As a result, the Company now has two reportable segments, Americas and International:</w:t>
      </w:r>
    </w:p>
    <w:p>
      <w:pPr>
        <w:spacing w:after="0" w:line="128" w:lineRule="exact"/>
        <w:rPr>
          <w:sz w:val="20"/>
          <w:szCs w:val="20"/>
          <w:color w:val="auto"/>
        </w:rPr>
      </w:pPr>
    </w:p>
    <w:p>
      <w:pPr>
        <w:ind w:left="1020" w:right="200" w:hanging="503"/>
        <w:spacing w:after="0" w:line="28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Americas. </w:t>
      </w:r>
      <w:r>
        <w:rPr>
          <w:rFonts w:ascii="Arial" w:cs="Arial" w:eastAsia="Arial" w:hAnsi="Arial"/>
          <w:sz w:val="16"/>
          <w:szCs w:val="16"/>
          <w:color w:val="auto"/>
        </w:rPr>
        <w:t>This segment performs a variety of background check and compliance services across all phases of the workforce lifecycle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pre-onboarding to post-onboarding and ongoing monitoring after the employee, extended worker, volunteer, or tenant has been onboarded. We generally classify our service offerings into three categories: pre-onboarding, post-onboarding, and adjacent products. We deliver our solutions across multiple vertical industries in the United States, Canada, and Latin America markets.</w:t>
      </w:r>
    </w:p>
    <w:p>
      <w:pPr>
        <w:spacing w:after="0" w:line="47"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w:t>
      </w:r>
      <w:r>
        <w:rPr>
          <w:rFonts w:ascii="Arial" w:cs="Arial" w:eastAsia="Arial" w:hAnsi="Arial"/>
          <w:sz w:val="18"/>
          <w:szCs w:val="18"/>
          <w:color w:val="auto"/>
        </w:rPr>
        <w:t>. 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September through November months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M&amp;A</w:t>
      </w:r>
    </w:p>
    <w:p>
      <w:pPr>
        <w:spacing w:after="0" w:line="158"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The Company completed its asset purchase of Form I-9 Compliance, a U.S.-based technology solution and consulting service provider for I-9 and E-Verify compliance. The acquisition is effective as of January 1, 2022 and strategically expands the Company’s product suite offerings through the addition of new I-9 and employment eligibility solutions. The results of Form I-9 Compliance, which were not material, have been included in our Americas segment from the effective date of the acquisition.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continues to closely monitor how COVID-19 is affecting its employees, customers, and business operations. In our continued response to the COVID-19 pandemic, we implemented operational changes to promote the safety of our workforce and to allow us to continue to serve our customers. In the markets in which we operate, we have generally seen improving macroeconomic conditions and saw steady improvements in our results of operations in 2021 and into 2022.</w:t>
      </w:r>
    </w:p>
    <w:p>
      <w:pPr>
        <w:spacing w:after="0" w:line="13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the United States, we saw strong and improving macroeconomic conditions throughout 2021 and into 2022, including strong gross domestic product (“GDP”) growth and falling unemployment rates. We saw similar improvements in our international markets, although in certain of these markets there remains higher ongoing concerns about the impact of COVID-19. These overall economic improvements are evident in our 2022 results, as revenues for the three months ended March 31, 2022 grew 43.8% compared to the three months ended March 31, 2021. Further discussion regarding the impact of the pandemic to our operations for the three months ended March 31, 2022 and 2021 is provided within this Management’s Discussion and Analysis of Financial Condition and Results of Operations.</w:t>
      </w:r>
    </w:p>
    <w:p>
      <w:pPr>
        <w:spacing w:after="0" w:line="1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Given the ongoing uncertainty and unpredictable nature of the pandemic, including the impact of virus variants and the effectiveness of vaccines against those variants, COVID-19 may have a material and adverse impact on various aspects of our business in the future, including our results of operations. The Company will continue to closely monitor the associated impacts and take appropriate actions in an effort to mitigate the COVID-19 pandemic’s negative effects on the Company’s operations and financial results.</w:t>
      </w:r>
    </w:p>
    <w:p>
      <w:pPr>
        <w:spacing w:after="0" w:line="2" w:lineRule="exact"/>
        <w:rPr>
          <w:sz w:val="20"/>
          <w:szCs w:val="20"/>
          <w:color w:val="auto"/>
        </w:rPr>
      </w:pPr>
    </w:p>
    <w:p>
      <w:pPr>
        <w:ind w:right="620"/>
        <w:spacing w:after="0" w:line="243" w:lineRule="auto"/>
        <w:rPr>
          <w:sz w:val="20"/>
          <w:szCs w:val="20"/>
          <w:color w:val="auto"/>
        </w:rPr>
      </w:pPr>
      <w:r>
        <w:rPr>
          <w:rFonts w:ascii="Arial" w:cs="Arial" w:eastAsia="Arial" w:hAnsi="Arial"/>
          <w:sz w:val="18"/>
          <w:szCs w:val="18"/>
          <w:color w:val="auto"/>
        </w:rPr>
        <w:t>For additional information, see our “Risk Factors” and “Management’s Discussion and Analysis of Financial Condition and Results of Operations” included in the Company’s Annual Report on Form 10-K for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See Note 2 to the condensed consolidated financial statements for disclosure of the impact that recent accounting pronouncements may have on the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 derives revenues from a variety of background screening and adjacent products that cover phases from pre-onboarding screening to post-onboarding screening after the employees, contractors, contingent and extended workers, drivers, tenants, and volunteers have been onboarded. We generally classify our products and solutions into three major categories: pre-onboarding, post-onboarding, and adjacent products, each of which is enabled by our technology, proprietary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productive, and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suite of products is available individually or through bundled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incur the following expenses related to our cost of revenues and operating expenses:</w:t>
      </w:r>
    </w:p>
    <w:p>
      <w:pPr>
        <w:spacing w:after="0" w:line="158" w:lineRule="exact"/>
        <w:rPr>
          <w:sz w:val="20"/>
          <w:szCs w:val="20"/>
          <w:color w:val="auto"/>
        </w:rPr>
      </w:pPr>
    </w:p>
    <w:p>
      <w:pPr>
        <w:ind w:left="1020" w:hanging="503"/>
        <w:spacing w:after="0" w:line="25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Cost of Services: </w:t>
      </w:r>
      <w:r>
        <w:rPr>
          <w:rFonts w:ascii="Arial" w:cs="Arial" w:eastAsia="Arial" w:hAnsi="Arial"/>
          <w:sz w:val="17"/>
          <w:szCs w:val="17"/>
          <w:color w:val="auto"/>
        </w:rPr>
        <w:t>Consists of amounts paid to third parties for access to government records, other third-party data and services,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2" w:lineRule="exact"/>
        <w:rPr>
          <w:rFonts w:ascii="Arial" w:cs="Arial" w:eastAsia="Arial" w:hAnsi="Arial"/>
          <w:sz w:val="17"/>
          <w:szCs w:val="17"/>
          <w:color w:val="auto"/>
        </w:rPr>
      </w:pPr>
    </w:p>
    <w:p>
      <w:pPr>
        <w:ind w:left="1020" w:right="60" w:hanging="503"/>
        <w:spacing w:after="0" w:line="25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Product and Technology Expense</w:t>
      </w:r>
      <w:r>
        <w:rPr>
          <w:rFonts w:ascii="Arial" w:cs="Arial" w:eastAsia="Arial" w:hAnsi="Arial"/>
          <w:sz w:val="17"/>
          <w:szCs w:val="17"/>
          <w:color w:val="auto"/>
        </w:rPr>
        <w:t>: Consists of salaries and benefits of personnel involved in the maintenance of our technology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1" w:lineRule="exact"/>
        <w:rPr>
          <w:rFonts w:ascii="Arial" w:cs="Arial" w:eastAsia="Arial" w:hAnsi="Arial"/>
          <w:sz w:val="17"/>
          <w:szCs w:val="17"/>
          <w:color w:val="auto"/>
        </w:rPr>
      </w:pPr>
    </w:p>
    <w:p>
      <w:pPr>
        <w:ind w:left="1020" w:hanging="503"/>
        <w:spacing w:after="0" w:line="253"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Consists of sales, customer success,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customer success, and marketing expenses consist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5" w:lineRule="exact"/>
        <w:rPr>
          <w:rFonts w:ascii="Arial" w:cs="Arial" w:eastAsia="Arial" w:hAnsi="Arial"/>
          <w:sz w:val="17"/>
          <w:szCs w:val="17"/>
          <w:color w:val="auto"/>
        </w:rPr>
      </w:pPr>
    </w:p>
    <w:p>
      <w:pPr>
        <w:ind w:left="1020" w:right="80" w:hanging="503"/>
        <w:spacing w:after="0" w:line="24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Depreciation and Amortizatio</w:t>
      </w:r>
      <w:r>
        <w:rPr>
          <w:rFonts w:ascii="Arial" w:cs="Arial" w:eastAsia="Arial" w:hAnsi="Arial"/>
          <w:sz w:val="18"/>
          <w:szCs w:val="18"/>
          <w:color w:val="auto"/>
        </w:rPr>
        <w:t>n: Property and equipment consisting mainly of capitalized software costs, furniture, hardware,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are depreciated or amortized and reflected as operating expenses. We also amortize the capitalized costs of finite-life intangible assets acquired in connection with the Silver Lake Transaction and other business combinations. The comparability of our operating expenses over time is affected by the increased depreciation and amortization recorded as a result of applying purchase accounting at the time of the Silver Lake Transaction.</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have a flexible cost structure that allows our business to adjust quickly to the impacts of macroeconomic events and scale to meet the needs of large new customers. Operating expenses are influenced by the amount of revenues and mix of customers that contribute to our revenues for any given period. As revenues grow, we would generally expect cost of services to grow in a similar fashion, albeit influenced by the effects of automation, productivity, and other efficiency initiatives as well as customer and product mix shifts. We regularly review expenses and investments in the context of revenues growth and any shifts we see in cost of services in order to align with our overall financial objectives. While we expect operating expenses to increase in absolute dollars to support our continued growth, we believe that operating expenses will decline gradually as a percentage of total revenues in the future as our business grows and our operating efficiency continues to improve.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other (income) expense consists of the following:</w:t>
      </w:r>
    </w:p>
    <w:p>
      <w:pPr>
        <w:spacing w:after="0" w:line="158" w:lineRule="exact"/>
        <w:rPr>
          <w:sz w:val="20"/>
          <w:szCs w:val="20"/>
          <w:color w:val="auto"/>
        </w:rPr>
      </w:pPr>
    </w:p>
    <w:p>
      <w:pPr>
        <w:ind w:left="1020" w:right="40" w:hanging="503"/>
        <w:spacing w:after="0" w:line="28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Interest (Income) Expense, Net</w:t>
      </w:r>
      <w:r>
        <w:rPr>
          <w:rFonts w:ascii="Arial" w:cs="Arial" w:eastAsia="Arial" w:hAnsi="Arial"/>
          <w:sz w:val="16"/>
          <w:szCs w:val="16"/>
          <w:color w:val="auto"/>
        </w:rPr>
        <w:t>: Relates primarily to our debt service costs, the interest-related unrealized gains and losses of our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Reflects losses on the extinguishment of certain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changes in GILTI. If any or all of these (or similar) proposals are ultimately enacted into law, in whole or in part, they could increase our effective tax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information contained below should be read in conjunction with our accompanying historical condensed consolidated financial statements and the related notes.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Results of Operations for the three months ended March 31, 2022 compared to the three months ended March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center"/>
              <w:ind w:right="433"/>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center"/>
              <w:ind w:right="493"/>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5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center"/>
              <w:ind w:right="433"/>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jc w:val="center"/>
              <w:ind w:right="493"/>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493"/>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189,881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233"/>
              <w:spacing w:after="0" w:line="196" w:lineRule="exact"/>
              <w:rPr>
                <w:sz w:val="20"/>
                <w:szCs w:val="20"/>
                <w:color w:val="auto"/>
              </w:rPr>
            </w:pPr>
            <w:r>
              <w:rPr>
                <w:rFonts w:ascii="Arial" w:cs="Arial" w:eastAsia="Arial" w:hAnsi="Arial"/>
                <w:sz w:val="18"/>
                <w:szCs w:val="18"/>
                <w:color w:val="auto"/>
              </w:rPr>
              <w:t>132,070</w:t>
            </w:r>
          </w:p>
        </w:tc>
      </w:tr>
      <w:tr>
        <w:trPr>
          <w:trHeight w:val="203"/>
        </w:trPr>
        <w:tc>
          <w:tcPr>
            <w:tcW w:w="5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w w:val="95"/>
              </w:rPr>
              <w:t>Cost of services (exclusive of depreciation and amortization below)</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96,431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65,945</w:t>
            </w: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and technology expense</w:t>
            </w: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13,773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233"/>
              <w:spacing w:after="0" w:line="202" w:lineRule="exact"/>
              <w:rPr>
                <w:sz w:val="20"/>
                <w:szCs w:val="20"/>
                <w:color w:val="auto"/>
              </w:rPr>
            </w:pPr>
            <w:r>
              <w:rPr>
                <w:rFonts w:ascii="Arial" w:cs="Arial" w:eastAsia="Arial" w:hAnsi="Arial"/>
                <w:sz w:val="18"/>
                <w:szCs w:val="18"/>
                <w:color w:val="auto"/>
              </w:rPr>
              <w:t>10,553</w:t>
            </w: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28,545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23,978</w:t>
            </w:r>
          </w:p>
        </w:tc>
      </w:tr>
      <w:tr>
        <w:trPr>
          <w:trHeight w:val="203"/>
        </w:trPr>
        <w:tc>
          <w:tcPr>
            <w:tcW w:w="53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34,034</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233"/>
              <w:spacing w:after="0" w:line="202" w:lineRule="exact"/>
              <w:rPr>
                <w:sz w:val="20"/>
                <w:szCs w:val="20"/>
                <w:color w:val="auto"/>
              </w:rPr>
            </w:pPr>
            <w:r>
              <w:rPr>
                <w:rFonts w:ascii="Arial" w:cs="Arial" w:eastAsia="Arial" w:hAnsi="Arial"/>
                <w:sz w:val="18"/>
                <w:szCs w:val="18"/>
                <w:color w:val="auto"/>
              </w:rPr>
              <w:t>34,763</w:t>
            </w:r>
          </w:p>
        </w:tc>
      </w:tr>
      <w:tr>
        <w:trPr>
          <w:trHeight w:val="196"/>
        </w:trPr>
        <w:tc>
          <w:tcPr>
            <w:tcW w:w="530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172,783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135,239</w:t>
            </w:r>
          </w:p>
        </w:tc>
      </w:tr>
      <w:tr>
        <w:trPr>
          <w:trHeight w:val="19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1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17,098</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(3,169 )</w:t>
            </w:r>
          </w:p>
        </w:tc>
      </w:tr>
      <w:tr>
        <w:trPr>
          <w:trHeight w:val="196"/>
        </w:trPr>
        <w:tc>
          <w:tcPr>
            <w:tcW w:w="5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expense, net</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(850 )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6,717</w:t>
            </w:r>
          </w:p>
        </w:tc>
      </w:tr>
      <w:tr>
        <w:trPr>
          <w:trHeight w:val="203"/>
        </w:trPr>
        <w:tc>
          <w:tcPr>
            <w:tcW w:w="53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1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233"/>
              <w:spacing w:after="0" w:line="202" w:lineRule="exact"/>
              <w:rPr>
                <w:sz w:val="20"/>
                <w:szCs w:val="20"/>
                <w:color w:val="auto"/>
              </w:rPr>
            </w:pPr>
            <w:r>
              <w:rPr>
                <w:rFonts w:ascii="Arial" w:cs="Arial" w:eastAsia="Arial" w:hAnsi="Arial"/>
                <w:sz w:val="18"/>
                <w:szCs w:val="18"/>
                <w:color w:val="auto"/>
              </w:rPr>
              <w:t>13,938</w:t>
            </w:r>
          </w:p>
        </w:tc>
      </w:tr>
      <w:tr>
        <w:trPr>
          <w:trHeight w:val="196"/>
        </w:trPr>
        <w:tc>
          <w:tcPr>
            <w:tcW w:w="530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1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(850 )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20,655</w:t>
            </w: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provision for income taxes</w:t>
            </w: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17,948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(23,824 )</w:t>
            </w: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1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4,935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(4,435 )</w:t>
            </w:r>
          </w:p>
        </w:tc>
      </w:tr>
      <w:tr>
        <w:trPr>
          <w:trHeight w:val="23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16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13,013</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(19,389 )</w:t>
            </w:r>
          </w:p>
        </w:tc>
      </w:tr>
      <w:tr>
        <w:trPr>
          <w:trHeight w:val="211"/>
        </w:trPr>
        <w:tc>
          <w:tcPr>
            <w:tcW w:w="530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(14.7 )%</w:t>
            </w:r>
          </w:p>
        </w:tc>
      </w:tr>
      <w:tr>
        <w:trPr>
          <w:trHeight w:val="593"/>
        </w:trPr>
        <w:tc>
          <w:tcPr>
            <w:tcW w:w="5300" w:type="dxa"/>
            <w:vAlign w:val="bottom"/>
          </w:tcPr>
          <w:p>
            <w:pPr>
              <w:spacing w:after="0"/>
              <w:rPr>
                <w:sz w:val="24"/>
                <w:szCs w:val="24"/>
                <w:color w:val="auto"/>
              </w:rPr>
            </w:pPr>
          </w:p>
        </w:tc>
        <w:tc>
          <w:tcPr>
            <w:tcW w:w="1600" w:type="dxa"/>
            <w:vAlign w:val="bottom"/>
          </w:tcPr>
          <w:p>
            <w:pPr>
              <w:jc w:val="right"/>
              <w:ind w:right="109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-1959610</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-1685290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-1162050</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-624840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-607695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center"/>
              <w:ind w:right="318"/>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18"/>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r>
      <w:tr>
        <w:trPr>
          <w:trHeight w:val="203"/>
        </w:trPr>
        <w:tc>
          <w:tcPr>
            <w:tcW w:w="692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160,088</w:t>
            </w:r>
          </w:p>
        </w:tc>
        <w:tc>
          <w:tcPr>
            <w:tcW w:w="4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116,524</w:t>
            </w:r>
          </w:p>
        </w:tc>
      </w:tr>
      <w:tr>
        <w:trPr>
          <w:trHeight w:val="203"/>
        </w:trPr>
        <w:tc>
          <w:tcPr>
            <w:tcW w:w="69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31,741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16,562</w:t>
            </w:r>
          </w:p>
        </w:tc>
      </w:tr>
      <w:tr>
        <w:trPr>
          <w:trHeight w:val="203"/>
        </w:trPr>
        <w:tc>
          <w:tcPr>
            <w:tcW w:w="6920" w:type="dxa"/>
            <w:vAlign w:val="bottom"/>
          </w:tcPr>
          <w:p>
            <w:pPr>
              <w:ind w:left="120"/>
              <w:spacing w:after="0" w:line="202" w:lineRule="exact"/>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(1,948 )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(1,016 )</w:t>
            </w:r>
          </w:p>
        </w:tc>
      </w:tr>
      <w:tr>
        <w:trPr>
          <w:trHeight w:val="236"/>
        </w:trPr>
        <w:tc>
          <w:tcPr>
            <w:tcW w:w="6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189,881</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132,070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Revenues were $189.9 million for the three months ended March 31, 2022, compared to $132.1 million for the three months ended March 31, 2021.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Revenues for the three months ended March 31, 2022 increased by $57.8 million, or 43.8%, compared to the three months ended March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404040"/>
        </w:rPr>
        <w:t>The increase in revenues was primarily due to:</w:t>
      </w:r>
    </w:p>
    <w:p>
      <w:pPr>
        <w:spacing w:after="0" w:line="158" w:lineRule="exact"/>
        <w:rPr>
          <w:sz w:val="20"/>
          <w:szCs w:val="20"/>
          <w:color w:val="auto"/>
        </w:rPr>
      </w:pPr>
    </w:p>
    <w:p>
      <w:pPr>
        <w:ind w:left="1020" w:right="300" w:hanging="503"/>
        <w:spacing w:after="0" w:line="29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net increase of $33.9 million in existing customer revenues as compared to the three months ended March 31, 2021, primarily driven by strong, broad-based growth across key verticals and geographies, which was supported by favorable underlying macroeconomic trends including high, sustained job switching and churn. These existing customer increases were offset by the impact of lost accounts,</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revenues of $9.1 million attributable to new customers in both the Americas and International segments,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of $14.8 million attributable to the Company’s acquisitions in the Americas and International segments.</w:t>
      </w:r>
    </w:p>
    <w:p>
      <w:pPr>
        <w:spacing w:after="0" w:line="158"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The Company experienced high demand among customers in the essential retail, e-commerce, transportation and home delivery, technology, business / financial services and flexible workforce / staffing verticals during the three months ended March 31, 2022 in addition to expansion in International revenues. Pricing remained relatively stable across all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center"/>
              <w:ind w:right="419"/>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center"/>
              <w:ind w:right="439"/>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tcPr>
          <w:p>
            <w:pPr>
              <w:jc w:val="center"/>
              <w:ind w:right="439"/>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4"/>
              </w:rPr>
              <w:t>March 31, 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rPr>
              <w:t>189,881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rPr>
              <w:t>132,070</w:t>
            </w:r>
          </w:p>
        </w:tc>
      </w:tr>
      <w:tr>
        <w:trPr>
          <w:trHeight w:val="202"/>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17"/>
                <w:szCs w:val="17"/>
                <w:color w:val="auto"/>
              </w:rPr>
            </w:pPr>
          </w:p>
        </w:tc>
        <w:tc>
          <w:tcPr>
            <w:tcW w:w="18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96,431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65,945</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services as a % of revenue</w:t>
            </w: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services was $96.4 million for the three months ended March 31, 2022, compared to $65.9 million for the three months ended March 31,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services for the three months ended March 31, 2022 increased by $30.5 million, or 46.2%, compared to the three months ended March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58" w:lineRule="exact"/>
        <w:rPr>
          <w:sz w:val="20"/>
          <w:szCs w:val="20"/>
          <w:color w:val="auto"/>
        </w:rPr>
      </w:pPr>
    </w:p>
    <w:p>
      <w:pPr>
        <w:ind w:left="1020" w:right="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variable third-party data expenses of $24.0 million as a direct result of increased revenues, increases in certain third-party data costs, customer ordering mix, and acquisitions having a larger mix of third-party data expenses,</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$6.0 million increase in personnel related expenses in our operations and customer care functions as a result of additional operational support headcount to process and fulfill the Company’s order volume growth, and</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software licenses, and other expenses related to the increased revenues volumes experienced in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58"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gains of $0.6 million due to the impact of foreign exchange rate volatility.</w:t>
      </w:r>
    </w:p>
    <w:p>
      <w:pPr>
        <w:spacing w:after="0" w:line="15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Cost of services as a percentage of revenues was 50.8% for the three months ended March 31, 2022, compared to 49.9% for the three months ended March 31, 2021. The cost of services percentage of revenues in the first quarter 2022 was impacted by increases in certain third-party data costs, customer ordering mix, and acquisitions having a larger mix of third-party data expenses. This increase was partially offset by cost savings from the Company’s continued internal operating efficiencies and increased use of automation and RPA tools.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20" w:type="dxa"/>
            <w:vAlign w:val="bottom"/>
          </w:tcPr>
          <w:p>
            <w:pPr>
              <w:jc w:val="center"/>
              <w:ind w:left="444"/>
              <w:spacing w:after="0"/>
              <w:rPr>
                <w:sz w:val="20"/>
                <w:szCs w:val="20"/>
                <w:color w:val="auto"/>
              </w:rPr>
            </w:pPr>
            <w:r>
              <w:rPr>
                <w:rFonts w:ascii="Arial" w:cs="Arial" w:eastAsia="Arial" w:hAnsi="Arial"/>
                <w:sz w:val="14"/>
                <w:szCs w:val="14"/>
                <w:b w:val="1"/>
                <w:bCs w:val="1"/>
                <w:color w:val="auto"/>
                <w:w w:val="95"/>
              </w:rPr>
              <w:t>Three Months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24"/>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152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6"/>
              </w:rPr>
              <w:t>March 31, 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 and technology expense</w:t>
            </w:r>
          </w:p>
        </w:tc>
        <w:tc>
          <w:tcPr>
            <w:tcW w:w="1520" w:type="dxa"/>
            <w:vAlign w:val="bottom"/>
            <w:shd w:val="clear" w:color="auto" w:fill="CFF0FC"/>
          </w:tcPr>
          <w:p>
            <w:pPr>
              <w:jc w:val="right"/>
              <w:ind w:right="134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13,773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10,553</w:t>
            </w:r>
          </w:p>
        </w:tc>
      </w:tr>
    </w:tbl>
    <w:p>
      <w:pPr>
        <w:spacing w:after="0" w:line="14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Product and technology expense was $13.8 million for the three months ended March 31, 2022, compared to $10.6 million for the three months ended March 31, 2021. Product and technology expense for the three months ended March 31, 2022 increased by $3.2 million, or 30.5%, compared to the three months ended March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58" w:lineRule="exact"/>
        <w:rPr>
          <w:sz w:val="20"/>
          <w:szCs w:val="20"/>
          <w:color w:val="auto"/>
        </w:rPr>
      </w:pPr>
    </w:p>
    <w:p>
      <w:pPr>
        <w:ind w:left="1020" w:right="5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$1.7 million increase in personnel-related expenses as a result of additional investments made to enhance our product, solutions, and technology platform,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$1.2 million increase in software licensing related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20" w:type="dxa"/>
            <w:vAlign w:val="bottom"/>
          </w:tcPr>
          <w:p>
            <w:pPr>
              <w:jc w:val="center"/>
              <w:ind w:left="444"/>
              <w:spacing w:after="0"/>
              <w:rPr>
                <w:sz w:val="20"/>
                <w:szCs w:val="20"/>
                <w:color w:val="auto"/>
              </w:rPr>
            </w:pPr>
            <w:r>
              <w:rPr>
                <w:rFonts w:ascii="Arial" w:cs="Arial" w:eastAsia="Arial" w:hAnsi="Arial"/>
                <w:sz w:val="14"/>
                <w:szCs w:val="14"/>
                <w:b w:val="1"/>
                <w:bCs w:val="1"/>
                <w:color w:val="auto"/>
                <w:w w:val="95"/>
              </w:rPr>
              <w:t>Three Months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24"/>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152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6"/>
              </w:rPr>
              <w:t>March 31, 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 administrative expense</w:t>
            </w:r>
          </w:p>
        </w:tc>
        <w:tc>
          <w:tcPr>
            <w:tcW w:w="1520" w:type="dxa"/>
            <w:vAlign w:val="bottom"/>
            <w:shd w:val="clear" w:color="auto" w:fill="CFF0FC"/>
          </w:tcPr>
          <w:p>
            <w:pPr>
              <w:jc w:val="right"/>
              <w:ind w:right="134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28,545</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23,978</w:t>
            </w:r>
          </w:p>
        </w:tc>
      </w:tr>
    </w:tbl>
    <w:p>
      <w:pPr>
        <w:spacing w:after="0" w:line="14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Selling, general, and administrative expense was $28.5 million for the three months ended March 31, 2022, compared to $24.0 million for the three months ended March 31, 2021. Selling, general, and administrative expense for the three months ended March 31, 2022 increased by $4.6 million, or 19.0%, compared to the three months ended March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58" w:lineRule="exact"/>
        <w:rPr>
          <w:sz w:val="20"/>
          <w:szCs w:val="20"/>
          <w:color w:val="auto"/>
        </w:rPr>
      </w:pPr>
    </w:p>
    <w:p>
      <w:pPr>
        <w:ind w:left="1020" w:right="320" w:hanging="503"/>
        <w:spacing w:after="0" w:line="29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$2.8 million increase in personnel related expenses primarily due to additional investments made in the Company’s Sales and Customer Success functions and additional headcount related to the Company’s growth and operating as a public company,</w:t>
      </w:r>
    </w:p>
    <w:p>
      <w:pPr>
        <w:spacing w:after="0" w:line="38" w:lineRule="exact"/>
        <w:rPr>
          <w:rFonts w:ascii="Arial" w:cs="Arial" w:eastAsia="Arial" w:hAnsi="Arial"/>
          <w:sz w:val="17"/>
          <w:szCs w:val="17"/>
          <w:color w:val="auto"/>
        </w:rPr>
      </w:pPr>
    </w:p>
    <w:p>
      <w:pPr>
        <w:ind w:left="1020" w:right="40" w:hanging="503"/>
        <w:spacing w:after="0" w:line="29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$1.8 million increase in commissions and bonus related expenses due to the Company’s improved operating results during the three months ended March 31, 2022, as well as a transaction bonus expense related to one of the Company’s 2021 acquisitions,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$0.9 million increase in share-based compensation expenses as a result of incremental awards granted since the Company’s IPO, and</w:t>
      </w:r>
    </w:p>
    <w:p>
      <w:pPr>
        <w:spacing w:after="0" w:line="126" w:lineRule="exact"/>
        <w:rPr>
          <w:rFonts w:ascii="Arial" w:cs="Arial" w:eastAsia="Arial" w:hAnsi="Arial"/>
          <w:sz w:val="16"/>
          <w:szCs w:val="16"/>
          <w:color w:val="auto"/>
        </w:rPr>
      </w:pPr>
    </w:p>
    <w:p>
      <w:pPr>
        <w:ind w:left="1020" w:right="7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number of other corporate expenses that increased primarily as a result of the Company now being a publicly traded company and additional 2022 marketing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58" w:lineRule="exact"/>
        <w:rPr>
          <w:sz w:val="20"/>
          <w:szCs w:val="20"/>
          <w:color w:val="auto"/>
        </w:rPr>
      </w:pPr>
    </w:p>
    <w:p>
      <w:pPr>
        <w:ind w:left="1020" w:right="3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$3.1 million decrease in professional service fees incurred related to the Company’s preparation for its 2021 IPO that did not reoccur in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20" w:type="dxa"/>
            <w:vAlign w:val="bottom"/>
          </w:tcPr>
          <w:p>
            <w:pPr>
              <w:jc w:val="center"/>
              <w:ind w:left="444"/>
              <w:spacing w:after="0"/>
              <w:rPr>
                <w:sz w:val="20"/>
                <w:szCs w:val="20"/>
                <w:color w:val="auto"/>
              </w:rPr>
            </w:pPr>
            <w:r>
              <w:rPr>
                <w:rFonts w:ascii="Arial" w:cs="Arial" w:eastAsia="Arial" w:hAnsi="Arial"/>
                <w:sz w:val="14"/>
                <w:szCs w:val="14"/>
                <w:b w:val="1"/>
                <w:bCs w:val="1"/>
                <w:color w:val="auto"/>
                <w:w w:val="95"/>
              </w:rPr>
              <w:t>Three Months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24"/>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6920" w:type="dxa"/>
            <w:vAlign w:val="bottom"/>
          </w:tcPr>
          <w:p>
            <w:pPr>
              <w:spacing w:after="0"/>
              <w:rPr>
                <w:sz w:val="12"/>
                <w:szCs w:val="12"/>
                <w:color w:val="auto"/>
              </w:rPr>
            </w:pPr>
          </w:p>
        </w:tc>
        <w:tc>
          <w:tcPr>
            <w:tcW w:w="152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6"/>
              </w:rPr>
              <w:t>March 31, 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FF0FC"/>
          </w:tcPr>
          <w:p>
            <w:pPr>
              <w:jc w:val="right"/>
              <w:ind w:right="134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34,034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34,763</w:t>
            </w:r>
          </w:p>
        </w:tc>
      </w:tr>
    </w:tbl>
    <w:p>
      <w:pPr>
        <w:spacing w:after="0" w:line="148"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Depreciation and amortization was $34.0 million for the three months ended March 31, 2022, compared to $34.8 million for the three months ended March 31, 2021. Depreciation and amortization remained relatively flat for the three months ended March 31, 2022 as compared to the three months ended March 31, 2021.</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Interest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80" w:type="dxa"/>
            <w:vAlign w:val="bottom"/>
          </w:tcPr>
          <w:p>
            <w:pPr>
              <w:jc w:val="center"/>
              <w:ind w:left="364"/>
              <w:spacing w:after="0"/>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center"/>
              <w:ind w:right="264"/>
              <w:spacing w:after="0"/>
              <w:rPr>
                <w:sz w:val="20"/>
                <w:szCs w:val="20"/>
                <w:color w:val="auto"/>
              </w:rPr>
            </w:pPr>
            <w:r>
              <w:rPr>
                <w:rFonts w:ascii="Arial" w:cs="Arial" w:eastAsia="Arial" w:hAnsi="Arial"/>
                <w:sz w:val="14"/>
                <w:szCs w:val="14"/>
                <w:b w:val="1"/>
                <w:bCs w:val="1"/>
                <w:color w:val="auto"/>
                <w:w w:val="93"/>
              </w:rPr>
              <w:t>Three Months</w:t>
            </w:r>
          </w:p>
        </w:tc>
        <w:tc>
          <w:tcPr>
            <w:tcW w:w="60" w:type="dxa"/>
            <w:vAlign w:val="bottom"/>
          </w:tcPr>
          <w:p>
            <w:pPr>
              <w:spacing w:after="0"/>
              <w:rPr>
                <w:sz w:val="14"/>
                <w:szCs w:val="14"/>
                <w:color w:val="auto"/>
              </w:rPr>
            </w:pPr>
          </w:p>
        </w:tc>
      </w:tr>
      <w:tr>
        <w:trPr>
          <w:trHeight w:val="148"/>
        </w:trPr>
        <w:tc>
          <w:tcPr>
            <w:tcW w:w="6920" w:type="dxa"/>
            <w:vAlign w:val="bottom"/>
          </w:tcPr>
          <w:p>
            <w:pPr>
              <w:spacing w:after="0"/>
              <w:rPr>
                <w:sz w:val="12"/>
                <w:szCs w:val="12"/>
                <w:color w:val="auto"/>
              </w:rPr>
            </w:pPr>
          </w:p>
        </w:tc>
        <w:tc>
          <w:tcPr>
            <w:tcW w:w="158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w w:val="94"/>
              </w:rPr>
              <w:t>March 31, 2022</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4"/>
              </w:rPr>
              <w:t>March 31, 2021</w:t>
            </w:r>
          </w:p>
        </w:tc>
        <w:tc>
          <w:tcPr>
            <w:tcW w:w="60" w:type="dxa"/>
            <w:vAlign w:val="bottom"/>
          </w:tcPr>
          <w:p>
            <w:pPr>
              <w:spacing w:after="0"/>
              <w:rPr>
                <w:sz w:val="16"/>
                <w:szCs w:val="16"/>
                <w:color w:val="auto"/>
              </w:rPr>
            </w:pP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 expense, net</w:t>
            </w:r>
          </w:p>
        </w:tc>
        <w:tc>
          <w:tcPr>
            <w:tcW w:w="1580" w:type="dxa"/>
            <w:vAlign w:val="bottom"/>
            <w:shd w:val="clear" w:color="auto" w:fill="CFF0FC"/>
          </w:tcPr>
          <w:p>
            <w:pPr>
              <w:jc w:val="right"/>
              <w:ind w:right="1404"/>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(850</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6,717</w:t>
            </w:r>
          </w:p>
        </w:tc>
        <w:tc>
          <w:tcPr>
            <w:tcW w:w="60" w:type="dxa"/>
            <w:vAlign w:val="bottom"/>
            <w:shd w:val="clear" w:color="auto" w:fill="CFF0FC"/>
          </w:tcPr>
          <w:p>
            <w:pPr>
              <w:spacing w:after="0"/>
              <w:rPr>
                <w:sz w:val="17"/>
                <w:szCs w:val="17"/>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was $(0.9) million for the three months ended March 31, 2022, compared to $6.7 million for the three months ended March 31,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three months ended March 31, 2022 decreased by $7.6 million, compared to the three months ended March 31, 2021.</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decrease in interest cost was primarily attributable to $5.3 million of unrealized gains on the interest rate swaps as a result of the increased interest rate volatility observed in the first quarter of 2022. This decrease was further impacted by the Company’s February 2021 refinancing of the Successor First Lien Credit Facility, early repayment of the Successor Second Lien Credit Facility, and the repayment of $200.0 million of the Successor First Lien Credit Facility in June 2021, resulting in interest rate savings due to lower principal and more favorable interest rate margins.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80" w:type="dxa"/>
            <w:vAlign w:val="bottom"/>
          </w:tcPr>
          <w:p>
            <w:pPr>
              <w:jc w:val="center"/>
              <w:ind w:left="284"/>
              <w:spacing w:after="0"/>
              <w:rPr>
                <w:sz w:val="20"/>
                <w:szCs w:val="20"/>
                <w:color w:val="auto"/>
              </w:rPr>
            </w:pPr>
            <w:r>
              <w:rPr>
                <w:rFonts w:ascii="Arial" w:cs="Arial" w:eastAsia="Arial" w:hAnsi="Arial"/>
                <w:sz w:val="14"/>
                <w:szCs w:val="14"/>
                <w:b w:val="1"/>
                <w:bCs w:val="1"/>
                <w:color w:val="auto"/>
                <w:w w:val="95"/>
              </w:rPr>
              <w:t>Three Months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24"/>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168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6"/>
              </w:rPr>
              <w:t>March 31, 2022</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on extinguishment of debt</w:t>
            </w:r>
          </w:p>
        </w:tc>
        <w:tc>
          <w:tcPr>
            <w:tcW w:w="1680" w:type="dxa"/>
            <w:vAlign w:val="bottom"/>
            <w:shd w:val="clear" w:color="auto" w:fill="CFF0FC"/>
          </w:tcPr>
          <w:p>
            <w:pPr>
              <w:jc w:val="right"/>
              <w:ind w:right="1504"/>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13,938</w:t>
            </w:r>
          </w:p>
        </w:tc>
      </w:tr>
    </w:tbl>
    <w:p>
      <w:pPr>
        <w:spacing w:after="0" w:line="14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Loss on extinguishment of debt for the three months ended March 31, 2021 relates to expenses stemming from the write-off of debt issuance costs associated with the February 2021 refinancing of the Successor First Lien Credit Facility.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Provision for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60" w:type="dxa"/>
            <w:vAlign w:val="bottom"/>
          </w:tcPr>
          <w:p>
            <w:pPr>
              <w:jc w:val="center"/>
              <w:ind w:left="404"/>
              <w:spacing w:after="0"/>
              <w:rPr>
                <w:sz w:val="20"/>
                <w:szCs w:val="20"/>
                <w:color w:val="auto"/>
              </w:rPr>
            </w:pPr>
            <w:r>
              <w:rPr>
                <w:rFonts w:ascii="Arial" w:cs="Arial" w:eastAsia="Arial" w:hAnsi="Arial"/>
                <w:sz w:val="14"/>
                <w:szCs w:val="14"/>
                <w:b w:val="1"/>
                <w:bCs w:val="1"/>
                <w:color w:val="auto"/>
                <w:w w:val="95"/>
              </w:rPr>
              <w:t>Three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24"/>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6920" w:type="dxa"/>
            <w:vAlign w:val="bottom"/>
          </w:tcPr>
          <w:p>
            <w:pPr>
              <w:spacing w:after="0"/>
              <w:rPr>
                <w:sz w:val="12"/>
                <w:szCs w:val="12"/>
                <w:color w:val="auto"/>
              </w:rPr>
            </w:pPr>
          </w:p>
        </w:tc>
        <w:tc>
          <w:tcPr>
            <w:tcW w:w="156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6"/>
              </w:rPr>
              <w:t>March 31, 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(benefit) for income taxes</w:t>
            </w:r>
          </w:p>
        </w:tc>
        <w:tc>
          <w:tcPr>
            <w:tcW w:w="1560" w:type="dxa"/>
            <w:vAlign w:val="bottom"/>
            <w:shd w:val="clear" w:color="auto" w:fill="CFF0FC"/>
          </w:tcPr>
          <w:p>
            <w:pPr>
              <w:jc w:val="right"/>
              <w:ind w:right="1384"/>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7"/>
              </w:rPr>
              <w:t>4,935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(4,435 )</w:t>
            </w:r>
          </w:p>
        </w:tc>
      </w:tr>
    </w:tbl>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provision for income taxes was $4.9 million for the three months ended March 31, 2022, compared to a (benefit) for income taxes of $(4.4) million for the three months ended March 31, 2021. Our provision for income taxes for the three months ended March 31, 2022 increased by $9.4 million, compared to the three months ended March 31, 2021.</w:t>
      </w:r>
    </w:p>
    <w:p>
      <w:pPr>
        <w:spacing w:after="0" w:line="12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increase in our provision for income taxes was primarily due to the increase of income before income taxes during the three months ended March 31, 2022, as compared to the three months ended March 31, 2021, due to improved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and Net Income (Loss) Margin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center"/>
              <w:ind w:right="441"/>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center"/>
              <w:ind w:right="501"/>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center"/>
              <w:ind w:right="44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jc w:val="center"/>
              <w:ind w:right="501"/>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41"/>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501"/>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161"/>
              <w:spacing w:after="0" w:line="196" w:lineRule="exact"/>
              <w:rPr>
                <w:sz w:val="20"/>
                <w:szCs w:val="20"/>
                <w:color w:val="auto"/>
              </w:rPr>
            </w:pPr>
            <w:r>
              <w:rPr>
                <w:rFonts w:ascii="Arial" w:cs="Arial" w:eastAsia="Arial" w:hAnsi="Arial"/>
                <w:sz w:val="18"/>
                <w:szCs w:val="18"/>
                <w:color w:val="auto"/>
              </w:rPr>
              <w:t>13,013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161"/>
              <w:spacing w:after="0" w:line="196" w:lineRule="exact"/>
              <w:rPr>
                <w:sz w:val="20"/>
                <w:szCs w:val="20"/>
                <w:color w:val="auto"/>
              </w:rPr>
            </w:pPr>
            <w:r>
              <w:rPr>
                <w:rFonts w:ascii="Arial" w:cs="Arial" w:eastAsia="Arial" w:hAnsi="Arial"/>
                <w:sz w:val="18"/>
                <w:szCs w:val="18"/>
                <w:color w:val="auto"/>
              </w:rPr>
              <w:t>(19,389 )</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Arial" w:cs="Arial" w:eastAsia="Arial" w:hAnsi="Arial"/>
                <w:sz w:val="18"/>
                <w:szCs w:val="18"/>
                <w:color w:val="auto"/>
              </w:rPr>
              <w:t>(14.7 )%</w:t>
            </w:r>
          </w:p>
        </w:tc>
      </w:tr>
    </w:tbl>
    <w:p>
      <w:pPr>
        <w:spacing w:after="0" w:line="120"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Net income was $13.0 million for the three months ended March 31, 2022, compared to a net (loss) of $(19.4) million for the three months ended March 31, 2021. Net income for the three months ended March 31, 2022 increased by $32.4 million compared to the three months ended March 31, 2021.</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margin was 6.9% for the three months ended March 31, 2022, compared to (14.7)% the three months ended March 31, 2021.</w:t>
      </w:r>
    </w:p>
    <w:p>
      <w:pPr>
        <w:spacing w:after="0" w:line="16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improvement in our net income (loss) margin is attributable to our ability to leverage operating efficiencies to control our overall expenses while increasing revenues and our reduction in interest expense.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4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Adjusted EBITDA was $53.6 million for the three months ended March 31, 2022 and represented an Adjusted EBITDA Margin of 28.2%. Adjusted EBITDA was $36.6 million for the three months ended March 31, 2021 and represented an Adjusted EBITDA Margin of 27.7%. Adjusted EBITDA for the three months ended March 31, 2022 increased by $17.0 million, or 46.5%, compared to the three months ended March 31, 2021.</w:t>
      </w:r>
    </w:p>
    <w:p>
      <w:pPr>
        <w:spacing w:after="0" w:line="11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Growth in Adjusted EBITDA was driven primarily from revenues growth attributed to new and existing customers and margin expansion attributed to increased automation, cost efficiencies, and operating leverage, but partially offset by higher third-party data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Adjusted EBITDA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20" w:type="dxa"/>
            <w:vAlign w:val="bottom"/>
          </w:tcPr>
          <w:p>
            <w:pPr>
              <w:jc w:val="center"/>
              <w:ind w:left="441"/>
              <w:spacing w:after="0"/>
              <w:rPr>
                <w:sz w:val="20"/>
                <w:szCs w:val="20"/>
                <w:color w:val="auto"/>
              </w:rPr>
            </w:pPr>
            <w:r>
              <w:rPr>
                <w:rFonts w:ascii="Arial" w:cs="Arial" w:eastAsia="Arial" w:hAnsi="Arial"/>
                <w:sz w:val="14"/>
                <w:szCs w:val="14"/>
                <w:b w:val="1"/>
                <w:bCs w:val="1"/>
                <w:color w:val="auto"/>
                <w:w w:val="95"/>
              </w:rPr>
              <w:t>Three Months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1520" w:type="dxa"/>
            <w:vAlign w:val="bottom"/>
          </w:tcPr>
          <w:p>
            <w:pPr>
              <w:jc w:val="center"/>
              <w:ind w:left="441"/>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jc w:val="center"/>
              <w:ind w:left="441"/>
              <w:spacing w:after="0"/>
              <w:rPr>
                <w:sz w:val="20"/>
                <w:szCs w:val="20"/>
                <w:color w:val="auto"/>
              </w:rPr>
            </w:pPr>
            <w:r>
              <w:rPr>
                <w:rFonts w:ascii="Arial" w:cs="Arial" w:eastAsia="Arial" w:hAnsi="Arial"/>
                <w:sz w:val="14"/>
                <w:szCs w:val="14"/>
                <w:b w:val="1"/>
                <w:bCs w:val="1"/>
                <w:color w:val="auto"/>
                <w:w w:val="96"/>
              </w:rPr>
              <w:t>March 31, 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520" w:type="dxa"/>
            <w:vAlign w:val="bottom"/>
            <w:shd w:val="clear" w:color="auto" w:fill="CFF0FC"/>
          </w:tcPr>
          <w:p>
            <w:pPr>
              <w:jc w:val="right"/>
              <w:ind w:right="1341"/>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13,013</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(19,389 )</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expense, net</w:t>
            </w:r>
          </w:p>
        </w:tc>
        <w:tc>
          <w:tcPr>
            <w:tcW w:w="15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(850 )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6,717</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4,935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(4,435 )</w:t>
            </w:r>
          </w:p>
        </w:tc>
      </w:tr>
      <w:tr>
        <w:trPr>
          <w:trHeight w:val="202"/>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7"/>
                <w:szCs w:val="17"/>
                <w:color w:val="auto"/>
              </w:rPr>
            </w:pP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87"/>
              </w:rPr>
              <w:t>34,034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34,763</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extinguishment of debt</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13,938</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520" w:type="dxa"/>
            <w:vAlign w:val="bottom"/>
          </w:tcPr>
          <w:p>
            <w:pPr>
              <w:spacing w:after="0"/>
              <w:rPr>
                <w:sz w:val="17"/>
                <w:szCs w:val="17"/>
                <w:color w:val="auto"/>
              </w:rPr>
            </w:pP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562</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Transaction and acquisition-related charges </w:t>
            </w:r>
            <w:r>
              <w:rPr>
                <w:rFonts w:ascii="Arial" w:cs="Arial" w:eastAsia="Arial" w:hAnsi="Arial"/>
                <w:sz w:val="23"/>
                <w:szCs w:val="23"/>
                <w:color w:val="auto"/>
                <w:vertAlign w:val="superscript"/>
              </w:rPr>
              <w:t>(a)</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1,498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3,984</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(b)</w:t>
            </w:r>
          </w:p>
        </w:tc>
        <w:tc>
          <w:tcPr>
            <w:tcW w:w="1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450</w:t>
            </w:r>
          </w:p>
        </w:tc>
      </w:tr>
      <w:tr>
        <w:trPr>
          <w:trHeight w:val="236"/>
        </w:trPr>
        <w:tc>
          <w:tcPr>
            <w:tcW w:w="6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1520" w:type="dxa"/>
            <w:vAlign w:val="bottom"/>
            <w:tcBorders>
              <w:bottom w:val="single" w:sz="8" w:color="auto"/>
            </w:tcBorders>
            <w:shd w:val="clear" w:color="auto" w:fill="CFF0FC"/>
          </w:tcPr>
          <w:p>
            <w:pPr>
              <w:jc w:val="right"/>
              <w:ind w:right="1341"/>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87"/>
              </w:rPr>
              <w:t>53,600</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rPr>
              <w:t>36,590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120" w:hanging="512"/>
        <w:spacing w:after="0" w:line="247"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the three months ended March 31, 2021 includes incremental professional service fees incurred related to the IPO and the three months ended March 31, 2022 includes a transaction bonus expense related to one of the Company’s 2021 acquisitions.</w:t>
      </w:r>
    </w:p>
    <w:p>
      <w:pPr>
        <w:ind w:left="520" w:right="440" w:hanging="512"/>
        <w:spacing w:after="0" w:line="255"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ind w:right="240"/>
        <w:spacing w:after="0" w:line="261" w:lineRule="auto"/>
        <w:rPr>
          <w:sz w:val="20"/>
          <w:szCs w:val="20"/>
          <w:color w:val="auto"/>
        </w:rPr>
      </w:pPr>
      <w:r>
        <w:rPr>
          <w:rFonts w:ascii="Arial" w:cs="Arial" w:eastAsia="Arial" w:hAnsi="Arial"/>
          <w:sz w:val="18"/>
          <w:szCs w:val="18"/>
          <w:color w:val="auto"/>
        </w:rPr>
        <w:t>We define Adjusted EBITDA Margin as Adjusted EBITDA divided by total revenues. The following table presents the calculation of Adjusted EBITDA Margin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center"/>
              <w:ind w:right="419"/>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center"/>
              <w:ind w:right="419"/>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4"/>
              </w:rPr>
              <w:t>March 31, 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rPr>
              <w:t>53,600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rPr>
              <w:t>36,590</w:t>
            </w:r>
          </w:p>
        </w:tc>
      </w:tr>
      <w:tr>
        <w:trPr>
          <w:trHeight w:val="203"/>
        </w:trPr>
        <w:tc>
          <w:tcPr>
            <w:tcW w:w="6900" w:type="dxa"/>
            <w:vAlign w:val="bottom"/>
          </w:tcPr>
          <w:p>
            <w:pPr>
              <w:ind w:left="20"/>
              <w:spacing w:after="0" w:line="202" w:lineRule="exact"/>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7"/>
                <w:szCs w:val="17"/>
                <w:color w:val="auto"/>
              </w:rPr>
            </w:pPr>
          </w:p>
        </w:tc>
        <w:tc>
          <w:tcPr>
            <w:tcW w:w="18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189,881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132,070</w:t>
            </w:r>
          </w:p>
        </w:tc>
      </w:tr>
      <w:tr>
        <w:trPr>
          <w:trHeight w:val="203"/>
        </w:trPr>
        <w:tc>
          <w:tcPr>
            <w:tcW w:w="6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28.2 %</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27.7 %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Adjusted EBITDA and Adjusted EBITDA Margin by segment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center"/>
              <w:ind w:right="454"/>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center"/>
              <w:ind w:right="434"/>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ind w:right="414"/>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jc w:val="center"/>
              <w:ind w:right="39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414"/>
              <w:spacing w:after="0"/>
              <w:rPr>
                <w:sz w:val="20"/>
                <w:szCs w:val="20"/>
                <w:color w:val="auto"/>
              </w:rPr>
            </w:pPr>
            <w:r>
              <w:rPr>
                <w:rFonts w:ascii="Arial" w:cs="Arial" w:eastAsia="Arial" w:hAnsi="Arial"/>
                <w:sz w:val="14"/>
                <w:szCs w:val="14"/>
                <w:b w:val="1"/>
                <w:bCs w:val="1"/>
                <w:color w:val="auto"/>
                <w:w w:val="96"/>
              </w:rPr>
              <w:t>March 31, 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1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84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684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46,819</w:t>
            </w: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33,847</w:t>
            </w:r>
          </w:p>
        </w:tc>
      </w:tr>
      <w:tr>
        <w:trPr>
          <w:trHeight w:val="203"/>
        </w:trPr>
        <w:tc>
          <w:tcPr>
            <w:tcW w:w="68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6,781</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2,743</w:t>
            </w:r>
          </w:p>
        </w:tc>
      </w:tr>
      <w:tr>
        <w:trPr>
          <w:trHeight w:val="196"/>
        </w:trPr>
        <w:tc>
          <w:tcPr>
            <w:tcW w:w="6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53,600</w:t>
            </w:r>
          </w:p>
        </w:tc>
        <w:tc>
          <w:tcPr>
            <w:tcW w:w="5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36,590</w:t>
            </w:r>
          </w:p>
        </w:tc>
      </w:tr>
      <w:tr>
        <w:trPr>
          <w:trHeight w:val="20"/>
        </w:trPr>
        <w:tc>
          <w:tcPr>
            <w:tcW w:w="6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160,088</w:t>
            </w:r>
          </w:p>
        </w:tc>
        <w:tc>
          <w:tcPr>
            <w:tcW w:w="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116,524</w:t>
            </w:r>
          </w:p>
        </w:tc>
      </w:tr>
      <w:tr>
        <w:trPr>
          <w:trHeight w:val="203"/>
        </w:trPr>
        <w:tc>
          <w:tcPr>
            <w:tcW w:w="6840" w:type="dxa"/>
            <w:vAlign w:val="bottom"/>
          </w:tcPr>
          <w:p>
            <w:pPr>
              <w:ind w:left="120"/>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7"/>
                <w:szCs w:val="17"/>
                <w:color w:val="auto"/>
              </w:rPr>
            </w:pPr>
          </w:p>
        </w:tc>
        <w:tc>
          <w:tcPr>
            <w:tcW w:w="1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31,741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16,562</w:t>
            </w:r>
          </w:p>
        </w:tc>
      </w:tr>
      <w:tr>
        <w:trPr>
          <w:trHeight w:val="203"/>
        </w:trPr>
        <w:tc>
          <w:tcPr>
            <w:tcW w:w="68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Less: intersegment eliminations</w:t>
            </w:r>
          </w:p>
        </w:tc>
        <w:tc>
          <w:tcPr>
            <w:tcW w:w="28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(1,948 )</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(1,016 )</w:t>
            </w:r>
          </w:p>
        </w:tc>
      </w:tr>
      <w:tr>
        <w:trPr>
          <w:trHeight w:val="196"/>
        </w:trPr>
        <w:tc>
          <w:tcPr>
            <w:tcW w:w="684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189,881</w:t>
            </w:r>
          </w:p>
        </w:tc>
        <w:tc>
          <w:tcPr>
            <w:tcW w:w="5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132,070</w:t>
            </w:r>
          </w:p>
        </w:tc>
      </w:tr>
      <w:tr>
        <w:trPr>
          <w:trHeight w:val="20"/>
        </w:trPr>
        <w:tc>
          <w:tcPr>
            <w:tcW w:w="6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Margin</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29.2 %</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29.0 %</w:t>
            </w:r>
          </w:p>
        </w:tc>
      </w:tr>
      <w:tr>
        <w:trPr>
          <w:trHeight w:val="203"/>
        </w:trPr>
        <w:tc>
          <w:tcPr>
            <w:tcW w:w="6840" w:type="dxa"/>
            <w:vAlign w:val="bottom"/>
          </w:tcPr>
          <w:p>
            <w:pPr>
              <w:ind w:left="120"/>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21.4 %</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16.6 %</w:t>
            </w:r>
          </w:p>
        </w:tc>
      </w:tr>
      <w:tr>
        <w:trPr>
          <w:trHeight w:val="203"/>
        </w:trPr>
        <w:tc>
          <w:tcPr>
            <w:tcW w:w="6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28.2 %</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-1607820</wp:posOffset>
            </wp:positionV>
            <wp:extent cx="13716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-802005</wp:posOffset>
            </wp:positionV>
            <wp:extent cx="1371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23" w:lineRule="exact"/>
        <w:rPr>
          <w:sz w:val="20"/>
          <w:szCs w:val="20"/>
          <w:color w:val="auto"/>
        </w:rPr>
      </w:pPr>
    </w:p>
    <w:p>
      <w:pPr>
        <w:ind w:left="520" w:right="60" w:hanging="512"/>
        <w:spacing w:after="0" w:line="273"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the reconciliation of net income to Adjusted EBITDA above. Adjusted EBITDA margins are calculated using segment gross revenues and segment Adjusted EBITDA. Consolidated Adjusted EBITDA margin is calculated using consolidated revenues and consolidated Adjusted EBITDA.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Adjusted Net Income was $33.5 million for the three months ended March 31, 2022, compared to $20.5 million for the three months ended March 31, 2021. Adjusted Net Income for the three months ended March 31, 2022 increased by $13.0 million, or 63.4%, compared to the three months ended March 31, 2021.</w:t>
      </w:r>
    </w:p>
    <w:p>
      <w:pPr>
        <w:spacing w:after="0" w:line="12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Adjusted Diluted Earnings Per Share was $0.22 for the three months ended March 31, 2022, compared to $0.16 for three months ended March 31, 2021. Adjusted Diluted Earnings Per Share for the three months ended March 31, 2022 increased by $0.06, or 37.5%, compared to the three months ended March 31, 2021.</w:t>
      </w:r>
    </w:p>
    <w:p>
      <w:pPr>
        <w:spacing w:after="0" w:line="12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This growth was driven primarily by the same factors contributing to Adjusted EBITDA growth, though Adjusted Net Income and Adjusted Diluted Earnings Per Share are also impacted by changes in acquisition-related depreciation and amortization and changes in our capital structure that are captured in interest expense. The 2021 February refinancing and repayment of the Company’s Successor First Lien and Successor Second Lien debt and gains or losses on the Company’s interest rate swaps impact the comparability of Adjusted Net Income and Adjusted Diluted Earnings Per Share across historical periods.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tables present a reconciliation of Adjusted Net Income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20" w:type="dxa"/>
            <w:vAlign w:val="bottom"/>
          </w:tcPr>
          <w:p>
            <w:pPr>
              <w:jc w:val="center"/>
              <w:ind w:left="441"/>
              <w:spacing w:after="0"/>
              <w:rPr>
                <w:sz w:val="20"/>
                <w:szCs w:val="20"/>
                <w:color w:val="auto"/>
              </w:rPr>
            </w:pPr>
            <w:r>
              <w:rPr>
                <w:rFonts w:ascii="Arial" w:cs="Arial" w:eastAsia="Arial" w:hAnsi="Arial"/>
                <w:sz w:val="14"/>
                <w:szCs w:val="14"/>
                <w:b w:val="1"/>
                <w:bCs w:val="1"/>
                <w:color w:val="auto"/>
                <w:w w:val="95"/>
              </w:rPr>
              <w:t>Three Months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14"/>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1520" w:type="dxa"/>
            <w:vAlign w:val="bottom"/>
          </w:tcPr>
          <w:p>
            <w:pPr>
              <w:jc w:val="center"/>
              <w:ind w:left="441"/>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jc w:val="center"/>
              <w:ind w:left="441"/>
              <w:spacing w:after="0"/>
              <w:rPr>
                <w:sz w:val="20"/>
                <w:szCs w:val="20"/>
                <w:color w:val="auto"/>
              </w:rPr>
            </w:pPr>
            <w:r>
              <w:rPr>
                <w:rFonts w:ascii="Arial" w:cs="Arial" w:eastAsia="Arial" w:hAnsi="Arial"/>
                <w:sz w:val="14"/>
                <w:szCs w:val="14"/>
                <w:b w:val="1"/>
                <w:bCs w:val="1"/>
                <w:color w:val="auto"/>
                <w:w w:val="96"/>
              </w:rPr>
              <w:t>March 31, 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520" w:type="dxa"/>
            <w:vAlign w:val="bottom"/>
            <w:shd w:val="clear" w:color="auto" w:fill="CFF0FC"/>
          </w:tcPr>
          <w:p>
            <w:pPr>
              <w:jc w:val="right"/>
              <w:ind w:right="1341"/>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13,013</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(19,389 )</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1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4,935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(4,435 )</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provision for income taxes</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17,948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(23,824 )</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7"/>
                <w:szCs w:val="17"/>
                <w:color w:val="auto"/>
              </w:rPr>
              <w:t>Debt-related charges</w:t>
            </w:r>
            <w:r>
              <w:rPr>
                <w:rFonts w:ascii="Arial" w:cs="Arial" w:eastAsia="Arial" w:hAnsi="Arial"/>
                <w:sz w:val="23"/>
                <w:szCs w:val="23"/>
                <w:color w:val="auto"/>
                <w:vertAlign w:val="superscript"/>
              </w:rPr>
              <w:t>(a)</w:t>
            </w:r>
          </w:p>
        </w:tc>
        <w:tc>
          <w:tcPr>
            <w:tcW w:w="15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3"/>
              </w:rPr>
              <w:t>(4,815 )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14,911</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Acquisition-related depreciation and amortization</w:t>
            </w:r>
            <w:r>
              <w:rPr>
                <w:rFonts w:ascii="Arial" w:cs="Arial" w:eastAsia="Arial" w:hAnsi="Arial"/>
                <w:sz w:val="23"/>
                <w:szCs w:val="23"/>
                <w:color w:val="auto"/>
                <w:vertAlign w:val="superscript"/>
              </w:rPr>
              <w:t>(b)</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87"/>
              </w:rPr>
              <w:t>29,115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31,512</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520" w:type="dxa"/>
            <w:vAlign w:val="bottom"/>
          </w:tcPr>
          <w:p>
            <w:pPr>
              <w:spacing w:after="0"/>
              <w:rPr>
                <w:sz w:val="17"/>
                <w:szCs w:val="17"/>
                <w:color w:val="auto"/>
              </w:rPr>
            </w:pP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562</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Transaction and acquisition-related charges</w:t>
            </w:r>
            <w:r>
              <w:rPr>
                <w:rFonts w:ascii="Arial" w:cs="Arial" w:eastAsia="Arial" w:hAnsi="Arial"/>
                <w:sz w:val="23"/>
                <w:szCs w:val="23"/>
                <w:color w:val="auto"/>
                <w:vertAlign w:val="superscript"/>
              </w:rPr>
              <w:t>(c)</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1,498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3,984</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(d)</w:t>
            </w:r>
          </w:p>
        </w:tc>
        <w:tc>
          <w:tcPr>
            <w:tcW w:w="1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450</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Net Income before income tax effect</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44,716</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27,595</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7"/>
                <w:szCs w:val="17"/>
                <w:color w:val="auto"/>
              </w:rPr>
              <w:t>Less: Income tax effect</w:t>
            </w:r>
            <w:r>
              <w:rPr>
                <w:rFonts w:ascii="Arial" w:cs="Arial" w:eastAsia="Arial" w:hAnsi="Arial"/>
                <w:sz w:val="23"/>
                <w:szCs w:val="23"/>
                <w:color w:val="auto"/>
                <w:vertAlign w:val="superscript"/>
              </w:rPr>
              <w:t>(e)</w:t>
            </w:r>
          </w:p>
        </w:tc>
        <w:tc>
          <w:tcPr>
            <w:tcW w:w="1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87"/>
              </w:rPr>
              <w:t>11,219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7,092</w:t>
            </w:r>
          </w:p>
        </w:tc>
      </w:tr>
      <w:tr>
        <w:trPr>
          <w:trHeight w:val="236"/>
        </w:trPr>
        <w:tc>
          <w:tcPr>
            <w:tcW w:w="6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Net Income</w:t>
            </w:r>
          </w:p>
        </w:tc>
        <w:tc>
          <w:tcPr>
            <w:tcW w:w="1520" w:type="dxa"/>
            <w:vAlign w:val="bottom"/>
            <w:tcBorders>
              <w:bottom w:val="single" w:sz="8" w:color="auto"/>
            </w:tcBorders>
            <w:shd w:val="clear" w:color="auto" w:fill="CFF0FC"/>
          </w:tcPr>
          <w:p>
            <w:pPr>
              <w:jc w:val="right"/>
              <w:ind w:right="1341"/>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87"/>
              </w:rPr>
              <w:t>33,497</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20,503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following table presents the calculation of Adjusted Diluted Earnings Per Share for the periods presented.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center"/>
              <w:ind w:right="314"/>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ind w:right="314"/>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 net income (loss) per share (GAAP)</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(0.15 )</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Adjusted Net Income adjustments per share</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6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(0.03 )</w:t>
            </w:r>
          </w:p>
        </w:tc>
      </w:tr>
      <w:tr>
        <w:trPr>
          <w:trHeight w:val="203"/>
        </w:trPr>
        <w:tc>
          <w:tcPr>
            <w:tcW w:w="692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Debt-related charges </w:t>
            </w:r>
            <w:r>
              <w:rPr>
                <w:rFonts w:ascii="Arial" w:cs="Arial" w:eastAsia="Arial" w:hAnsi="Arial"/>
                <w:sz w:val="23"/>
                <w:szCs w:val="23"/>
                <w:color w:val="auto"/>
                <w:vertAlign w:val="superscript"/>
              </w:rPr>
              <w:t>(a)</w:t>
            </w:r>
          </w:p>
        </w:tc>
        <w:tc>
          <w:tcPr>
            <w:tcW w:w="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(0.03 )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0.11</w:t>
            </w:r>
          </w:p>
        </w:tc>
      </w:tr>
      <w:tr>
        <w:trPr>
          <w:trHeight w:val="203"/>
        </w:trPr>
        <w:tc>
          <w:tcPr>
            <w:tcW w:w="692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Acquisition-related depreciation and amortization </w:t>
            </w:r>
            <w:r>
              <w:rPr>
                <w:rFonts w:ascii="Arial" w:cs="Arial" w:eastAsia="Arial" w:hAnsi="Arial"/>
                <w:sz w:val="23"/>
                <w:szCs w:val="23"/>
                <w:color w:val="auto"/>
                <w:vertAlign w:val="superscript"/>
              </w:rPr>
              <w:t>(b)</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0.24</w:t>
            </w:r>
          </w:p>
        </w:tc>
      </w:tr>
      <w:tr>
        <w:trPr>
          <w:trHeight w:val="203"/>
        </w:trPr>
        <w:tc>
          <w:tcPr>
            <w:tcW w:w="69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7"/>
                <w:szCs w:val="17"/>
                <w:color w:val="auto"/>
              </w:rPr>
            </w:pPr>
          </w:p>
        </w:tc>
        <w:tc>
          <w:tcPr>
            <w:tcW w:w="1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0.00</w:t>
            </w:r>
          </w:p>
        </w:tc>
      </w:tr>
      <w:tr>
        <w:trPr>
          <w:trHeight w:val="203"/>
        </w:trPr>
        <w:tc>
          <w:tcPr>
            <w:tcW w:w="692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Transaction and acquisition related charges </w:t>
            </w:r>
            <w:r>
              <w:rPr>
                <w:rFonts w:ascii="Arial" w:cs="Arial" w:eastAsia="Arial" w:hAnsi="Arial"/>
                <w:sz w:val="23"/>
                <w:szCs w:val="23"/>
                <w:color w:val="auto"/>
                <w:vertAlign w:val="superscript"/>
              </w:rPr>
              <w:t>(c)</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0.03</w:t>
            </w:r>
          </w:p>
        </w:tc>
      </w:tr>
      <w:tr>
        <w:trPr>
          <w:trHeight w:val="202"/>
        </w:trPr>
        <w:tc>
          <w:tcPr>
            <w:tcW w:w="692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(d)</w:t>
            </w:r>
          </w:p>
        </w:tc>
        <w:tc>
          <w:tcPr>
            <w:tcW w:w="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(0.01 )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0.00</w:t>
            </w:r>
          </w:p>
        </w:tc>
      </w:tr>
      <w:tr>
        <w:trPr>
          <w:trHeight w:val="203"/>
        </w:trPr>
        <w:tc>
          <w:tcPr>
            <w:tcW w:w="69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Adjusted income taxes </w:t>
            </w:r>
            <w:r>
              <w:rPr>
                <w:rFonts w:ascii="Arial" w:cs="Arial" w:eastAsia="Arial" w:hAnsi="Arial"/>
                <w:sz w:val="23"/>
                <w:szCs w:val="23"/>
                <w:color w:val="auto"/>
                <w:vertAlign w:val="superscript"/>
              </w:rPr>
              <w:t>(e)</w:t>
            </w:r>
          </w:p>
        </w:tc>
        <w:tc>
          <w:tcPr>
            <w:tcW w:w="32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(0.07 )</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(0.05 )</w:t>
            </w:r>
          </w:p>
        </w:tc>
      </w:tr>
      <w:tr>
        <w:trPr>
          <w:trHeight w:val="196"/>
        </w:trPr>
        <w:tc>
          <w:tcPr>
            <w:tcW w:w="692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Adjusted Diluted Earnings Per Share (Non-GAAP)</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0.22</w:t>
            </w:r>
          </w:p>
        </w:tc>
        <w:tc>
          <w:tcPr>
            <w:tcW w:w="42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0.16</w:t>
            </w:r>
          </w:p>
        </w:tc>
      </w:tr>
      <w:tr>
        <w:trPr>
          <w:trHeight w:val="20"/>
        </w:trPr>
        <w:tc>
          <w:tcPr>
            <w:tcW w:w="6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9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r>
      <w:tr>
        <w:trPr>
          <w:trHeight w:val="162"/>
        </w:trPr>
        <w:tc>
          <w:tcPr>
            <w:tcW w:w="6920" w:type="dxa"/>
            <w:vAlign w:val="bottom"/>
          </w:tcPr>
          <w:p>
            <w:pPr>
              <w:ind w:left="20"/>
              <w:spacing w:after="0" w:line="162" w:lineRule="exact"/>
              <w:rPr>
                <w:sz w:val="20"/>
                <w:szCs w:val="20"/>
                <w:color w:val="auto"/>
              </w:rPr>
            </w:pPr>
            <w:r>
              <w:rPr>
                <w:rFonts w:ascii="Arial" w:cs="Arial" w:eastAsia="Arial" w:hAnsi="Arial"/>
                <w:sz w:val="18"/>
                <w:szCs w:val="18"/>
                <w:color w:val="auto"/>
                <w:w w:val="96"/>
              </w:rPr>
              <w:t>Weighted average number of shares outstanding used in computation of Adjusted Diluted</w:t>
            </w: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3"/>
        </w:trPr>
        <w:tc>
          <w:tcPr>
            <w:tcW w:w="6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 average number of shares outstanding—diluted (GAAP and Non-GAAP)</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152,348,806</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130,000,000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-656590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9" w:lineRule="exact"/>
        <w:rPr>
          <w:sz w:val="20"/>
          <w:szCs w:val="20"/>
          <w:color w:val="auto"/>
        </w:rPr>
      </w:pPr>
    </w:p>
    <w:p>
      <w:pPr>
        <w:ind w:left="520" w:right="160" w:hanging="512"/>
        <w:spacing w:after="0" w:line="245"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loss on extinguishment of debt and non-cash interest expense related to the amortization of debt issuance costs for the 2021 February refinancing and repayment of the Company’s Successor First Lien Credit Facility (as defined below) and Successor Second Lien Credit Facility (as defined below), respectively. Beginning in 2022, this adjustment also includes the impact of the change in fair value of interest rate swaps. This adjustment, which represents the fair value gains or losses on the interest rate swaps, was added as a result of the increased interest rate volatility observed in the first quarter of 2022. The Company determined that the impact to the previous year, $1.0 million for the three months ended March 31, 2021, was not significant and therefore the previously reported amounts will not be recast.</w:t>
      </w:r>
    </w:p>
    <w:p>
      <w:pPr>
        <w:ind w:left="520" w:hanging="512"/>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depreciation and amortization expense related to intangible assets and developed technology assets recorded due to the application of ASC 805</w:t>
      </w:r>
      <w:r>
        <w:rPr>
          <w:rFonts w:ascii="Arial" w:cs="Arial" w:eastAsia="Arial" w:hAnsi="Arial"/>
          <w:sz w:val="13"/>
          <w:szCs w:val="13"/>
          <w:i w:val="1"/>
          <w:iCs w:val="1"/>
          <w:color w:val="auto"/>
        </w:rPr>
        <w:t>, Business Combinations</w:t>
      </w:r>
      <w:r>
        <w:rPr>
          <w:rFonts w:ascii="Arial" w:cs="Arial" w:eastAsia="Arial" w:hAnsi="Arial"/>
          <w:sz w:val="13"/>
          <w:szCs w:val="13"/>
          <w:color w:val="auto"/>
        </w:rPr>
        <w:t>.</w:t>
      </w:r>
    </w:p>
    <w:p>
      <w:pPr>
        <w:spacing w:after="0" w:line="12" w:lineRule="exact"/>
        <w:rPr>
          <w:rFonts w:ascii="Arial" w:cs="Arial" w:eastAsia="Arial" w:hAnsi="Arial"/>
          <w:sz w:val="13"/>
          <w:szCs w:val="13"/>
          <w:color w:val="auto"/>
        </w:rPr>
      </w:pPr>
    </w:p>
    <w:p>
      <w:pPr>
        <w:ind w:left="520" w:right="120" w:hanging="512"/>
        <w:spacing w:after="0" w:line="24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the three months ended March 31, 2021 includes incremental professional service fees incurred related to the IPO and the three months ended March 31, 2022 includes a transaction bonus expense related to one of the Company’s 2021 acquisitions.</w:t>
      </w:r>
    </w:p>
    <w:p>
      <w:pPr>
        <w:spacing w:after="0" w:line="1" w:lineRule="exact"/>
        <w:rPr>
          <w:rFonts w:ascii="Arial" w:cs="Arial" w:eastAsia="Arial" w:hAnsi="Arial"/>
          <w:sz w:val="14"/>
          <w:szCs w:val="14"/>
          <w:color w:val="auto"/>
        </w:rPr>
      </w:pPr>
    </w:p>
    <w:p>
      <w:pPr>
        <w:ind w:left="520" w:right="440" w:hanging="512"/>
        <w:spacing w:after="0" w:line="24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ind w:left="520" w:right="120" w:hanging="512"/>
        <w:spacing w:after="0" w:line="246"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Effective tax rates of approximately 25.1% and 25.7% have been used to compute Adjusted Net Income and Adjusted Diluted Earnings Per Share for the three months ended March 31, 2022 and 2021, respectively. As of December 31, 2021, we had net operating loss carryforwards of approximately $120.1 million for federal income tax purposes available to reduce future income subject to income taxes. As a result, the amount of actual cash taxes we pay for federal income taxes differs significantly from the effective income tax rate computed in accordance with GAAP and from the normalized rate shown above.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could become a material use of funds, depending on our future profitability, and future tax rates. The Company’s liquidity needs are met primarily through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of March 31, 2022, we had $307.7 million in cash and cash equivalents and $100.0 million available under our revolving credit facility. As of March 31, 2022, we had $564.7 million of total debt outstanding. We believe our cash on hand, together with amounts available under our revolving credit facility, and cash provided by (used in)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2021.</w:t>
      </w:r>
    </w:p>
    <w:p>
      <w:pPr>
        <w:spacing w:after="0" w:line="11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may from time to time repurchase shares of our common stock in the open market at prevailing market prices (including through a Rule 10b5-1 plan), in privately negotiated transactions, a combination thereof or through other transactions. The actual timing, number, manner and value of any shares repurchased will depend on several factors, including the market price of our stock, general market and economic conditions, our liquidity requirements, applicable legal requirements and other business considerations.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February 2020,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connection with the IPO, the Company entered into an amendment to increase the borrowing capacity under the Successor Revolver from $75.0 million to $100.0 million and extend the maturity date from January 31, 2025 to July 31, 2026.</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spacing w:after="0" w:line="262" w:lineRule="auto"/>
        <w:rPr>
          <w:sz w:val="20"/>
          <w:szCs w:val="20"/>
          <w:color w:val="auto"/>
        </w:rPr>
      </w:pPr>
      <w:r>
        <w:rPr>
          <w:rFonts w:ascii="Arial" w:cs="Arial" w:eastAsia="Arial" w:hAnsi="Arial"/>
          <w:sz w:val="17"/>
          <w:szCs w:val="17"/>
          <w:color w:val="auto"/>
        </w:rPr>
        <w:t>In connection with the closing of the IPO, on June 30, 2021, the Company repaid $200.0 million of the Successor First Lien Credit Facility outstanding, of which $44.3 million was applied to all of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Cash Flows for the three months ended March 31, 2022 compared to the three months ended March 31,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 activity for the periods presented:</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March 31, 2022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March 31, 2021</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41,583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23,713</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(26,472 )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(12,127 )</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(50,762 )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Net cash provided by operating activities was $41.6 million for the three months ended March 31, 2022, compared to $23.7 million for the three months ended March 31, 2021. Net cash provided by operating activities for the three months ended March 31, 2022 increased by $17.9 million compared to the three months ended March 31, 2021. Cash flows from operating activities was positively impacted by increased profitability related to the Company’s revenues growth from existing customers, new customer go-lives, and recent acquisitions. This was offset in part by the use of cash for working capital primarily due to the high level of revenues growth and the timing of compensation payments in the first quarter of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Net cash used in investing activities was $26.5 million for the three months ended March 31, 2022, compared to $12.1 million for the three months ended March 31, 2021. Net cash used in investing activities for the three months ended March 31, 2022 increased by $14.3 million compared to the three months ended March 31, 2021. The cash flows used in investing activities for the three months ended March 31, 2022 were impacted by the $19.1 million acquisition of Form I-9 Compliance, net of cash acquired. The remaining investing cash flows are driven primarily by capitalized software development costs and purchases of property and equipment, which increased in 2022 as we continue to make incremental investments in our technology platform.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Net cash used in financing activities was $0.0 million for the three months ended March 31, 2022, compared to $50.8 million for the three months ended March 31, 2021. Net cash used in financing activities for the three months ended March 31, 2022 decreased by $(50.7) million compared to the three months ended March 31, 2021. Net cash used in financing activities for the three months ended March 31, 2021 was impacted by the Company’s February 2021 debt refinancing which consisted of a refinancing of the Successor First Lien Credit Facility and the full repayment of the Successor Second Lien Credit Facility which did not reoccur in 2022. Cash outflows related to this refinancing were $308.5 million, partially offset by cash inflows of $261.4 million. As part of the refinancing, the Company paid $1.3 million related to new debt issuance costs. The remaining outflows primarily consisted of amortizing principal payments due under the Successor First Lien Credit Facility.</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March 31, 2022, no material change had occurred in our market risks, compared with the disclosure in our Annual Report on Form 10-K and filed with the Securities and Exchange Commission on March 23,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the quarter covered by this report, there were no changes in our internal control over financial reporting that materially affected, or are reasonably likely to materially affect, our internal control over financial reporting.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Information in response to this Item is included in “Part I — Item 1. — Note 12 — Commitments and Contingencies” and is incorporated by reference into Part II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March 31, 2022, no material changes had occurred in our risk factors, compared with the disclosure in our Annual Report on Form 10-K and filed with the Securities and Exchange Commission on March 23,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June 25, 2021, we completed our IPO. All shares sold were registered pursuant to a registration statement on Form S-1 (File No. 333-256622), as amended (the “Registration Statement”), declared effective by the SEC on June 22,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Registration Statement.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Furnish the exhibits required by Item 601 of Regulation S-K (§ 229.601 of this chapter).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80" w:type="dxa"/>
            <w:vAlign w:val="bottom"/>
            <w:gridSpan w:val="7"/>
            <w:vMerge w:val="restart"/>
          </w:tcPr>
          <w:p>
            <w:pPr>
              <w:ind w:left="15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8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20" w:type="dxa"/>
            <w:vAlign w:val="bottom"/>
          </w:tcPr>
          <w:p>
            <w:pPr>
              <w:ind w:left="20"/>
              <w:spacing w:after="0" w:line="142"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11"/>
          </w:tcPr>
          <w:p>
            <w:pPr>
              <w:spacing w:after="0" w:line="142" w:lineRule="exact"/>
              <w:rPr>
                <w:rFonts w:ascii="Arial" w:cs="Arial" w:eastAsia="Arial" w:hAnsi="Arial"/>
                <w:sz w:val="16"/>
                <w:szCs w:val="16"/>
                <w:color w:val="0000FF"/>
                <w:w w:val="95"/>
              </w:rPr>
            </w:pPr>
            <w:hyperlink r:id="rId138">
              <w:r>
                <w:rPr>
                  <w:rFonts w:ascii="Arial" w:cs="Arial" w:eastAsia="Arial" w:hAnsi="Arial"/>
                  <w:sz w:val="16"/>
                  <w:szCs w:val="16"/>
                  <w:color w:val="0000FF"/>
                  <w:w w:val="95"/>
                </w:rPr>
                <w:t>Amended and Restated Certificate of Incorporation of First Advantage Corporation (incorporated herein by reference to Exhibit 3.1 of First Advantage’s</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Form 8-K filed on June 25, 2021).</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tcBorders>
            <w:gridSpan w:val="3"/>
          </w:tcPr>
          <w:p>
            <w:pPr>
              <w:spacing w:after="0" w:line="155" w:lineRule="exact"/>
              <w:rPr>
                <w:rFonts w:ascii="Arial" w:cs="Arial" w:eastAsia="Arial" w:hAnsi="Arial"/>
                <w:sz w:val="16"/>
                <w:szCs w:val="16"/>
                <w:color w:val="0000FF"/>
                <w:w w:val="91"/>
              </w:rPr>
            </w:pPr>
            <w:hyperlink r:id="rId139">
              <w:r>
                <w:rPr>
                  <w:rFonts w:ascii="Arial" w:cs="Arial" w:eastAsia="Arial" w:hAnsi="Arial"/>
                  <w:sz w:val="16"/>
                  <w:szCs w:val="16"/>
                  <w:color w:val="0000FF"/>
                  <w:w w:val="91"/>
                </w:rPr>
                <w:t>Amended and Restated Bylaws of</w:t>
              </w:r>
            </w:hyperlink>
          </w:p>
        </w:tc>
        <w:tc>
          <w:tcPr>
            <w:tcW w:w="7980" w:type="dxa"/>
            <w:vAlign w:val="bottom"/>
            <w:gridSpan w:val="8"/>
          </w:tcPr>
          <w:p>
            <w:pPr>
              <w:ind w:left="20"/>
              <w:spacing w:after="0" w:line="155" w:lineRule="exact"/>
              <w:rPr>
                <w:rFonts w:ascii="Arial" w:cs="Arial" w:eastAsia="Arial" w:hAnsi="Arial"/>
                <w:sz w:val="16"/>
                <w:szCs w:val="16"/>
                <w:color w:val="0000FF"/>
                <w:w w:val="93"/>
              </w:rPr>
            </w:pPr>
            <w:hyperlink r:id="rId139">
              <w:r>
                <w:rPr>
                  <w:rFonts w:ascii="Arial" w:cs="Arial" w:eastAsia="Arial" w:hAnsi="Arial"/>
                  <w:sz w:val="16"/>
                  <w:szCs w:val="16"/>
                  <w:color w:val="0000FF"/>
                  <w:w w:val="93"/>
                </w:rPr>
                <w:t>First Advantage Corporation (incorporated herein by reference to Exhibit 3.2 of First Advantage’s Form 8-K filed on June</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120" w:type="dxa"/>
            <w:vAlign w:val="bottom"/>
            <w:gridSpan w:val="2"/>
          </w:tcPr>
          <w:p>
            <w:pPr>
              <w:spacing w:after="0"/>
              <w:rPr>
                <w:sz w:val="12"/>
                <w:szCs w:val="12"/>
                <w:color w:val="auto"/>
              </w:rPr>
            </w:pPr>
          </w:p>
        </w:tc>
        <w:tc>
          <w:tcPr>
            <w:tcW w:w="6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8"/>
              </w:rPr>
            </w:pPr>
            <w:hyperlink r:id="rId139">
              <w:r>
                <w:rPr>
                  <w:rFonts w:ascii="Arial" w:cs="Arial" w:eastAsia="Arial" w:hAnsi="Arial"/>
                  <w:sz w:val="16"/>
                  <w:szCs w:val="16"/>
                  <w:color w:val="0000FF"/>
                  <w:w w:val="88"/>
                </w:rPr>
                <w:t>25, 2021).</w:t>
              </w:r>
            </w:hyperlink>
          </w:p>
        </w:tc>
        <w:tc>
          <w:tcPr>
            <w:tcW w:w="20" w:type="dxa"/>
            <w:vAlign w:val="bottom"/>
            <w:tcBorders>
              <w:top w:val="single" w:sz="8" w:color="0000FF"/>
              <w:bottom w:val="single" w:sz="8" w:color="0000EE"/>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67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spacing w:after="0" w:line="155" w:lineRule="exact"/>
              <w:rPr>
                <w:rFonts w:ascii="Arial" w:cs="Arial" w:eastAsia="Arial" w:hAnsi="Arial"/>
                <w:sz w:val="16"/>
                <w:szCs w:val="16"/>
                <w:color w:val="0000FF"/>
                <w:w w:val="78"/>
              </w:rPr>
            </w:pPr>
            <w:hyperlink w:anchor="page42">
              <w:r>
                <w:rPr>
                  <w:rFonts w:ascii="Arial" w:cs="Arial" w:eastAsia="Arial" w:hAnsi="Arial"/>
                  <w:sz w:val="16"/>
                  <w:szCs w:val="16"/>
                  <w:color w:val="0000FF"/>
                  <w:w w:val="78"/>
                </w:rPr>
                <w:t>Certification</w:t>
              </w:r>
            </w:hyperlink>
          </w:p>
        </w:tc>
        <w:tc>
          <w:tcPr>
            <w:tcW w:w="9520" w:type="dxa"/>
            <w:vAlign w:val="bottom"/>
            <w:gridSpan w:val="9"/>
          </w:tcPr>
          <w:p>
            <w:pPr>
              <w:ind w:left="180"/>
              <w:spacing w:after="0" w:line="155" w:lineRule="exact"/>
              <w:rPr>
                <w:rFonts w:ascii="Arial" w:cs="Arial" w:eastAsia="Arial" w:hAnsi="Arial"/>
                <w:sz w:val="16"/>
                <w:szCs w:val="16"/>
                <w:color w:val="0000FF"/>
                <w:w w:val="93"/>
              </w:rPr>
            </w:pPr>
            <w:hyperlink w:anchor="page42">
              <w:r>
                <w:rPr>
                  <w:rFonts w:ascii="Arial" w:cs="Arial" w:eastAsia="Arial" w:hAnsi="Arial"/>
                  <w:sz w:val="16"/>
                  <w:szCs w:val="16"/>
                  <w:color w:val="0000FF"/>
                  <w:w w:val="93"/>
                </w:rPr>
                <w:t>of Principal Executive Officer Pursuant to Rules 13a-14(a) and 15d-14(a) under the Securities Exchange Act of 1934, as Adopted Pursuant to</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42">
              <w:r>
                <w:rPr>
                  <w:rFonts w:ascii="Arial" w:cs="Arial" w:eastAsia="Arial" w:hAnsi="Arial"/>
                  <w:sz w:val="16"/>
                  <w:szCs w:val="16"/>
                  <w:color w:val="0000FF"/>
                </w:rPr>
                <w:t>Section 302 of the Sarbanes-Oxley Act of 2002.</w:t>
              </w:r>
            </w:hyperlink>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1"/>
          </w:tcPr>
          <w:p>
            <w:pPr>
              <w:spacing w:after="0" w:line="155" w:lineRule="exact"/>
              <w:rPr>
                <w:rFonts w:ascii="Arial" w:cs="Arial" w:eastAsia="Arial" w:hAnsi="Arial"/>
                <w:sz w:val="16"/>
                <w:szCs w:val="16"/>
                <w:color w:val="0000FF"/>
                <w:w w:val="94"/>
              </w:rPr>
            </w:pPr>
            <w:hyperlink w:anchor="page43">
              <w:r>
                <w:rPr>
                  <w:rFonts w:ascii="Arial" w:cs="Arial" w:eastAsia="Arial" w:hAnsi="Arial"/>
                  <w:sz w:val="16"/>
                  <w:szCs w:val="16"/>
                  <w:color w:val="0000FF"/>
                  <w:w w:val="94"/>
                </w:rPr>
                <w:t>Certification of Principal Financial Officer Pursuant to Rules 13a-14(a) and 15d-14(a) under the Securities Exchange Act of 1934, as Adopted Pursuant to</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Section 302 of the Sarbanes-Oxley Act of 2002.</w:t>
              </w:r>
            </w:hyperlink>
          </w:p>
        </w:tc>
        <w:tc>
          <w:tcPr>
            <w:tcW w:w="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1"/>
          </w:tcPr>
          <w:p>
            <w:pPr>
              <w:spacing w:after="0" w:line="155" w:lineRule="exact"/>
              <w:rPr>
                <w:rFonts w:ascii="Arial" w:cs="Arial" w:eastAsia="Arial" w:hAnsi="Arial"/>
                <w:sz w:val="16"/>
                <w:szCs w:val="16"/>
                <w:color w:val="0000FF"/>
                <w:w w:val="95"/>
              </w:rPr>
            </w:pPr>
            <w:hyperlink w:anchor="page44">
              <w:r>
                <w:rPr>
                  <w:rFonts w:ascii="Arial" w:cs="Arial" w:eastAsia="Arial" w:hAnsi="Arial"/>
                  <w:sz w:val="16"/>
                  <w:szCs w:val="16"/>
                  <w:color w:val="0000FF"/>
                  <w:w w:val="95"/>
                </w:rPr>
                <w:t>Certification of Principal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56"/>
        </w:trPr>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6"/>
          </w:tcPr>
          <w:p>
            <w:pPr>
              <w:spacing w:after="0" w:line="155" w:lineRule="exact"/>
              <w:rPr>
                <w:rFonts w:ascii="Arial" w:cs="Arial" w:eastAsia="Arial" w:hAnsi="Arial"/>
                <w:sz w:val="16"/>
                <w:szCs w:val="16"/>
                <w:color w:val="0000FF"/>
                <w:w w:val="92"/>
              </w:rPr>
            </w:pPr>
            <w:hyperlink w:anchor="page45">
              <w:r>
                <w:rPr>
                  <w:rFonts w:ascii="Arial" w:cs="Arial" w:eastAsia="Arial" w:hAnsi="Arial"/>
                  <w:sz w:val="16"/>
                  <w:szCs w:val="16"/>
                  <w:color w:val="0000FF"/>
                  <w:w w:val="92"/>
                </w:rPr>
                <w:t>Certification of Principal Financial Officer Pursuant to 18 U.S.C. Section 1350, as Adopted Pursuant to Section 906 of the Sarbanes-Oxley Act of 2002.</w:t>
              </w:r>
            </w:hyperlink>
          </w:p>
        </w:tc>
        <w:tc>
          <w:tcPr>
            <w:tcW w:w="3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line="166" w:lineRule="exact"/>
              <w:rPr>
                <w:sz w:val="20"/>
                <w:szCs w:val="20"/>
                <w:color w:val="auto"/>
              </w:rPr>
            </w:pPr>
            <w:r>
              <w:rPr>
                <w:rFonts w:ascii="Arial" w:cs="Arial" w:eastAsia="Arial" w:hAnsi="Arial"/>
                <w:sz w:val="16"/>
                <w:szCs w:val="16"/>
                <w:color w:val="auto"/>
              </w:rPr>
              <w:t>101.INS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11"/>
          </w:tcPr>
          <w:p>
            <w:pPr>
              <w:spacing w:after="0" w:line="146" w:lineRule="exact"/>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XBRL tags are embedded within the Inline</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1"/>
          </w:tcPr>
          <w:p>
            <w:pPr>
              <w:spacing w:after="0" w:line="175" w:lineRule="exact"/>
              <w:rPr>
                <w:sz w:val="20"/>
                <w:szCs w:val="20"/>
                <w:color w:val="auto"/>
              </w:rPr>
            </w:pPr>
            <w:r>
              <w:rPr>
                <w:rFonts w:ascii="Arial" w:cs="Arial" w:eastAsia="Arial" w:hAnsi="Arial"/>
                <w:sz w:val="16"/>
                <w:szCs w:val="16"/>
                <w:color w:val="auto"/>
              </w:rPr>
              <w:t>XBRL document.</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1"/>
          </w:tcPr>
          <w:p>
            <w:pPr>
              <w:spacing w:after="0" w:line="175" w:lineRule="exact"/>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1"/>
          </w:tcPr>
          <w:p>
            <w:pPr>
              <w:spacing w:after="0" w:line="175" w:lineRule="exact"/>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1"/>
          </w:tcPr>
          <w:p>
            <w:pPr>
              <w:spacing w:after="0" w:line="175" w:lineRule="exact"/>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1"/>
          </w:tcPr>
          <w:p>
            <w:pPr>
              <w:spacing w:after="0" w:line="175" w:lineRule="exact"/>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1"/>
          </w:tcPr>
          <w:p>
            <w:pPr>
              <w:spacing w:after="0" w:line="175" w:lineRule="exact"/>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06"/>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9512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4"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0" w:name="page41"/>
    <w:bookmarkEnd w:id="4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FIRST ADVANTAGE CORPORATION</w:t>
      </w:r>
    </w:p>
    <w:p>
      <w:pPr>
        <w:spacing w:after="0" w:line="169"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155"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15" w:lineRule="auto"/>
        <w:rPr>
          <w:sz w:val="20"/>
          <w:szCs w:val="20"/>
          <w:color w:val="auto"/>
        </w:rPr>
      </w:pPr>
      <w:r>
        <w:rPr>
          <w:rFonts w:ascii="Arial" w:cs="Arial" w:eastAsia="Arial" w:hAnsi="Arial"/>
          <w:sz w:val="17"/>
          <w:szCs w:val="17"/>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1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34" w:lineRule="auto"/>
        <w:rPr>
          <w:sz w:val="20"/>
          <w:szCs w:val="20"/>
          <w:color w:val="auto"/>
        </w:rPr>
      </w:pPr>
      <w:r>
        <w:rPr>
          <w:rFonts w:ascii="Arial" w:cs="Arial" w:eastAsia="Arial" w:hAnsi="Arial"/>
          <w:sz w:val="18"/>
          <w:szCs w:val="18"/>
          <w:b w:val="1"/>
          <w:bCs w:val="1"/>
          <w:color w:val="auto"/>
        </w:rPr>
        <w:t>PURSUANT TO 17 CFR 240.13a-14</w:t>
      </w:r>
    </w:p>
    <w:p>
      <w:pPr>
        <w:jc w:val="center"/>
        <w:spacing w:after="0" w:line="235"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Scott Staples, certify that:</w:t>
      </w:r>
    </w:p>
    <w:p>
      <w:pPr>
        <w:spacing w:after="0" w:line="306"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hanging="514"/>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34" w:lineRule="auto"/>
        <w:rPr>
          <w:sz w:val="20"/>
          <w:szCs w:val="20"/>
          <w:color w:val="auto"/>
        </w:rPr>
      </w:pPr>
      <w:r>
        <w:rPr>
          <w:rFonts w:ascii="Arial" w:cs="Arial" w:eastAsia="Arial" w:hAnsi="Arial"/>
          <w:sz w:val="18"/>
          <w:szCs w:val="18"/>
          <w:b w:val="1"/>
          <w:bCs w:val="1"/>
          <w:color w:val="auto"/>
        </w:rPr>
        <w:t>PURSUANT TO 17 CFR 240.13a-14</w:t>
      </w:r>
    </w:p>
    <w:p>
      <w:pPr>
        <w:jc w:val="center"/>
        <w:spacing w:after="0" w:line="235"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David L. Gamsey, certify that:</w:t>
      </w:r>
    </w:p>
    <w:p>
      <w:pPr>
        <w:spacing w:after="0" w:line="30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03"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276"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27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03"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Letter"/>
      <w:start w:val="25"/>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38" Type="http://schemas.openxmlformats.org/officeDocument/2006/relationships/hyperlink" Target="https://www.sec.gov/Archives/edgar/data/1210677/000119312521200542/d12470dex31.htm" TargetMode="External"/><Relationship Id="rId139" Type="http://schemas.openxmlformats.org/officeDocument/2006/relationships/hyperlink" Target="https://www.sec.gov/Archives/edgar/data/1210677/000119312521200542/d1247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2022-05-11T15:23:50Z</dcterms:created>
  <dcterms:modified xsi:type="dcterms:W3CDTF">2022-05-11T15:23:50Z</dcterms:modified>
</cp:coreProperties>
</file>