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660" w:right="1620" w:hanging="3639"/>
        <w:spacing w:after="0" w:line="360"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First Advantage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84-3884690</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8" w:lineRule="exact"/>
        <w:rPr>
          <w:sz w:val="24"/>
          <w:szCs w:val="24"/>
          <w:color w:val="auto"/>
        </w:rPr>
      </w:pPr>
    </w:p>
    <w:p>
      <w:pPr>
        <w:sectPr>
          <w:pgSz w:w="11900" w:h="16838" w:orient="portrait"/>
          <w:cols w:equalWidth="0" w:num="2">
            <w:col w:w="7220" w:space="720"/>
            <w:col w:w="3300"/>
          </w:cols>
          <w:pgMar w:left="320" w:top="881" w:right="339" w:bottom="1440" w:gutter="0" w:footer="0" w:header="0"/>
          <w:type w:val="continuous"/>
        </w:sectPr>
      </w:pPr>
    </w:p>
    <w:tbl>
      <w:tblPr>
        <w:tblLayout w:type="fixed"/>
        <w:tblInd w:w="1420" w:type="dxa"/>
        <w:tblCellMar>
          <w:top w:w="0" w:type="dxa"/>
          <w:left w:w="0" w:type="dxa"/>
          <w:bottom w:w="0" w:type="dxa"/>
          <w:right w:w="0" w:type="dxa"/>
        </w:tblCellMar>
      </w:tblPr>
      <w:tr>
        <w:trPr>
          <w:trHeight w:val="207"/>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 Concourse Parkway NE, Suite 200</w:t>
            </w:r>
          </w:p>
        </w:tc>
        <w:tc>
          <w:tcPr>
            <w:tcW w:w="2540" w:type="dxa"/>
            <w:vAlign w:val="bottom"/>
          </w:tcPr>
          <w:p>
            <w:pPr>
              <w:spacing w:after="0"/>
              <w:rPr>
                <w:sz w:val="18"/>
                <w:szCs w:val="18"/>
                <w:color w:val="auto"/>
              </w:rPr>
            </w:pPr>
          </w:p>
        </w:tc>
      </w:tr>
      <w:tr>
        <w:trPr>
          <w:trHeight w:val="230"/>
        </w:trPr>
        <w:tc>
          <w:tcPr>
            <w:tcW w:w="47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5"/>
              </w:rPr>
              <w:t>Atlanta, GA</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30328</w:t>
            </w:r>
          </w:p>
        </w:tc>
      </w:tr>
      <w:tr>
        <w:trPr>
          <w:trHeight w:val="164"/>
        </w:trPr>
        <w:tc>
          <w:tcPr>
            <w:tcW w:w="476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40" w:type="dxa"/>
            <w:vAlign w:val="bottom"/>
          </w:tcPr>
          <w:p>
            <w:pPr>
              <w:jc w:val="center"/>
              <w:ind w:left="1884"/>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(888) 314-9761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FA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jc w:val="both"/>
        <w:ind w:firstLine="59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00" w:firstLine="59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right="160" w:firstLine="599"/>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67"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202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4, 2022, the registrant had 151,929,522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sz w:val="20"/>
                <w:szCs w:val="20"/>
                <w:color w:val="auto"/>
              </w:rPr>
            </w:pPr>
            <w:r>
              <w:rPr>
                <w:rFonts w:ascii="Arial" w:cs="Arial" w:eastAsia="Arial" w:hAnsi="Arial"/>
                <w:sz w:val="18"/>
                <w:szCs w:val="18"/>
                <w:color w:val="0563C1"/>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563C1"/>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563C1"/>
            </w:tcBorders>
            <w:gridSpan w:val="10"/>
          </w:tcPr>
          <w:p>
            <w:pPr>
              <w:spacing w:after="0" w:line="182" w:lineRule="exact"/>
              <w:rPr>
                <w:sz w:val="20"/>
                <w:szCs w:val="20"/>
                <w:color w:val="auto"/>
              </w:rPr>
            </w:pPr>
            <w:r>
              <w:rPr>
                <w:rFonts w:ascii="Arial" w:cs="Arial" w:eastAsia="Arial" w:hAnsi="Arial"/>
                <w:sz w:val="18"/>
                <w:szCs w:val="18"/>
                <w:color w:val="0563C1"/>
                <w:w w:val="88"/>
              </w:rPr>
              <w:t>Condensed Consolidated Balance</w:t>
            </w:r>
          </w:p>
        </w:tc>
        <w:tc>
          <w:tcPr>
            <w:tcW w:w="6880" w:type="dxa"/>
            <w:vAlign w:val="bottom"/>
            <w:gridSpan w:val="9"/>
          </w:tcPr>
          <w:p>
            <w:pPr>
              <w:ind w:left="60"/>
              <w:spacing w:after="0" w:line="182" w:lineRule="exact"/>
              <w:rPr>
                <w:sz w:val="20"/>
                <w:szCs w:val="20"/>
                <w:color w:val="auto"/>
              </w:rPr>
            </w:pPr>
            <w:r>
              <w:rPr>
                <w:rFonts w:ascii="Arial" w:cs="Arial" w:eastAsia="Arial" w:hAnsi="Arial"/>
                <w:sz w:val="18"/>
                <w:szCs w:val="18"/>
                <w:color w:val="0563C1"/>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563C1"/>
            </w:tcBorders>
            <w:gridSpan w:val="11"/>
          </w:tcPr>
          <w:p>
            <w:pPr>
              <w:spacing w:after="0" w:line="182" w:lineRule="exact"/>
              <w:rPr>
                <w:sz w:val="20"/>
                <w:szCs w:val="20"/>
                <w:color w:val="auto"/>
              </w:rPr>
            </w:pPr>
            <w:r>
              <w:rPr>
                <w:rFonts w:ascii="Arial" w:cs="Arial" w:eastAsia="Arial" w:hAnsi="Arial"/>
                <w:sz w:val="18"/>
                <w:szCs w:val="18"/>
                <w:color w:val="0563C1"/>
                <w:w w:val="91"/>
              </w:rPr>
              <w:t>Condensed Consolidated Statements of</w:t>
            </w:r>
          </w:p>
        </w:tc>
        <w:tc>
          <w:tcPr>
            <w:tcW w:w="6360" w:type="dxa"/>
            <w:vAlign w:val="bottom"/>
            <w:gridSpan w:val="8"/>
          </w:tcPr>
          <w:p>
            <w:pPr>
              <w:spacing w:after="0" w:line="182" w:lineRule="exact"/>
              <w:rPr>
                <w:sz w:val="20"/>
                <w:szCs w:val="20"/>
                <w:color w:val="auto"/>
              </w:rPr>
            </w:pPr>
            <w:r>
              <w:rPr>
                <w:rFonts w:ascii="Arial" w:cs="Arial" w:eastAsia="Arial" w:hAnsi="Arial"/>
                <w:sz w:val="18"/>
                <w:szCs w:val="18"/>
                <w:color w:val="0563C1"/>
              </w:rPr>
              <w:t>Operations and Comprehensive Income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tcBorders>
              <w:top w:val="single" w:sz="8" w:color="0563C1"/>
              <w:bottom w:val="single" w:sz="8" w:color="0563C1"/>
            </w:tcBorders>
            <w:gridSpan w:val="12"/>
          </w:tcPr>
          <w:p>
            <w:pPr>
              <w:spacing w:after="0" w:line="182" w:lineRule="exact"/>
              <w:rPr>
                <w:sz w:val="20"/>
                <w:szCs w:val="20"/>
                <w:color w:val="auto"/>
              </w:rPr>
            </w:pPr>
            <w:r>
              <w:rPr>
                <w:rFonts w:ascii="Arial" w:cs="Arial" w:eastAsia="Arial" w:hAnsi="Arial"/>
                <w:sz w:val="18"/>
                <w:szCs w:val="18"/>
                <w:color w:val="0563C1"/>
                <w:w w:val="88"/>
              </w:rPr>
              <w:t>Condensed Consolidated Statements of Cash Flows</w:t>
            </w:r>
          </w:p>
        </w:tc>
        <w:tc>
          <w:tcPr>
            <w:tcW w:w="640" w:type="dxa"/>
            <w:vAlign w:val="bottom"/>
            <w:tcBorders>
              <w:top w:val="single" w:sz="8" w:color="0563C1"/>
            </w:tcBorders>
          </w:tcPr>
          <w:p>
            <w:pPr>
              <w:spacing w:after="0"/>
              <w:rPr>
                <w:sz w:val="15"/>
                <w:szCs w:val="15"/>
                <w:color w:val="auto"/>
              </w:rPr>
            </w:pPr>
          </w:p>
        </w:tc>
        <w:tc>
          <w:tcPr>
            <w:tcW w:w="20" w:type="dxa"/>
            <w:vAlign w:val="bottom"/>
            <w:tcBorders>
              <w:top w:val="single" w:sz="8" w:color="0563C1"/>
            </w:tcBorders>
          </w:tcPr>
          <w:p>
            <w:pPr>
              <w:spacing w:after="0"/>
              <w:rPr>
                <w:sz w:val="15"/>
                <w:szCs w:val="15"/>
                <w:color w:val="auto"/>
              </w:rPr>
            </w:pPr>
          </w:p>
        </w:tc>
        <w:tc>
          <w:tcPr>
            <w:tcW w:w="420" w:type="dxa"/>
            <w:vAlign w:val="bottom"/>
            <w:tcBorders>
              <w:top w:val="single" w:sz="8" w:color="0563C1"/>
            </w:tcBorders>
          </w:tcPr>
          <w:p>
            <w:pPr>
              <w:spacing w:after="0"/>
              <w:rPr>
                <w:sz w:val="15"/>
                <w:szCs w:val="15"/>
                <w:color w:val="auto"/>
              </w:rPr>
            </w:pPr>
          </w:p>
        </w:tc>
        <w:tc>
          <w:tcPr>
            <w:tcW w:w="460" w:type="dxa"/>
            <w:vAlign w:val="bottom"/>
            <w:tcBorders>
              <w:top w:val="single" w:sz="8" w:color="0563C1"/>
            </w:tcBorders>
          </w:tcPr>
          <w:p>
            <w:pPr>
              <w:spacing w:after="0"/>
              <w:rPr>
                <w:sz w:val="15"/>
                <w:szCs w:val="15"/>
                <w:color w:val="auto"/>
              </w:rPr>
            </w:pPr>
          </w:p>
        </w:tc>
        <w:tc>
          <w:tcPr>
            <w:tcW w:w="980" w:type="dxa"/>
            <w:vAlign w:val="bottom"/>
            <w:tcBorders>
              <w:top w:val="single" w:sz="8" w:color="0563C1"/>
            </w:tcBorders>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20" w:type="dxa"/>
            <w:vAlign w:val="bottom"/>
            <w:gridSpan w:val="12"/>
          </w:tcPr>
          <w:p>
            <w:pPr>
              <w:spacing w:after="0" w:line="182" w:lineRule="exact"/>
              <w:rPr>
                <w:sz w:val="20"/>
                <w:szCs w:val="20"/>
                <w:color w:val="auto"/>
              </w:rPr>
            </w:pPr>
            <w:r>
              <w:rPr>
                <w:rFonts w:ascii="Arial" w:cs="Arial" w:eastAsia="Arial" w:hAnsi="Arial"/>
                <w:sz w:val="18"/>
                <w:szCs w:val="18"/>
                <w:color w:val="0563C1"/>
                <w:w w:val="89"/>
              </w:rPr>
              <w:t>Condensed Consolidated Statements of Changes in</w:t>
            </w:r>
          </w:p>
        </w:tc>
        <w:tc>
          <w:tcPr>
            <w:tcW w:w="5580" w:type="dxa"/>
            <w:vAlign w:val="bottom"/>
            <w:gridSpan w:val="7"/>
          </w:tcPr>
          <w:p>
            <w:pPr>
              <w:spacing w:after="0" w:line="182" w:lineRule="exact"/>
              <w:rPr>
                <w:sz w:val="20"/>
                <w:szCs w:val="20"/>
                <w:color w:val="auto"/>
              </w:rPr>
            </w:pPr>
            <w:r>
              <w:rPr>
                <w:rFonts w:ascii="Arial" w:cs="Arial" w:eastAsia="Arial" w:hAnsi="Arial"/>
                <w:sz w:val="18"/>
                <w:szCs w:val="18"/>
                <w:color w:val="0563C1"/>
              </w:rPr>
              <w:t>Stockholders’ 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top w:val="single" w:sz="8" w:color="0563C1"/>
              <w:bottom w:val="single" w:sz="8" w:color="0563C1"/>
            </w:tcBorders>
            <w:gridSpan w:val="15"/>
          </w:tcPr>
          <w:p>
            <w:pPr>
              <w:spacing w:after="0" w:line="182" w:lineRule="exact"/>
              <w:rPr>
                <w:sz w:val="20"/>
                <w:szCs w:val="20"/>
                <w:color w:val="auto"/>
              </w:rPr>
            </w:pPr>
            <w:r>
              <w:rPr>
                <w:rFonts w:ascii="Arial" w:cs="Arial" w:eastAsia="Arial" w:hAnsi="Arial"/>
                <w:sz w:val="18"/>
                <w:szCs w:val="18"/>
                <w:color w:val="0563C1"/>
                <w:w w:val="89"/>
              </w:rPr>
              <w:t>Notes to Unaudited Condensed Consolidated Financial Statements</w:t>
            </w:r>
          </w:p>
        </w:tc>
        <w:tc>
          <w:tcPr>
            <w:tcW w:w="460" w:type="dxa"/>
            <w:vAlign w:val="bottom"/>
            <w:tcBorders>
              <w:top w:val="single" w:sz="8" w:color="0563C1"/>
            </w:tcBorders>
          </w:tcPr>
          <w:p>
            <w:pPr>
              <w:spacing w:after="0"/>
              <w:rPr>
                <w:sz w:val="15"/>
                <w:szCs w:val="15"/>
                <w:color w:val="auto"/>
              </w:rPr>
            </w:pPr>
          </w:p>
        </w:tc>
        <w:tc>
          <w:tcPr>
            <w:tcW w:w="1200" w:type="dxa"/>
            <w:vAlign w:val="bottom"/>
            <w:gridSpan w:val="2"/>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18"/>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5"/>
          </w:tcPr>
          <w:p>
            <w:pPr>
              <w:spacing w:after="0" w:line="182" w:lineRule="exact"/>
              <w:rPr>
                <w:sz w:val="20"/>
                <w:szCs w:val="20"/>
                <w:color w:val="auto"/>
              </w:rPr>
            </w:pPr>
            <w:r>
              <w:rPr>
                <w:rFonts w:ascii="Arial" w:cs="Arial" w:eastAsia="Arial" w:hAnsi="Arial"/>
                <w:sz w:val="18"/>
                <w:szCs w:val="18"/>
                <w:color w:val="0563C1"/>
                <w:w w:val="88"/>
              </w:rPr>
              <w:t>Controls and Procedures</w:t>
            </w:r>
          </w:p>
        </w:tc>
        <w:tc>
          <w:tcPr>
            <w:tcW w:w="20" w:type="dxa"/>
            <w:vAlign w:val="bottom"/>
            <w:tcBorders>
              <w:top w:val="single" w:sz="8" w:color="0563C1"/>
              <w:bottom w:val="single" w:sz="8" w:color="0000EE"/>
            </w:tcBorders>
          </w:tcPr>
          <w:p>
            <w:pPr>
              <w:spacing w:after="0"/>
              <w:rPr>
                <w:sz w:val="15"/>
                <w:szCs w:val="15"/>
                <w:color w:val="auto"/>
              </w:rPr>
            </w:pPr>
          </w:p>
        </w:tc>
        <w:tc>
          <w:tcPr>
            <w:tcW w:w="2580" w:type="dxa"/>
            <w:vAlign w:val="bottom"/>
            <w:tcBorders>
              <w:top w:val="single" w:sz="8" w:color="0563C1"/>
            </w:tcBorders>
            <w:gridSpan w:val="8"/>
          </w:tcPr>
          <w:p>
            <w:pPr>
              <w:spacing w:after="0"/>
              <w:rPr>
                <w:sz w:val="15"/>
                <w:szCs w:val="15"/>
                <w:color w:val="auto"/>
              </w:rPr>
            </w:pPr>
          </w:p>
        </w:tc>
        <w:tc>
          <w:tcPr>
            <w:tcW w:w="492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color w:val="0563C1"/>
                <w:w w:val="96"/>
              </w:rPr>
              <w:t>OTHER INFORMATION</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sz w:val="20"/>
                <w:szCs w:val="20"/>
                <w:color w:val="auto"/>
              </w:rPr>
            </w:pPr>
            <w:r>
              <w:rPr>
                <w:rFonts w:ascii="Arial" w:cs="Arial" w:eastAsia="Arial" w:hAnsi="Arial"/>
                <w:sz w:val="18"/>
                <w:szCs w:val="18"/>
                <w:color w:val="0563C1"/>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4"/>
          </w:tcPr>
          <w:p>
            <w:pPr>
              <w:spacing w:after="0" w:line="182" w:lineRule="exact"/>
              <w:rPr>
                <w:sz w:val="20"/>
                <w:szCs w:val="20"/>
                <w:color w:val="auto"/>
              </w:rPr>
            </w:pPr>
            <w:r>
              <w:rPr>
                <w:rFonts w:ascii="Arial" w:cs="Arial" w:eastAsia="Arial" w:hAnsi="Arial"/>
                <w:sz w:val="18"/>
                <w:szCs w:val="18"/>
                <w:color w:val="0563C1"/>
              </w:rPr>
              <w:t>Risk Factors</w:t>
            </w:r>
          </w:p>
        </w:tc>
        <w:tc>
          <w:tcPr>
            <w:tcW w:w="1000" w:type="dxa"/>
            <w:vAlign w:val="bottom"/>
            <w:gridSpan w:val="5"/>
          </w:tcPr>
          <w:p>
            <w:pPr>
              <w:spacing w:after="0"/>
              <w:rPr>
                <w:sz w:val="15"/>
                <w:szCs w:val="15"/>
                <w:color w:val="auto"/>
              </w:rPr>
            </w:pPr>
          </w:p>
        </w:tc>
        <w:tc>
          <w:tcPr>
            <w:tcW w:w="2020" w:type="dxa"/>
            <w:vAlign w:val="bottom"/>
            <w:gridSpan w:val="4"/>
          </w:tcPr>
          <w:p>
            <w:pPr>
              <w:spacing w:after="0"/>
              <w:rPr>
                <w:sz w:val="15"/>
                <w:szCs w:val="15"/>
                <w:color w:val="auto"/>
              </w:rPr>
            </w:pP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2"/>
          </w:tcPr>
          <w:p>
            <w:pPr>
              <w:spacing w:after="0" w:line="182" w:lineRule="exact"/>
              <w:rPr>
                <w:sz w:val="20"/>
                <w:szCs w:val="20"/>
                <w:color w:val="auto"/>
              </w:rPr>
            </w:pPr>
            <w:r>
              <w:rPr>
                <w:rFonts w:ascii="Arial" w:cs="Arial" w:eastAsia="Arial" w:hAnsi="Arial"/>
                <w:sz w:val="18"/>
                <w:szCs w:val="18"/>
                <w:color w:val="0563C1"/>
                <w:w w:val="87"/>
              </w:rPr>
              <w:t>Unregistered</w:t>
            </w:r>
          </w:p>
        </w:tc>
        <w:tc>
          <w:tcPr>
            <w:tcW w:w="8380" w:type="dxa"/>
            <w:vAlign w:val="bottom"/>
            <w:gridSpan w:val="17"/>
          </w:tcPr>
          <w:p>
            <w:pPr>
              <w:ind w:left="60"/>
              <w:spacing w:after="0" w:line="182" w:lineRule="exact"/>
              <w:rPr>
                <w:sz w:val="20"/>
                <w:szCs w:val="20"/>
                <w:color w:val="auto"/>
              </w:rPr>
            </w:pPr>
            <w:r>
              <w:rPr>
                <w:rFonts w:ascii="Arial" w:cs="Arial" w:eastAsia="Arial" w:hAnsi="Arial"/>
                <w:sz w:val="18"/>
                <w:szCs w:val="18"/>
                <w:color w:val="0563C1"/>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3"/>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94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9"/>
          </w:tcPr>
          <w:p>
            <w:pPr>
              <w:spacing w:after="0" w:line="182" w:lineRule="exact"/>
              <w:rPr>
                <w:sz w:val="20"/>
                <w:szCs w:val="20"/>
                <w:color w:val="auto"/>
              </w:rPr>
            </w:pPr>
            <w:r>
              <w:rPr>
                <w:rFonts w:ascii="Arial" w:cs="Arial" w:eastAsia="Arial" w:hAnsi="Arial"/>
                <w:sz w:val="18"/>
                <w:szCs w:val="18"/>
                <w:color w:val="0563C1"/>
              </w:rPr>
              <w:t>Mine Safety Disclosures</w:t>
            </w:r>
          </w:p>
        </w:tc>
        <w:tc>
          <w:tcPr>
            <w:tcW w:w="6960" w:type="dxa"/>
            <w:vAlign w:val="bottom"/>
            <w:gridSpan w:val="1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5"/>
          </w:tcPr>
          <w:p>
            <w:pPr>
              <w:spacing w:after="0" w:line="182" w:lineRule="exact"/>
              <w:rPr>
                <w:sz w:val="20"/>
                <w:szCs w:val="20"/>
                <w:color w:val="auto"/>
              </w:rPr>
            </w:pPr>
            <w:r>
              <w:rPr>
                <w:rFonts w:ascii="Arial" w:cs="Arial" w:eastAsia="Arial" w:hAnsi="Arial"/>
                <w:sz w:val="18"/>
                <w:szCs w:val="18"/>
                <w:color w:val="0563C1"/>
              </w:rPr>
              <w:t>Other Information</w:t>
            </w:r>
          </w:p>
        </w:tc>
        <w:tc>
          <w:tcPr>
            <w:tcW w:w="75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line="182" w:lineRule="exact"/>
              <w:rPr>
                <w:sz w:val="20"/>
                <w:szCs w:val="20"/>
                <w:color w:val="auto"/>
              </w:rPr>
            </w:pPr>
            <w:r>
              <w:rPr>
                <w:rFonts w:ascii="Arial" w:cs="Arial" w:eastAsia="Arial" w:hAnsi="Arial"/>
                <w:sz w:val="18"/>
                <w:szCs w:val="18"/>
                <w:color w:val="0563C1"/>
              </w:rPr>
              <w:t>Exhibits</w:t>
            </w:r>
          </w:p>
        </w:tc>
        <w:tc>
          <w:tcPr>
            <w:tcW w:w="7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Arial" w:cs="Arial" w:eastAsia="Arial" w:hAnsi="Arial"/>
                <w:sz w:val="18"/>
                <w:szCs w:val="18"/>
                <w:color w:val="0563C1"/>
              </w:rPr>
              <w:t>Signatures</w:t>
            </w:r>
          </w:p>
        </w:tc>
        <w:tc>
          <w:tcPr>
            <w:tcW w:w="600" w:type="dxa"/>
            <w:vAlign w:val="bottom"/>
            <w:tcBorders>
              <w:top w:val="single" w:sz="8" w:color="0563C1"/>
            </w:tcBorders>
            <w:vMerge w:val="restart"/>
          </w:tcPr>
          <w:p>
            <w:pPr>
              <w:spacing w:after="0"/>
              <w:rPr>
                <w:sz w:val="15"/>
                <w:szCs w:val="15"/>
                <w:color w:val="auto"/>
              </w:rPr>
            </w:pPr>
          </w:p>
        </w:tc>
        <w:tc>
          <w:tcPr>
            <w:tcW w:w="4200" w:type="dxa"/>
            <w:vAlign w:val="bottom"/>
            <w:gridSpan w:val="14"/>
            <w:vMerge w:val="restart"/>
          </w:tcPr>
          <w:p>
            <w:pPr>
              <w:jc w:val="right"/>
              <w:ind w:right="30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563C1"/>
            </w:tcBorders>
            <w:vMerge w:val="continue"/>
          </w:tcPr>
          <w:p>
            <w:pPr>
              <w:spacing w:after="0"/>
              <w:rPr>
                <w:sz w:val="24"/>
                <w:szCs w:val="24"/>
                <w:color w:val="auto"/>
              </w:rPr>
            </w:pPr>
          </w:p>
        </w:tc>
        <w:tc>
          <w:tcPr>
            <w:tcW w:w="4200" w:type="dxa"/>
            <w:vAlign w:val="bottom"/>
            <w:gridSpan w:val="14"/>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32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1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3"/>
              </w:rPr>
              <w:t>September 30, 2022</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5"/>
              </w:rPr>
              <w:t>December 31, 2021</w:t>
            </w: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390,262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292,642</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148</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941</w:t>
            </w:r>
          </w:p>
        </w:tc>
      </w:tr>
      <w:tr>
        <w:trPr>
          <w:trHeight w:val="175"/>
        </w:trPr>
        <w:tc>
          <w:tcPr>
            <w:tcW w:w="7720" w:type="dxa"/>
            <w:vAlign w:val="bottom"/>
          </w:tcPr>
          <w:p>
            <w:pPr>
              <w:ind w:left="200"/>
              <w:spacing w:after="0" w:line="175" w:lineRule="exact"/>
              <w:rPr>
                <w:sz w:val="20"/>
                <w:szCs w:val="20"/>
                <w:color w:val="auto"/>
              </w:rPr>
            </w:pPr>
            <w:r>
              <w:rPr>
                <w:rFonts w:ascii="Arial" w:cs="Arial" w:eastAsia="Arial" w:hAnsi="Arial"/>
                <w:sz w:val="18"/>
                <w:szCs w:val="18"/>
                <w:color w:val="auto"/>
                <w:w w:val="94"/>
              </w:rPr>
              <w:t>Accounts receivable (net of allowance for doubtful accounts of $1,126 and $1,258 at September 30,</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2022 and December 31, 2021, respectively)</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151,197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155,772</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27,318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14,365</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Income tax receivable</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2,292</w:t>
            </w:r>
          </w:p>
        </w:tc>
      </w:tr>
      <w:tr>
        <w:trPr>
          <w:trHeight w:val="21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571,471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466,160</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125,623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154,309</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791,574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793,892</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Trade name, net</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72,928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79,585</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Customer lists, net</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340,556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384,766</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Deferred tax asset, net</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1,413</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18,020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6,456</w:t>
            </w: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1,921,916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1,886,581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52,285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53,977</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23,470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30,054</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17,873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21,829</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liability</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2,573</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873</w:t>
            </w:r>
          </w:p>
        </w:tc>
      </w:tr>
      <w:tr>
        <w:trPr>
          <w:trHeight w:val="21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101,636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109,306</w:t>
            </w:r>
          </w:p>
        </w:tc>
      </w:tr>
      <w:tr>
        <w:trPr>
          <w:trHeight w:val="175"/>
        </w:trPr>
        <w:tc>
          <w:tcPr>
            <w:tcW w:w="7720" w:type="dxa"/>
            <w:vAlign w:val="bottom"/>
          </w:tcPr>
          <w:p>
            <w:pPr>
              <w:ind w:left="200"/>
              <w:spacing w:after="0" w:line="175" w:lineRule="exact"/>
              <w:rPr>
                <w:sz w:val="20"/>
                <w:szCs w:val="20"/>
                <w:color w:val="auto"/>
              </w:rPr>
            </w:pPr>
            <w:r>
              <w:rPr>
                <w:rFonts w:ascii="Arial" w:cs="Arial" w:eastAsia="Arial" w:hAnsi="Arial"/>
                <w:sz w:val="18"/>
                <w:szCs w:val="18"/>
                <w:color w:val="auto"/>
                <w:w w:val="97"/>
              </w:rPr>
              <w:t>Long-term debt (net of deferred financing costs of $8,532 and $9,879 at September 30, 2022 and</w:t>
            </w: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December 31, 2021, respectively)</w:t>
            </w: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556,192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554,845</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liability, net</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90,842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84,653</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 less current portion</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9,947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3,316</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5,539</w:t>
            </w:r>
          </w:p>
        </w:tc>
      </w:tr>
      <w:tr>
        <w:trPr>
          <w:trHeight w:val="210"/>
        </w:trPr>
        <w:tc>
          <w:tcPr>
            <w:tcW w:w="77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761,933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754,343</w:t>
            </w: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75"/>
        </w:trPr>
        <w:tc>
          <w:tcPr>
            <w:tcW w:w="772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Common stock - $0.001 par value; 1,000,000,000 shares authorized, 153,169,055 and</w:t>
            </w: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r>
      <w:tr>
        <w:trPr>
          <w:trHeight w:val="189"/>
        </w:trPr>
        <w:tc>
          <w:tcPr>
            <w:tcW w:w="772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w w:val="98"/>
              </w:rPr>
              <w:t>152,901,040 shares issued and outstanding as of September 30, 2022 and December 31, 2021,</w:t>
            </w: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1,173,787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1,165,163</w:t>
            </w:r>
          </w:p>
        </w:tc>
      </w:tr>
      <w:tr>
        <w:trPr>
          <w:trHeight w:val="216"/>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earnings (deficit)</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10,769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(31,441 )</w:t>
            </w:r>
          </w:p>
        </w:tc>
      </w:tr>
      <w:tr>
        <w:trPr>
          <w:trHeight w:val="216"/>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(24,726 )</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(1,637 )</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1,159,983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1,132,238</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1,921,916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1,886,581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-3608070</wp:posOffset>
            </wp:positionV>
            <wp:extent cx="11112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-1525270</wp:posOffset>
            </wp:positionV>
            <wp:extent cx="11112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10"/>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205,986</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192,867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597,428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499,763</w:t>
            </w:r>
          </w:p>
        </w:tc>
      </w:t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175"/>
        </w:trPr>
        <w:tc>
          <w:tcPr>
            <w:tcW w:w="5020" w:type="dxa"/>
            <w:vAlign w:val="bottom"/>
          </w:tcPr>
          <w:p>
            <w:pPr>
              <w:ind w:left="200"/>
              <w:spacing w:after="0" w:line="175" w:lineRule="exact"/>
              <w:rPr>
                <w:sz w:val="20"/>
                <w:szCs w:val="20"/>
                <w:color w:val="auto"/>
              </w:rPr>
            </w:pPr>
            <w:r>
              <w:rPr>
                <w:rFonts w:ascii="Arial" w:cs="Arial" w:eastAsia="Arial" w:hAnsi="Arial"/>
                <w:sz w:val="18"/>
                <w:szCs w:val="18"/>
                <w:color w:val="auto"/>
              </w:rPr>
              <w:t>Cost of services (exclusive of depreciation and amortization</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0"/>
        </w:trPr>
        <w:tc>
          <w:tcPr>
            <w:tcW w:w="5020" w:type="dxa"/>
            <w:vAlign w:val="bottom"/>
          </w:tcPr>
          <w:p>
            <w:pPr>
              <w:ind w:left="200"/>
              <w:spacing w:after="0"/>
              <w:rPr>
                <w:sz w:val="20"/>
                <w:szCs w:val="20"/>
                <w:color w:val="auto"/>
              </w:rPr>
            </w:pPr>
            <w:r>
              <w:rPr>
                <w:rFonts w:ascii="Arial" w:cs="Arial" w:eastAsia="Arial" w:hAnsi="Arial"/>
                <w:sz w:val="18"/>
                <w:szCs w:val="18"/>
                <w:color w:val="auto"/>
              </w:rPr>
              <w:t>below)</w:t>
            </w:r>
          </w:p>
        </w:tc>
        <w:tc>
          <w:tcPr>
            <w:tcW w:w="22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104,300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94,151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301,023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244,964</w:t>
            </w:r>
          </w:p>
        </w:tc>
      </w:tr>
      <w:tr>
        <w:trPr>
          <w:trHeight w:val="216"/>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and technology expense</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11,313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39,969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33,546</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28,034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27,203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87,715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76,256</w:t>
            </w:r>
          </w:p>
        </w:tc>
      </w:tr>
      <w:tr>
        <w:trPr>
          <w:trHeight w:val="216"/>
        </w:trPr>
        <w:tc>
          <w:tcPr>
            <w:tcW w:w="5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34,744</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35,812</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103,185</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106,493</w:t>
            </w:r>
          </w:p>
        </w:tc>
      </w:tr>
      <w:tr>
        <w:trPr>
          <w:trHeight w:val="209"/>
        </w:trPr>
        <w:tc>
          <w:tcPr>
            <w:tcW w:w="50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180,328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168,479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531,892</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461,259</w:t>
            </w:r>
          </w:p>
        </w:tc>
      </w:tr>
      <w:tr>
        <w:trPr>
          <w:trHeight w:val="20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25,658</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24,388</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65,536</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38,504</w:t>
            </w:r>
          </w:p>
        </w:tc>
      </w:tr>
      <w:tr>
        <w:trPr>
          <w:trHeight w:val="210"/>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21,875</w:t>
            </w:r>
          </w:p>
        </w:tc>
      </w:tr>
      <w:tr>
        <w:trPr>
          <w:trHeight w:val="216"/>
        </w:trPr>
        <w:tc>
          <w:tcPr>
            <w:tcW w:w="5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13,938</w:t>
            </w:r>
          </w:p>
        </w:tc>
      </w:tr>
      <w:tr>
        <w:trPr>
          <w:trHeight w:val="210"/>
        </w:trPr>
        <w:tc>
          <w:tcPr>
            <w:tcW w:w="502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4,002</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35,813</w:t>
            </w: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23,918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19,682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61,534</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2,691</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17,076</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2,025</w:t>
            </w:r>
          </w:p>
        </w:tc>
      </w:tr>
      <w:tr>
        <w:trPr>
          <w:trHeight w:val="250"/>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17,209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16,285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44,458</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666</w:t>
            </w:r>
          </w:p>
        </w:tc>
      </w:t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(10,253 )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(3,059 )</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(23,089 )</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(1,594 )</w:t>
            </w: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13,226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21,369</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(928 )</w:t>
            </w: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5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17,209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16,285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44,458</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666</w:t>
            </w: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0.29</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0.00</w:t>
            </w: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0.11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0.29</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0.00</w:t>
            </w: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150,930,340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149,943,998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150,740,518</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137,232,289</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22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152,357,307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152,400,419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152,375,212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138,170,488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-2726055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-2726055</wp:posOffset>
            </wp:positionV>
            <wp:extent cx="6032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-2726055</wp:posOffset>
            </wp:positionV>
            <wp:extent cx="10287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-2434590</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-2434590</wp:posOffset>
            </wp:positionV>
            <wp:extent cx="6032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-2434590</wp:posOffset>
            </wp:positionV>
            <wp:extent cx="10287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-1877060</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-1877060</wp:posOffset>
            </wp:positionV>
            <wp:extent cx="6032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-1877060</wp:posOffset>
            </wp:positionV>
            <wp:extent cx="1028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-1303020</wp:posOffset>
            </wp:positionV>
            <wp:extent cx="208280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2800" cy="16256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-1002665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-1002665</wp:posOffset>
            </wp:positionV>
            <wp:extent cx="603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-1002665</wp:posOffset>
            </wp:positionV>
            <wp:extent cx="1028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75"/>
        </w:trPr>
        <w:tc>
          <w:tcPr>
            <w:tcW w:w="73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5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44,458</w:t>
            </w:r>
          </w:p>
        </w:tc>
        <w:tc>
          <w:tcPr>
            <w:tcW w:w="6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103,185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106,493</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extinguishment of debt</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13,938</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1,347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5,496</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Bad debt (recovery)</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5,536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(4,465 )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Share-based compensation</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5,824</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4,569</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Loss (gain) on foreign currency exchange rates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(281 )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197</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Change in fair value of interest rate swaps</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(11,376 )</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(845 )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3,063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(35,815 )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assets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(14,096 )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compensation and accrued liabilities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(9,337 )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5,898</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Deferred revenues</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(116 )</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1,055</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taxes receivable and payable, net</w:t>
            </w: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(1,195 )</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142,842</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83,860</w:t>
            </w: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Changes in short-term investments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826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of businesses, net of cash acquired</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(19,044 )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(7,588 )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(6,034 )</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(5,743 )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Capitalized software development costs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(16,320 )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(11,966 )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Proceeds from disposal of property and equipment</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(40,526 )</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(24,992 )</w:t>
            </w: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3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Proceeds from issuance of common stock in initial public offering, net of underwriting discounts and</w:t>
            </w:r>
          </w:p>
        </w:tc>
        <w:tc>
          <w:tcPr>
            <w:tcW w:w="420" w:type="dxa"/>
            <w:vAlign w:val="bottom"/>
            <w:shd w:val="clear" w:color="auto" w:fill="CFF0FC"/>
          </w:tcPr>
          <w:p>
            <w:pPr>
              <w:spacing w:after="0"/>
              <w:rPr>
                <w:sz w:val="13"/>
                <w:szCs w:val="13"/>
                <w:color w:val="auto"/>
              </w:rPr>
            </w:pPr>
          </w:p>
        </w:tc>
        <w:tc>
          <w:tcPr>
            <w:tcW w:w="142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320,559</w:t>
            </w:r>
          </w:p>
        </w:tc>
        <w:tc>
          <w:tcPr>
            <w:tcW w:w="0" w:type="dxa"/>
            <w:vAlign w:val="bottom"/>
          </w:tcPr>
          <w:p>
            <w:pPr>
              <w:spacing w:after="0"/>
              <w:rPr>
                <w:sz w:val="1"/>
                <w:szCs w:val="1"/>
                <w:color w:val="auto"/>
              </w:rPr>
            </w:pPr>
          </w:p>
        </w:tc>
      </w:tr>
      <w:tr>
        <w:trPr>
          <w:trHeight w:val="212"/>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commissions</w:t>
            </w:r>
          </w:p>
        </w:tc>
        <w:tc>
          <w:tcPr>
            <w:tcW w:w="42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Payments of initial public offering issuance costs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(3,848 )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Shareholder distribution</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Capital contributions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 repurchases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(2,248 )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Borrowings from Successor First Lien Credit Facility</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261,413</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of Successor First Lien Credit Facility</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(363,875 )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Repayment of Successor Second Lien Credit Facility</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(146,584 )</w:t>
            </w:r>
          </w:p>
        </w:tc>
        <w:tc>
          <w:tcPr>
            <w:tcW w:w="0" w:type="dxa"/>
            <w:vAlign w:val="bottom"/>
          </w:tcPr>
          <w:p>
            <w:pPr>
              <w:spacing w:after="0"/>
              <w:rPr>
                <w:sz w:val="1"/>
                <w:szCs w:val="1"/>
                <w:color w:val="auto"/>
              </w:rPr>
            </w:pPr>
          </w:p>
        </w:tc>
      </w:tr>
      <w:tr>
        <w:trPr>
          <w:trHeight w:val="202"/>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of debt issuance costs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Payments on capital and finance lease obligations</w:t>
            </w: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(673 )</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(1,286 )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deferred purchase agreements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rPr>
                <w:sz w:val="20"/>
                <w:szCs w:val="20"/>
                <w:color w:val="auto"/>
              </w:rPr>
            </w:pPr>
            <w:r>
              <w:rPr>
                <w:rFonts w:ascii="Arial" w:cs="Arial" w:eastAsia="Arial" w:hAnsi="Arial"/>
                <w:sz w:val="16"/>
                <w:szCs w:val="16"/>
                <w:color w:val="auto"/>
              </w:rPr>
              <w:t>Proceeds from issuance of common stock under share-based compensation plans</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3,090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settlement of share-based compensation plan awards</w:t>
            </w: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(292 )</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(332 )</w:t>
            </w:r>
          </w:p>
        </w:tc>
        <w:tc>
          <w:tcPr>
            <w:tcW w:w="0" w:type="dxa"/>
            <w:vAlign w:val="bottom"/>
          </w:tcPr>
          <w:p>
            <w:pPr>
              <w:spacing w:after="0"/>
              <w:rPr>
                <w:sz w:val="1"/>
                <w:szCs w:val="1"/>
                <w:color w:val="auto"/>
              </w:rPr>
            </w:pPr>
          </w:p>
        </w:tc>
      </w:tr>
      <w:tr>
        <w:trPr>
          <w:trHeight w:val="196"/>
        </w:trPr>
        <w:tc>
          <w:tcPr>
            <w:tcW w:w="7360" w:type="dxa"/>
            <w:vAlign w:val="bottom"/>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(827 )</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64,372</w:t>
            </w: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on cash, cash equivalents, and restricted cash</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(3,879 )</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(522 )</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42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97,610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122,718</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292,790</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152,970</w:t>
            </w: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390,400</w:t>
            </w:r>
          </w:p>
        </w:tc>
        <w:tc>
          <w:tcPr>
            <w:tcW w:w="6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275,688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income taxes, net of refunds received</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11,321</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6,069</w:t>
            </w: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17,640</w:t>
            </w:r>
          </w:p>
        </w:tc>
        <w:tc>
          <w:tcPr>
            <w:tcW w:w="6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18,362</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
              <w:spacing w:after="0"/>
              <w:rPr>
                <w:sz w:val="20"/>
                <w:szCs w:val="20"/>
                <w:color w:val="auto"/>
              </w:rPr>
            </w:pPr>
            <w:r>
              <w:rPr>
                <w:rFonts w:ascii="Arial" w:cs="Arial" w:eastAsia="Arial" w:hAnsi="Arial"/>
                <w:sz w:val="16"/>
                <w:szCs w:val="16"/>
                <w:color w:val="auto"/>
              </w:rPr>
              <w:t>Offering costs included in accounts payable and accrued liabilities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acquired on account</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105</w:t>
            </w:r>
          </w:p>
        </w:tc>
        <w:tc>
          <w:tcPr>
            <w:tcW w:w="6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-4559935</wp:posOffset>
            </wp:positionV>
            <wp:extent cx="12001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14541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-3505200</wp:posOffset>
            </wp:positionV>
            <wp:extent cx="1200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-1593850</wp:posOffset>
            </wp:positionV>
            <wp:extent cx="12001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460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-1062355</wp:posOffset>
            </wp:positionV>
            <wp:extent cx="12001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6319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t>First Advantage Corporation</w:t>
      </w:r>
    </w:p>
    <w:p>
      <w:pPr>
        <w:spacing w:after="0" w:line="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7"/>
              </w:rPr>
              <w:t>Paid-In-Capital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 December 31,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1,165,163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(31,441 )</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1,132,238</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3"/>
              </w:rPr>
              <w:t>Proceeds from issuance of common stock under share-</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based compensation plans</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547</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(1,517 )</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13,013</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13,013</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BALANCE – March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1,167,569</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(18,428 )</w:t>
            </w:r>
          </w:p>
        </w:tc>
        <w:tc>
          <w:tcPr>
            <w:tcW w:w="40" w:type="dxa"/>
            <w:vAlign w:val="bottom"/>
          </w:tcPr>
          <w:p>
            <w:pPr>
              <w:spacing w:after="0"/>
              <w:rPr>
                <w:sz w:val="18"/>
                <w:szCs w:val="18"/>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(3,154 )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1,146,140</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1,943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5" w:lineRule="exact"/>
              <w:rPr>
                <w:sz w:val="20"/>
                <w:szCs w:val="20"/>
                <w:color w:val="auto"/>
              </w:rPr>
            </w:pPr>
            <w:r>
              <w:rPr>
                <w:rFonts w:ascii="Arial" w:cs="Arial" w:eastAsia="Arial" w:hAnsi="Arial"/>
                <w:sz w:val="18"/>
                <w:szCs w:val="18"/>
                <w:color w:val="auto"/>
                <w:w w:val="93"/>
              </w:rPr>
              <w:t>Proceeds from issuance of common stock under share-</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based compensation plans</w:t>
            </w:r>
          </w:p>
        </w:tc>
        <w:tc>
          <w:tcPr>
            <w:tcW w:w="1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Common stock withheld for tax obligations on</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 settlement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(11,319 )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(11,319 )</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14,236</w:t>
            </w:r>
          </w:p>
        </w:tc>
        <w:tc>
          <w:tcPr>
            <w:tcW w:w="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14,236</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BALANCE – June 30,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1,170,137</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(4,192 )</w:t>
            </w:r>
          </w:p>
        </w:tc>
        <w:tc>
          <w:tcPr>
            <w:tcW w:w="40" w:type="dxa"/>
            <w:vAlign w:val="bottom"/>
          </w:tcPr>
          <w:p>
            <w:pPr>
              <w:spacing w:after="0"/>
              <w:rPr>
                <w:sz w:val="18"/>
                <w:szCs w:val="18"/>
                <w:color w:val="auto"/>
              </w:rPr>
            </w:pP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(14,473 )</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1,151,625</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(2,248 )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(2,248 )</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w w:val="93"/>
              </w:rPr>
              <w:t>Proceeds from issuance of common stock under share-</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based compensation plans</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1,820</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5" w:lineRule="exact"/>
              <w:rPr>
                <w:sz w:val="20"/>
                <w:szCs w:val="20"/>
                <w:color w:val="auto"/>
              </w:rPr>
            </w:pPr>
            <w:r>
              <w:rPr>
                <w:rFonts w:ascii="Arial" w:cs="Arial" w:eastAsia="Arial" w:hAnsi="Arial"/>
                <w:sz w:val="18"/>
                <w:szCs w:val="18"/>
                <w:color w:val="auto"/>
              </w:rPr>
              <w:t>Common stock withheld for tax obligations on</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restricted stock unit and option settlement</w:t>
            </w:r>
          </w:p>
        </w:tc>
        <w:tc>
          <w:tcPr>
            <w:tcW w:w="12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(10,253 )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(10,253 )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17,209</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17,209</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 September 30, 2022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1,173,787</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10,769</w:t>
            </w: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(24,726 )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1,159,983</w:t>
            </w:r>
          </w:p>
        </w:tc>
        <w:tc>
          <w:tcPr>
            <w:tcW w:w="0" w:type="dxa"/>
            <w:vAlign w:val="bottom"/>
          </w:tcPr>
          <w:p>
            <w:pPr>
              <w:spacing w:after="0"/>
              <w:rPr>
                <w:sz w:val="1"/>
                <w:szCs w:val="1"/>
                <w:color w:val="auto"/>
              </w:rPr>
            </w:pPr>
          </w:p>
        </w:tc>
      </w:tr>
      <w:tr>
        <w:trPr>
          <w:trHeight w:val="322"/>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Paid-In-Capital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153"/>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 December 31,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839,148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(47,492 )</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2,484</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794,270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2,760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(19,389 )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(19,389 )</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 March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839,710</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(66,881 )</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5,244</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778,203</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contributions</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5" w:lineRule="exact"/>
              <w:rPr>
                <w:sz w:val="20"/>
                <w:szCs w:val="20"/>
                <w:color w:val="auto"/>
              </w:rPr>
            </w:pPr>
            <w:r>
              <w:rPr>
                <w:rFonts w:ascii="Arial" w:cs="Arial" w:eastAsia="Arial" w:hAnsi="Arial"/>
                <w:sz w:val="18"/>
                <w:szCs w:val="18"/>
                <w:color w:val="auto"/>
              </w:rPr>
              <w:t>Issuance of common stock in connection with initial</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ind w:left="20"/>
              <w:spacing w:after="0" w:line="189" w:lineRule="exact"/>
              <w:rPr>
                <w:sz w:val="20"/>
                <w:szCs w:val="20"/>
                <w:color w:val="auto"/>
              </w:rPr>
            </w:pPr>
            <w:r>
              <w:rPr>
                <w:rFonts w:ascii="Arial" w:cs="Arial" w:eastAsia="Arial" w:hAnsi="Arial"/>
                <w:sz w:val="18"/>
                <w:szCs w:val="18"/>
                <w:color w:val="auto"/>
              </w:rPr>
              <w:t>public offering, net of offering costs, underwriting</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discounts and commissions</w:t>
            </w:r>
          </w:p>
        </w:tc>
        <w:tc>
          <w:tcPr>
            <w:tcW w:w="120" w:type="dxa"/>
            <w:vAlign w:val="bottom"/>
          </w:tcPr>
          <w:p>
            <w:pPr>
              <w:spacing w:after="0"/>
              <w:rPr>
                <w:sz w:val="20"/>
                <w:szCs w:val="20"/>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316,502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316,525</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 distribution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(313 )</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(1,295 )</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3,770</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BALANCE – June 30,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1,158,804</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(63,111 )</w:t>
            </w:r>
          </w:p>
        </w:tc>
        <w:tc>
          <w:tcPr>
            <w:tcW w:w="4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3,949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1,099,795</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1,343</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5" w:lineRule="exact"/>
              <w:rPr>
                <w:sz w:val="20"/>
                <w:szCs w:val="20"/>
                <w:color w:val="auto"/>
              </w:rPr>
            </w:pPr>
            <w:r>
              <w:rPr>
                <w:rFonts w:ascii="Arial" w:cs="Arial" w:eastAsia="Arial" w:hAnsi="Arial"/>
                <w:sz w:val="18"/>
                <w:szCs w:val="18"/>
                <w:color w:val="auto"/>
                <w:w w:val="93"/>
              </w:rPr>
              <w:t>Proceeds from issuance of common stock under share-</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based compensation plans</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75"/>
        </w:trPr>
        <w:tc>
          <w:tcPr>
            <w:tcW w:w="41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Common stock withheld for tax obligations and net</w:t>
            </w: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of stock option exercise</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(332 )</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(3,059 )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(3,059 )</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16,285</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BALANCE – September 30, 2021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1,160,002</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(46,826 )</w:t>
            </w:r>
          </w:p>
        </w:tc>
        <w:tc>
          <w:tcPr>
            <w:tcW w:w="40" w:type="dxa"/>
            <w:vAlign w:val="bottom"/>
          </w:tcPr>
          <w:p>
            <w:pPr>
              <w:spacing w:after="0"/>
              <w:rPr>
                <w:sz w:val="18"/>
                <w:szCs w:val="18"/>
                <w:color w:val="auto"/>
              </w:rPr>
            </w:pPr>
          </w:p>
        </w:tc>
        <w:tc>
          <w:tcPr>
            <w:tcW w:w="220" w:type="dxa"/>
            <w:vAlign w:val="bottom"/>
            <w:gridSpan w:val="3"/>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1,114,219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-5897245</wp:posOffset>
            </wp:positionV>
            <wp:extent cx="8572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-5897245</wp:posOffset>
            </wp:positionV>
            <wp:extent cx="8572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-5897245</wp:posOffset>
            </wp:positionV>
            <wp:extent cx="7747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-5897245</wp:posOffset>
            </wp:positionV>
            <wp:extent cx="7683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-4825365</wp:posOffset>
            </wp:positionV>
            <wp:extent cx="8572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-4825365</wp:posOffset>
            </wp:positionV>
            <wp:extent cx="8572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-4825365</wp:posOffset>
            </wp:positionV>
            <wp:extent cx="7747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-4825365</wp:posOffset>
            </wp:positionV>
            <wp:extent cx="7683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-3470910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-3453765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-3470910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-3453765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-3470910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-3453765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-3470910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-3453765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-1242695</wp:posOffset>
            </wp:positionV>
            <wp:extent cx="8572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-1242695</wp:posOffset>
            </wp:positionV>
            <wp:extent cx="8572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-1242695</wp:posOffset>
            </wp:positionV>
            <wp:extent cx="7747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-1242695</wp:posOffset>
            </wp:positionV>
            <wp:extent cx="7683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-170815</wp:posOffset>
            </wp:positionV>
            <wp:extent cx="8572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8572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7747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7683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First Advantage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Nature of Business, and Basis of Presentation</w:t>
      </w:r>
    </w:p>
    <w:p>
      <w:pPr>
        <w:spacing w:after="0" w:line="16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First Advantage Corporation, a Delaware corporation, was formed on November 15, 2019. Hereafter, First Advantage Corporation and its subsidiaries will collectively be referred to as the “Company”.</w:t>
      </w:r>
    </w:p>
    <w:p>
      <w:pPr>
        <w:spacing w:after="0" w:line="7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derives its revenues from a variety of background check and compliance services performed across all phases of the workforce lifecycle from pre-onboarding services to post-onboarding and ongoing monitoring services, covering employees, contractors, contingent and extended workers, drivers, tenants, and volunteers. We generally classify our service offerings into three categories: pre-onboarding, post-onboarding, and adjacent products.</w:t>
      </w:r>
    </w:p>
    <w:p>
      <w:pPr>
        <w:spacing w:after="0" w:line="3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40" w:lineRule="exact"/>
        <w:rPr>
          <w:sz w:val="20"/>
          <w:szCs w:val="20"/>
          <w:color w:val="auto"/>
        </w:rPr>
      </w:pPr>
    </w:p>
    <w:p>
      <w:pPr>
        <w:jc w:val="both"/>
        <w:ind w:right="220"/>
        <w:spacing w:after="0" w:line="270" w:lineRule="auto"/>
        <w:rPr>
          <w:sz w:val="20"/>
          <w:szCs w:val="20"/>
          <w:color w:val="auto"/>
        </w:rPr>
      </w:pPr>
      <w:r>
        <w:rPr>
          <w:rFonts w:ascii="Arial" w:cs="Arial" w:eastAsia="Arial" w:hAnsi="Arial"/>
          <w:sz w:val="17"/>
          <w:szCs w:val="17"/>
          <w:color w:val="auto"/>
        </w:rPr>
        <w:t>Post-onboarding services are comprised of continuous monitoring and re-screening solutions which are important tools to help keep their end customers, workforces, and other stakeholders safer, productive, and compliant. Our post-monitoring solutions include criminal records, healthcare sanctions, motor vehicle records, social media, and global sanctions screening continuously or at regular intervals selected by our customers.</w:t>
      </w:r>
    </w:p>
    <w:p>
      <w:pPr>
        <w:spacing w:after="0" w:line="123"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color w:val="auto"/>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89"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4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2021.</w:t>
      </w:r>
    </w:p>
    <w:p>
      <w:pPr>
        <w:spacing w:after="0" w:line="13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Segments </w:t>
      </w:r>
      <w:r>
        <w:rPr>
          <w:rFonts w:ascii="Arial" w:cs="Arial" w:eastAsia="Arial" w:hAnsi="Arial"/>
          <w:sz w:val="18"/>
          <w:szCs w:val="18"/>
          <w:color w:val="auto"/>
        </w:rPr>
        <w:t>— Operating segments are businesses for which separate financial information is available and evaluated regularly by our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maker (“CODM”) in deciding how to allocate resources and assess performance.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2022, the Company made organizational changes and modified information provided to its CODM to better align with how its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CODM assesses performance and allocates resources. As a result, the Company now has two reportable segments, Americas and International:</w:t>
      </w:r>
    </w:p>
    <w:p>
      <w:pPr>
        <w:spacing w:after="0" w:line="167" w:lineRule="exact"/>
        <w:rPr>
          <w:sz w:val="20"/>
          <w:szCs w:val="20"/>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Americas provides technology solutions for screening, verifications, safety, and compliance in the United States, Canada, and Latin America markets;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provides technology solutions for screening, verifications, safety, and compliance outside of the Americas.</w:t>
      </w:r>
    </w:p>
    <w:p>
      <w:pPr>
        <w:spacing w:after="0" w:line="11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Accordingly, prior period results have been recast to conform to the current presentation of segments. These changes do not impact the Company’s consolidated results.</w:t>
      </w:r>
    </w:p>
    <w:p>
      <w:pPr>
        <w:spacing w:after="0" w:line="1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Company’s segment disclosure is intended to provide the users of its consolidated financial statements with a view of the business that is consistent with management of the Company. Details of segment results are discussed in Note 16, “Reportable Segments.”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7" w:name="page8"/>
    <w:bookmarkEnd w:id="7"/>
    <w:p>
      <w:pPr>
        <w:ind w:right="80"/>
        <w:spacing w:after="0" w:line="270"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the condensed consolidated financial statements in accordance with GAAP requires management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spacing w:after="0" w:line="12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Significant estimates, judgments, and assumptions, include, but are not limited to, the determination of the fair value and useful lives of assets acquired and liabilities assumed through business combinations, the impairment of long-lived assets, goodwill impairment, collectability of receivables,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5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 Certain financial assets and liabilities are reported at fair value in the accompanying consolidated balance sheets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accordance with Financial Accounting Standards Board (“FASB”)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17" w:lineRule="exact"/>
        <w:rPr>
          <w:sz w:val="20"/>
          <w:szCs w:val="20"/>
          <w:color w:val="auto"/>
        </w:rPr>
      </w:pPr>
    </w:p>
    <w:p>
      <w:pPr>
        <w:ind w:left="520" w:right="160"/>
        <w:spacing w:after="0" w:line="261"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i w:val="1"/>
          <w:iCs w:val="1"/>
          <w:color w:val="auto"/>
        </w:rPr>
        <w:t xml:space="preserve"> </w:t>
      </w:r>
      <w:r>
        <w:rPr>
          <w:rFonts w:ascii="Arial" w:cs="Arial" w:eastAsia="Arial" w:hAnsi="Arial"/>
          <w:sz w:val="18"/>
          <w:szCs w:val="18"/>
          <w:color w:val="auto"/>
        </w:rPr>
        <w:t>and model-derived valuations whose inputs are observable or whose significant value drivers are observable.</w:t>
      </w:r>
    </w:p>
    <w:p>
      <w:pPr>
        <w:spacing w:after="0" w:line="63"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inputs to the valuation model are unobservable (supported by little or no market activities). These inputs may be used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internally developed methodologies that reflect the Company’s best estimate of fair value from a market participant.</w:t>
      </w:r>
    </w:p>
    <w:p>
      <w:pPr>
        <w:spacing w:after="0" w:line="103"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fair value of an asset is considered to be the price at which the asset could be sold in an orderly transaction between unrelated knowledgeable and willing parties. A liability’s fair value is defined as the amount that would be paid to transfer the liability to a new obligor, rather than the amount that would be paid to settle the liability with the creditor. Assets and liabilities recorded at fair value are measured using a three-tier fair value hierarchy, which prioritizes the inputs used in measuring fair value.</w:t>
      </w:r>
    </w:p>
    <w:p>
      <w:pPr>
        <w:spacing w:after="0" w:line="12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carrying amounts of cash and cash equivalents, short-term investments, receivables, short-term debt, and accounts payable approximate fair value due to the short-term maturities of these financial instruments (Level 1). The fair values and carrying values of the Company’s long-term debt are disclosed in Note 6.</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presents information about the Company’s financial assets and liabilities that are measured at fair value on a recurring basis and their assigned levels within the valuation hierarchy as of September 30, 2022 (in thousands):</w:t>
      </w:r>
    </w:p>
    <w:p>
      <w:pPr>
        <w:spacing w:after="0" w:line="135" w:lineRule="exact"/>
        <w:rPr>
          <w:sz w:val="20"/>
          <w:szCs w:val="20"/>
          <w:color w:val="auto"/>
        </w:rPr>
      </w:pPr>
    </w:p>
    <w:p>
      <w:pPr>
        <w:ind w:left="6480"/>
        <w:spacing w:after="0"/>
        <w:tabs>
          <w:tab w:leader="none" w:pos="7620" w:val="left"/>
          <w:tab w:leader="none" w:pos="876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15240</wp:posOffset>
            </wp:positionV>
            <wp:extent cx="2117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-123190</wp:posOffset>
            </wp:positionV>
            <wp:extent cx="498919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 w:lineRule="exact"/>
        <w:rPr>
          <w:sz w:val="20"/>
          <w:szCs w:val="20"/>
          <w:color w:val="auto"/>
        </w:rPr>
      </w:pPr>
    </w:p>
    <w:p>
      <w:pPr>
        <w:ind w:left="1880"/>
        <w:spacing w:after="0"/>
        <w:tabs>
          <w:tab w:leader="none" w:pos="6220" w:val="left"/>
          <w:tab w:leader="none" w:pos="7000" w:val="left"/>
          <w:tab w:leader="none" w:pos="7380" w:val="left"/>
          <w:tab w:leader="none" w:pos="7820" w:val="left"/>
          <w:tab w:leader="none" w:pos="8520" w:val="left"/>
          <w:tab w:leader="none" w:pos="928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11,754</w:t>
        <w:tab/>
        <w:t>$</w:t>
      </w:r>
      <w:r>
        <w:rPr>
          <w:sz w:val="20"/>
          <w:szCs w:val="20"/>
          <w:color w:val="auto"/>
        </w:rPr>
        <w:tab/>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8" w:name="page9"/>
    <w:bookmarkEnd w:id="8"/>
    <w:p>
      <w:pPr>
        <w:ind w:right="180"/>
        <w:spacing w:after="0" w:line="289"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 The Company records business combinations using the acquisition method of accounting in accordance with ASC 805,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9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 xml:space="preserve">Goodwill, Trade Name, and Customer Lists </w:t>
      </w:r>
      <w:r>
        <w:rPr>
          <w:rFonts w:ascii="Arial" w:cs="Arial" w:eastAsia="Arial" w:hAnsi="Arial"/>
          <w:sz w:val="18"/>
          <w:szCs w:val="18"/>
          <w:color w:val="auto"/>
        </w:rPr>
        <w:t>— The Company tests goodwill for impairment annually as of December 31 or more frequently if an event</w:t>
      </w:r>
      <w:r>
        <w:rPr>
          <w:rFonts w:ascii="Arial" w:cs="Arial" w:eastAsia="Arial" w:hAnsi="Arial"/>
          <w:sz w:val="18"/>
          <w:szCs w:val="18"/>
          <w:b w:val="1"/>
          <w:bCs w:val="1"/>
          <w:color w:val="auto"/>
        </w:rPr>
        <w:t xml:space="preserve"> </w:t>
      </w:r>
      <w:r>
        <w:rPr>
          <w:rFonts w:ascii="Arial" w:cs="Arial" w:eastAsia="Arial" w:hAnsi="Arial"/>
          <w:sz w:val="18"/>
          <w:szCs w:val="18"/>
          <w:color w:val="auto"/>
        </w:rPr>
        <w:t>occurs or circumstances change that would more likely than not reduce the fair value of a reporting unit or indefinite-lived intangible asset below its carrying value. Goodwill is tested for impairment at the reporting unit level using a fair value approach. At December 31, 2021, the Company had two reporting units comprised of the Americas and International.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No impairment charges have been required.</w:t>
      </w:r>
    </w:p>
    <w:p>
      <w:pPr>
        <w:spacing w:after="0" w:line="13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The Company’s trade name is amortized on an accelerated basis over its expected useful life of twenty years. The Company recorded $1.9 million and $2.0 million of amortization expense related to the trade name for the three months ended September 30, 2022 and 2021, respectively. Amortization expense related to the trade name was $5.7 million and $6.0 million for the nine months ended September 30, 2022 and 2021, respectively.</w:t>
      </w:r>
    </w:p>
    <w:p>
      <w:pPr>
        <w:spacing w:after="0" w:line="8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Customer lists are amortized on an accelerated basis based upon their estimated useful life of thirteen to fourteen years. The Company recorded $15.1 million and $16.4 million of amortization expense related to customer lists for the three months ended September 30, 2022 and 2021, respectively. Amortization expense related to customer lists was $45.6 million and $49.1 million for the nine months ended September 30, 2022 and 2021, respectively.</w:t>
      </w:r>
    </w:p>
    <w:p>
      <w:pPr>
        <w:spacing w:after="0" w:line="8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Company regularly evaluates the amortization period assigned to each intangible asset to determine whether there have been any events or circumstances that warrant revised estimates of useful lives. In December 2021, and since that time, the Company determined that there have been no triggering events that would require impairment of trade names or customer lists.</w:t>
      </w:r>
    </w:p>
    <w:p>
      <w:pPr>
        <w:spacing w:after="0" w:line="117" w:lineRule="exact"/>
        <w:rPr>
          <w:sz w:val="20"/>
          <w:szCs w:val="20"/>
          <w:color w:val="auto"/>
        </w:rPr>
      </w:pPr>
    </w:p>
    <w:p>
      <w:pPr>
        <w:ind w:right="80"/>
        <w:spacing w:after="0" w:line="30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Revenues are recognized when control of the Company’s services is transferred to customers, in an amount that reflects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consideration the Company expects to be entitled to in exchange for those services.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adopted as of January 1, 2019 using the modified retrospective method, revenues are recognized based on the following steps:</w:t>
      </w:r>
    </w:p>
    <w:p>
      <w:pPr>
        <w:spacing w:after="0" w:line="86" w:lineRule="exact"/>
        <w:rPr>
          <w:sz w:val="20"/>
          <w:szCs w:val="20"/>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220" w:hanging="37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right="80"/>
        <w:spacing w:after="0" w:line="258" w:lineRule="auto"/>
        <w:rPr>
          <w:sz w:val="20"/>
          <w:szCs w:val="20"/>
          <w:color w:val="auto"/>
        </w:rPr>
      </w:pPr>
      <w:r>
        <w:rPr>
          <w:rFonts w:ascii="Arial" w:cs="Arial" w:eastAsia="Arial" w:hAnsi="Arial"/>
          <w:sz w:val="17"/>
          <w:szCs w:val="17"/>
          <w:color w:val="auto"/>
        </w:rPr>
        <w:t>A substantial majority of the Company’s revenues are derived from pre-onboarding and related services to our customers on a transactional basis, in which an individual background screening package or selection of services is ordered by a customer related to a single individual. Substantially all of the Company’s customers are employers, staffing companies, and other businesses or organizations. The Company satisfies its performance obligations and recognizes revenues for services rendered as the orders are completed and the completed reports are transmitted, or otherwise made available. The Company’s remaining services, substantially consisting of tax consulting, fleet management, and driver qualification services, are delivered over time as the customer simultaneously receives and consumes the benefits of the services delivered. To measure the Company’s performance over time, the output method is utilized to measure the value to the customer based on the transfer to date of the services promised, with no rights of return once consumed. In these cases, revenues on transactional contracts with a defined price but an undefined quantity are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considers negotiated and anticipated incentives and estimated adjustments, including historical collections experience, when recording revenues.</w:t>
      </w:r>
    </w:p>
    <w:p>
      <w:pPr>
        <w:spacing w:after="0" w:line="8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 Due to the Company’s contract terms and the nature of the background screening industry, the Company determined its contract terms for ASC 606 purposes are less than one year. As a result, the Company uses the practical expedient which allows it to expense incremental costs of obtaining a contract, primarily consisting of sales commissions, as incurred.</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records third-party pass-through fees incurred as part of screening related services on a gross revenue basis, with the related expense recorded as a cost of services expense, as the Company has control over the transaction and is therefore considered to be acting as a principal. The Company records motor vehicle registration and other tax payments paid on behalf of the Company’s fleet management customers on a net revenue basis as the Company does not have control over the transaction and therefore, is considered to be acting as an agent of the customer. Amounts received from fleet management customers are recorded in cash and cash equivalents in the accompanying consolidated balance sheets as the funds are not legally restricted.</w:t>
      </w:r>
    </w:p>
    <w:p>
      <w:pPr>
        <w:spacing w:after="0" w:line="90"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Contract balances are generated when the revenues recognized in a given period varies from billing. A contract asset is created when the Company performs a service for a customer and recognizes more revenues than what has been billed. Contract assets are included in accounts receivable in the accompanying condensed consolidated balance sheets. 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Contract liabilities are included in deferred revenues in the accompanying condensed consolidated balance sheets.</w:t>
      </w:r>
    </w:p>
    <w:p>
      <w:pPr>
        <w:spacing w:after="0" w:line="101"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 The functional currency of all of the Company’s foreign subsidiaries is the applicable local currency. The translation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income (loss) was approximately $(10.3) million and $(3.1) million for the three months ended September 30, 2022 and 2021, respectively. Currency translation (loss) income included in accumulated other comprehensive income (loss) was approximately $(23.1) million and $(1.6) million for the nine months ended September 30, 2022 and 2021, respectively.</w:t>
      </w:r>
    </w:p>
    <w:p>
      <w:pPr>
        <w:spacing w:after="0" w:line="103"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Gains or losses resulting from foreign currency transactions are included in the accompanying condensed consolidated statements of operations and comprehensive income (loss), except for those relating to intercompany transactions of a long-term investment nature, which are captured in a separate component of equity as accumulated other comprehensive income (loss). Currency transaction income included in the accompanying condensed consolidated statements of operations and comprehensive income (loss) was approximately $1.1 million and $(0.2) million for the three months ended September 30, 2022 and 2021, respectively. Currency transaction income included in the accompanying condensed consolidated statements of operations and comprehensive income (loss) was approximately $2.4 million and $0.1 million for the nine months ended September 30, 2022 and 2021, respectively.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spacing w:after="0" w:line="250"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The Company qualifies as an emerging growth company under the Jumpstart Our Business Startups (“JOBS”)</w:t>
      </w:r>
      <w:r>
        <w:rPr>
          <w:rFonts w:ascii="Arial" w:cs="Arial" w:eastAsia="Arial" w:hAnsi="Arial"/>
          <w:sz w:val="18"/>
          <w:szCs w:val="18"/>
          <w:b w:val="1"/>
          <w:bCs w:val="1"/>
          <w:color w:val="auto"/>
        </w:rPr>
        <w:t xml:space="preserve"> </w:t>
      </w:r>
      <w:r>
        <w:rPr>
          <w:rFonts w:ascii="Arial" w:cs="Arial" w:eastAsia="Arial" w:hAnsi="Arial"/>
          <w:sz w:val="18"/>
          <w:szCs w:val="18"/>
          <w:color w:val="auto"/>
        </w:rPr>
        <w:t>Act. The JOBS Act permits the Company an extended transition period for complying with new or revised accounting standards affecting public companies. The Company has elected to use this extended transition period and adopt certain new accounting standards on the private company timeline, which means that the Company’s financial statements may not be comparable to the financial statements of public companies that comply with such new or revised accounting standards on a non-delayed basis.</w:t>
      </w:r>
    </w:p>
    <w:p>
      <w:pPr>
        <w:spacing w:after="0" w:line="11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There were no accounting pronouncements issued during the nine months ended September 30, 2022 that are expected to have a material impact on the condensed consolidated financial statements.</w:t>
      </w:r>
    </w:p>
    <w:p>
      <w:pPr>
        <w:spacing w:after="0" w:line="9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color w:val="auto"/>
        </w:rPr>
        <w:t xml:space="preserve">Recently Adopted Accounting Pronouncements </w:t>
      </w:r>
      <w:r>
        <w:rPr>
          <w:rFonts w:ascii="Arial" w:cs="Arial" w:eastAsia="Arial" w:hAnsi="Arial"/>
          <w:sz w:val="16"/>
          <w:szCs w:val="16"/>
          <w:color w:val="auto"/>
        </w:rPr>
        <w:t>— In February 2016, the FASB issued ASU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and subsequently issued additional ASUs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amending this ASU (collectively ASC 842, </w:t>
      </w:r>
      <w:r>
        <w:rPr>
          <w:rFonts w:ascii="Arial" w:cs="Arial" w:eastAsia="Arial" w:hAnsi="Arial"/>
          <w:sz w:val="16"/>
          <w:szCs w:val="16"/>
          <w:i w:val="1"/>
          <w:iCs w:val="1"/>
          <w:color w:val="auto"/>
        </w:rPr>
        <w:t>Leases</w:t>
      </w:r>
      <w:r>
        <w:rPr>
          <w:rFonts w:ascii="Arial" w:cs="Arial" w:eastAsia="Arial" w:hAnsi="Arial"/>
          <w:sz w:val="16"/>
          <w:szCs w:val="16"/>
          <w:color w:val="auto"/>
        </w:rPr>
        <w:t>). ASC 842 was issued to increase transparency and comparability among organizations by requiring the recognition of right of use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1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The adoption of ASC 842 had a material impact on the Company’s condensed consolidated balance sheets but did not have a material impact on our condensed consolidated statements of operations or cash flow. The most significant impact was the recognition of ROU assets of $12.7 million and lease liabilities for operating leases of $15.0 million based on the present value of the future minimum rental payments for existing operating leases. The difference in the balances is due to deferred rent, tenant incentive allowances, and prepaid amounts taken into account for adoption. Our accounting for finance leases, described in Note 13, remained unchanged.</w:t>
      </w:r>
    </w:p>
    <w:p>
      <w:pPr>
        <w:spacing w:after="0" w:line="13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ASU removes specific exceptions to the general principles in Topic 740. Among other things it eliminates the need for an organization to analyze whether the following apply in a given period: exception to the incremental approach for intra-period tax allocation; exceptions to accounting for basis differences when there are ownership changes in foreign investments; and exception in interim period income tax accounting for year-to-date losses that exceed anticipated losses. This amendment also improves financial statement preparers’ application of income tax-related guidance and simplifies GAAP for: franchise taxes that are partially based on income; transactions with a government that result in a step up in the tax basis of goodwill; separate financial statements of legal entities that are not subject to tax; and enacted changes in tax laws in interim periods. Adoption of this standard on January 1, 2022 did not have a material impact on the condensed consolidated financial statements.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5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On March 31, 2021, the Company completed its acquisition of selected assets and specified liabilities comprising the United Kingdom background screening business unit of a United Kingdom based company for cash consideration of $7.6 million. The Company recognized $3.1 million of goodwill and $3.0 million of intangible assets subject to amortization. Goodwill recognized is primarily attributable to assembled workforce and the expected growth of the Company and is not deductible for tax purposes. Results of operations have been included in the condensed consolidated financial statements of the Company’s International segment since the closing date.</w:t>
      </w:r>
    </w:p>
    <w:p>
      <w:pPr>
        <w:spacing w:after="0" w:line="14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November 30, 2021, the Company completed its acquisition of a background screening and verification provider based in Mexico. Goodwill recognized as result of this acquisition was not deductible for tax purposes. Results of operations have been included in the condensed consolidated financial statements of the Company’s Americas segment since the closing date.</w:t>
      </w:r>
    </w:p>
    <w:p>
      <w:pPr>
        <w:spacing w:after="0" w:line="12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On November 30, 2021, the Company, through one of its wholly-owned subsidiaries in the United States, entered into an agreement to acquire 100% of the outstanding equity of Corporate Screening Services, LLC (“Corporate Screening”), a U.S.-based screening and compliance solutions provider which strengthened the Company’s healthcare and higher education solutions by adding technology and expertise tailored to those customers, for cash consideration of $39.4 million. The acquisition was considered an acquisition of assets for tax purposes and, accordingly, a significant portion of the $22.2 million of goodwill recognized was deductible for tax purposes. Identifiable intangible assets related to this acquisition totaled $15.5 million, of which $11.8 million was attributable to a customer related intangible asset, with an estimated useful life of fourteen years and $3.6 million was attributable to developed technology with a useful life of five years. In addition, the Company acquired current assets of $2.9 million and assumed liabilities of $1.6 million. The allocation was finalized as of June 30, 2022. Results of operations have been included in the condensed consolidated financial statements of the Company’s Americas segment since the closing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w:t>
      </w:r>
    </w:p>
    <w:p>
      <w:pPr>
        <w:spacing w:after="0" w:line="17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Company completed its asset purchase of Form I-9 Compliance, a U.S.-based technology solution and consulting service provider for I-9 and E-Verify compliance, for cash consideration of approximately $19.8 million. The transfer of ownership became effective as of January 1, 2022 and strategically expands the Company’s product suite offerings through the addition of new I-9 and employment eligibility solutions. The acquired assets were determined to constitute a business and the Company was deemed to be the acquirer under ASC 805. The Company recorded a preliminary allocation of the purchase price to assets acquired and liabilities assumed based on their estimated fair values as of January 1, 2022. The allocation was finalized as of September 30, 2022 and no adjustments were recorded to the Company’s previously recognized fair values.</w:t>
      </w:r>
    </w:p>
    <w:p>
      <w:pPr>
        <w:spacing w:after="0" w:line="12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Consideration</w:t>
            </w: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Cash, net of cash acquired</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19,087</w:t>
            </w:r>
          </w:p>
        </w:tc>
      </w:tr>
      <w:tr>
        <w:trPr>
          <w:trHeight w:val="209"/>
        </w:trPr>
        <w:tc>
          <w:tcPr>
            <w:tcW w:w="8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fair value of consideration transferred</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19,087</w:t>
            </w:r>
          </w:p>
        </w:tc>
      </w:tr>
      <w:tr>
        <w:trPr>
          <w:trHeight w:val="210"/>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1,151</w:t>
            </w:r>
          </w:p>
        </w:tc>
      </w:tr>
      <w:tr>
        <w:trPr>
          <w:trHeight w:val="216"/>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including software developed for internal use</w:t>
            </w:r>
          </w:p>
        </w:tc>
        <w:tc>
          <w:tcPr>
            <w:tcW w:w="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3,045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Customer lists</w:t>
            </w:r>
          </w:p>
        </w:tc>
        <w:tc>
          <w:tcPr>
            <w:tcW w:w="6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6,100</w:t>
            </w:r>
          </w:p>
        </w:tc>
      </w:tr>
      <w:tr>
        <w:trPr>
          <w:trHeight w:val="216"/>
        </w:trPr>
        <w:tc>
          <w:tcPr>
            <w:tcW w:w="8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(325 )</w:t>
            </w: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Total identifiable net assets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9,971</w:t>
            </w:r>
          </w:p>
        </w:tc>
      </w:tr>
      <w:tr>
        <w:trPr>
          <w:trHeight w:val="250"/>
        </w:trPr>
        <w:tc>
          <w:tcPr>
            <w:tcW w:w="8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9,116</w:t>
            </w:r>
          </w:p>
        </w:tc>
      </w:tr>
    </w:tbl>
    <w:p>
      <w:pPr>
        <w:spacing w:after="0" w:line="14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Goodwill recognized in the acquisition of Form I-9 Compliance is deductible for tax purposes. Results of operations have been included in the condensed consolidated financial statements of the Company’s Americas segment since the effective date of the acquisition.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September 30, 2022 and December 31, 2021 consisted of the following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4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September 30, 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28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23,785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20,462</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Capitalized software for internal use, acquired by business combination</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227,405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225,005</w:t>
            </w: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for internal use, developed internally or otherwise purchased</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54,039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37,326</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308,135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285,794</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(182,512 )</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(131,485 )</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125,623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154,309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Depreciation and amortization expense of property and equipment was approximately $17.7 million and $17.4 million for the three months ended September 30, 2022 and 2021, respectively. Depreciation and amortization expense of property and equipment was approximately $51.9 million and $51.4 million for the nine months ended September 30, 2022 and 2021,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Trade Name, and Customer Lists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for the nine months ended September 30, 2022 by reportable segment were as follows (in thousands):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International</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Balance – December 31, 2021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668,048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125,844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793,892</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9,116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9,116</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initial purchase price allocations</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(167 )</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(11,411 )</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(11,267 )</w:t>
            </w:r>
          </w:p>
        </w:tc>
      </w:tr>
      <w:tr>
        <w:trPr>
          <w:trHeight w:val="249"/>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September 30, 2022</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677,141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114,433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791,574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summarizes the gross carrying value and accumulated amortization for the Company’s trade name and customer lists as of September 30, 2022 and December 31, 2021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33"/>
        </w:trPr>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ind w:right="235"/>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39"/>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435"/>
              <w:spacing w:after="0" w:line="133"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Useful Life</w:t>
            </w:r>
          </w:p>
        </w:tc>
      </w:tr>
      <w:tr>
        <w:trPr>
          <w:trHeight w:val="185"/>
        </w:trPr>
        <w:tc>
          <w:tcPr>
            <w:tcW w:w="5220" w:type="dxa"/>
            <w:vAlign w:val="bottom"/>
          </w:tcPr>
          <w:p>
            <w:pPr>
              <w:spacing w:after="0"/>
              <w:rPr>
                <w:sz w:val="16"/>
                <w:szCs w:val="16"/>
                <w:color w:val="auto"/>
              </w:rPr>
            </w:pPr>
          </w:p>
        </w:tc>
        <w:tc>
          <w:tcPr>
            <w:tcW w:w="114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95"/>
              </w:rPr>
              <w:t>Carrying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6"/>
                <w:szCs w:val="16"/>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93,809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(20,881 )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72,928</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years</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Customer lists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514,894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(174,338 )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340,556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13-14 years</w:t>
            </w: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608,703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(195,219 )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413,484</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r>
        <w:trPr>
          <w:trHeight w:val="520"/>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6"/>
        </w:trPr>
        <w:tc>
          <w:tcPr>
            <w:tcW w:w="5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235"/>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39"/>
              <w:spacing w:after="0" w:line="147"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435"/>
              <w:spacing w:after="0" w:line="147"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Useful Life</w:t>
            </w:r>
          </w:p>
        </w:tc>
      </w:tr>
      <w:tr>
        <w:trPr>
          <w:trHeight w:val="171"/>
        </w:trPr>
        <w:tc>
          <w:tcPr>
            <w:tcW w:w="5220" w:type="dxa"/>
            <w:vAlign w:val="bottom"/>
          </w:tcPr>
          <w:p>
            <w:pPr>
              <w:spacing w:after="0"/>
              <w:rPr>
                <w:sz w:val="14"/>
                <w:szCs w:val="14"/>
                <w:color w:val="auto"/>
              </w:rPr>
            </w:pPr>
          </w:p>
        </w:tc>
        <w:tc>
          <w:tcPr>
            <w:tcW w:w="114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4"/>
                <w:szCs w:val="14"/>
                <w:b w:val="1"/>
                <w:bCs w:val="1"/>
                <w:color w:val="auto"/>
                <w:w w:val="95"/>
              </w:rPr>
              <w:t>Carrying Value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Amortization</w:t>
            </w:r>
          </w:p>
        </w:tc>
        <w:tc>
          <w:tcPr>
            <w:tcW w:w="120" w:type="dxa"/>
            <w:vAlign w:val="bottom"/>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1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95,026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(15,441 )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79,585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years</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Customer lists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515,524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(130,758 )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384,766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 years</w:t>
            </w: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610,550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(146,199 )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464,351</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-1036320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-1019175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-1036320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-1019175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-1036320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-1019175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Amortization expense of trade name and customer lists was approximately $17.0 million and $18.4 million for the three months ended September 30, 2022 and 2021, respectively. Amortization expense of trade name and customer lists was approximately $51.3 million and $55.1 million for the nine months ended September 30, 2022 and 2021, respectively.</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Long-term Debt</w:t>
      </w:r>
    </w:p>
    <w:p>
      <w:pPr>
        <w:spacing w:after="0" w:line="1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fair value of the Company’s long-term debt obligations approximated their book value as of September 30, 2022 and December 31, 2021 and consisted of the following (in thousands):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9"/>
              </w:rPr>
              <w:t>September 30, 2022</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0"/>
              </w:rPr>
              <w:t>December 31, 2021</w:t>
            </w: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Successor First Lien Credit Facility</w:t>
            </w:r>
          </w:p>
        </w:tc>
        <w:tc>
          <w:tcPr>
            <w:tcW w:w="460" w:type="dxa"/>
            <w:vAlign w:val="bottom"/>
            <w:shd w:val="clear" w:color="auto" w:fill="CFF0FC"/>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564,724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564,724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Less: Deferred financing costs</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(8,532 )</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(9,879 )</w:t>
            </w:r>
          </w:p>
        </w:tc>
      </w:tr>
      <w:tr>
        <w:trPr>
          <w:trHeight w:val="25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460" w:type="dxa"/>
            <w:vAlign w:val="bottom"/>
            <w:tcBorders>
              <w:bottom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556,192</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554,845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-24765</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In February 2020,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carrying an interest rate of 3.25% to 3.50%, based on the first lien leverage ratio, plus LIBOR (“Successor First Lien Credit Facility”) and a new $75.0 million revolving credit facility due January 31, 2025 (“Successor Revolver”). The Successor First Lien Credit Facility required mandatory quarterly repayments of 0.25% of the original loan balance commencing September 30, 2020. Beginning with the year ending December 31, 2021, the Successor First Lien Credit Facility required mandatory payments based on calculated excess cash flow, as defined within the Successor First Lien Credit Agreement. The Successor Second Lien Agreement provided financing in the form of a $145.0 million term loan due January 31, 2028, carrying an interest rate of 8.50% plus LIBOR (“Successor Second Lien Credit Facility”). The Successor Credit Agreements are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Successor Revolver exceeds 35% of the aggregate principal amount of the revolving commitments then in effect, it is required to maintain a consolidated first lien leverage ratio no greater than 7.75 to 1.00.</w:t>
      </w:r>
    </w:p>
    <w:p>
      <w:pPr>
        <w:spacing w:after="0" w:line="107"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In February 2021, the Company refinanced its Successor First Lien Credit Facility at an increased principal amount of $766.6 million due January 31, 2027, carrying a reduced interest rate of 3.00% to 3.25%, based on the first lien leverage ratio, plus LIBOR. No changes were made to the associated revolving credit facility due January 31, 2025. In connection with the refinancing of the Successor First Lien Credit Facility, the Company fully repaid its Successor Second Lien Credit Facility. As a result of these transactions the Company recorded a total loss on extinguishment of debt of $13.9 million, composed of the write-off of unamortized deferred financing costs plus a prepayment premium, accrued interest, and other fees.</w:t>
      </w:r>
    </w:p>
    <w:p>
      <w:pPr>
        <w:spacing w:after="0" w:line="11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connection with the closing of the Company’s initial public offering (“IPO”), on June 30, 2021, the Company repaid $200.0 million of its Successor First Lien Credit Facility outstanding, of which $44.3 million was applied to the remaining quarterly principal payments due under the Successor First Lien Agreement. As a result of the IPO, the Company’s interest rate under the Successor First Lien Credit Facility was reduced by 0.25% to a range of 2.75% to 3.00%, based on the first lien ratio, plus LIBOR.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3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Additionally, in connection with the closing of the IPO, the Company entered into an amendment that increased the borrowing capacity under the Successor Revolver from $75.0 million to $100.0 million and extended the maturity date from January 31, 2025 to July 31, 2026. As of September 30, 2022, the Company had no outstanding amounts under the Successor Revolver, and therefore, was not subject to the consolidated first lien leverage ratio covenant and was compliant with all other covenants under the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Derivatives</w:t>
      </w:r>
    </w:p>
    <w:p>
      <w:pPr>
        <w:spacing w:after="0" w:line="175"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In February 2020, the Company entered into an interest rate collar agreement with a counterparty bank in order to reduce its exposure to interest rate volatility. In this agreement, the Company and the counterparty bank agreed to a one-month USD LIBOR floor of 0.48% and a cap of 1.50% on a portion of the Company’s Successor First Lien Facility. The notional amount of this agreement was $405.0 million through February 2022 at which time the notional amount was reduced to $300.0 million through February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fair value of the financial position recorded related to the derivative instruments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3"/>
                <w:szCs w:val="13"/>
                <w:b w:val="1"/>
                <w:bCs w:val="1"/>
                <w:color w:val="auto"/>
              </w:rPr>
              <w:t>Fair Value</w:t>
            </w:r>
          </w:p>
        </w:tc>
        <w:tc>
          <w:tcPr>
            <w:tcW w:w="1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86"/>
              </w:rPr>
              <w:t>Derivatives</w:t>
            </w:r>
          </w:p>
        </w:tc>
        <w:tc>
          <w:tcPr>
            <w:tcW w:w="2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not designated</w:t>
            </w:r>
          </w:p>
        </w:tc>
        <w:tc>
          <w:tcPr>
            <w:tcW w:w="240" w:type="dxa"/>
            <w:vAlign w:val="bottom"/>
          </w:tcPr>
          <w:p>
            <w:pPr>
              <w:spacing w:after="0"/>
              <w:rPr>
                <w:sz w:val="11"/>
                <w:szCs w:val="11"/>
                <w:color w:val="auto"/>
              </w:rPr>
            </w:pPr>
          </w:p>
        </w:tc>
        <w:tc>
          <w:tcPr>
            <w:tcW w:w="36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Balance Sheet</w:t>
            </w:r>
          </w:p>
        </w:tc>
        <w:tc>
          <w:tcPr>
            <w:tcW w:w="260" w:type="dxa"/>
            <w:vAlign w:val="bottom"/>
          </w:tcPr>
          <w:p>
            <w:pPr>
              <w:spacing w:after="0"/>
              <w:rPr>
                <w:sz w:val="11"/>
                <w:szCs w:val="11"/>
                <w:color w:val="auto"/>
              </w:rPr>
            </w:pPr>
          </w:p>
        </w:tc>
        <w:tc>
          <w:tcPr>
            <w:tcW w:w="1820" w:type="dxa"/>
            <w:vAlign w:val="bottom"/>
            <w:vMerge w:val="restart"/>
          </w:tcPr>
          <w:p>
            <w:pPr>
              <w:jc w:val="center"/>
              <w:ind w:right="355"/>
              <w:spacing w:after="0"/>
              <w:rPr>
                <w:sz w:val="20"/>
                <w:szCs w:val="20"/>
                <w:color w:val="auto"/>
              </w:rPr>
            </w:pPr>
            <w:r>
              <w:rPr>
                <w:rFonts w:ascii="Arial" w:cs="Arial" w:eastAsia="Arial" w:hAnsi="Arial"/>
                <w:sz w:val="13"/>
                <w:szCs w:val="13"/>
                <w:b w:val="1"/>
                <w:bCs w:val="1"/>
                <w:color w:val="auto"/>
                <w:w w:val="86"/>
              </w:rPr>
              <w:t>As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vMerge w:val="restart"/>
          </w:tcPr>
          <w:p>
            <w:pPr>
              <w:jc w:val="center"/>
              <w:ind w:right="414"/>
              <w:spacing w:after="0"/>
              <w:rPr>
                <w:sz w:val="20"/>
                <w:szCs w:val="20"/>
                <w:color w:val="auto"/>
              </w:rPr>
            </w:pPr>
            <w:r>
              <w:rPr>
                <w:rFonts w:ascii="Arial" w:cs="Arial" w:eastAsia="Arial" w:hAnsi="Arial"/>
                <w:sz w:val="13"/>
                <w:szCs w:val="13"/>
                <w:b w:val="1"/>
                <w:bCs w:val="1"/>
                <w:color w:val="auto"/>
                <w:w w:val="86"/>
              </w:rPr>
              <w:t>As of</w:t>
            </w:r>
          </w:p>
        </w:tc>
        <w:tc>
          <w:tcPr>
            <w:tcW w:w="0" w:type="dxa"/>
            <w:vAlign w:val="bottom"/>
          </w:tcPr>
          <w:p>
            <w:pPr>
              <w:spacing w:after="0"/>
              <w:rPr>
                <w:sz w:val="1"/>
                <w:szCs w:val="1"/>
                <w:color w:val="auto"/>
              </w:rPr>
            </w:pPr>
          </w:p>
        </w:tc>
      </w:tr>
      <w:tr>
        <w:trPr>
          <w:trHeight w:val="126"/>
        </w:trPr>
        <w:tc>
          <w:tcPr>
            <w:tcW w:w="28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as hedging</w:t>
            </w:r>
          </w:p>
        </w:tc>
        <w:tc>
          <w:tcPr>
            <w:tcW w:w="240" w:type="dxa"/>
            <w:vAlign w:val="bottom"/>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40" w:type="dxa"/>
            <w:vAlign w:val="bottom"/>
          </w:tcPr>
          <w:p>
            <w:pPr>
              <w:jc w:val="center"/>
              <w:spacing w:after="0"/>
              <w:rPr>
                <w:sz w:val="20"/>
                <w:szCs w:val="20"/>
                <w:color w:val="auto"/>
              </w:rPr>
            </w:pPr>
            <w:r>
              <w:rPr>
                <w:rFonts w:ascii="Arial" w:cs="Arial" w:eastAsia="Arial" w:hAnsi="Arial"/>
                <w:sz w:val="13"/>
                <w:szCs w:val="13"/>
                <w:b w:val="1"/>
                <w:bCs w:val="1"/>
                <w:color w:val="auto"/>
                <w:w w:val="85"/>
              </w:rPr>
              <w:t>instruments</w:t>
            </w:r>
          </w:p>
        </w:tc>
        <w:tc>
          <w:tcPr>
            <w:tcW w:w="240" w:type="dxa"/>
            <w:vAlign w:val="bottom"/>
          </w:tcPr>
          <w:p>
            <w:pPr>
              <w:spacing w:after="0"/>
              <w:rPr>
                <w:sz w:val="15"/>
                <w:szCs w:val="15"/>
                <w:color w:val="auto"/>
              </w:rPr>
            </w:pPr>
          </w:p>
        </w:tc>
        <w:tc>
          <w:tcPr>
            <w:tcW w:w="3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Location</w:t>
            </w:r>
          </w:p>
        </w:tc>
        <w:tc>
          <w:tcPr>
            <w:tcW w:w="260" w:type="dxa"/>
            <w:vAlign w:val="bottom"/>
          </w:tcPr>
          <w:p>
            <w:pPr>
              <w:spacing w:after="0"/>
              <w:rPr>
                <w:sz w:val="15"/>
                <w:szCs w:val="15"/>
                <w:color w:val="auto"/>
              </w:rPr>
            </w:pPr>
          </w:p>
        </w:tc>
        <w:tc>
          <w:tcPr>
            <w:tcW w:w="1820" w:type="dxa"/>
            <w:vAlign w:val="bottom"/>
          </w:tcPr>
          <w:p>
            <w:pPr>
              <w:jc w:val="center"/>
              <w:ind w:right="315"/>
              <w:spacing w:after="0"/>
              <w:rPr>
                <w:sz w:val="20"/>
                <w:szCs w:val="20"/>
                <w:color w:val="auto"/>
              </w:rPr>
            </w:pPr>
            <w:r>
              <w:rPr>
                <w:rFonts w:ascii="Arial" w:cs="Arial" w:eastAsia="Arial" w:hAnsi="Arial"/>
                <w:sz w:val="13"/>
                <w:szCs w:val="13"/>
                <w:b w:val="1"/>
                <w:bCs w:val="1"/>
                <w:color w:val="auto"/>
                <w:w w:val="85"/>
              </w:rPr>
              <w:t>September 30, 2022</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tcPr>
          <w:p>
            <w:pPr>
              <w:jc w:val="center"/>
              <w:ind w:right="394"/>
              <w:spacing w:after="0"/>
              <w:rPr>
                <w:sz w:val="20"/>
                <w:szCs w:val="20"/>
                <w:color w:val="auto"/>
              </w:rPr>
            </w:pPr>
            <w:r>
              <w:rPr>
                <w:rFonts w:ascii="Arial" w:cs="Arial" w:eastAsia="Arial" w:hAnsi="Arial"/>
                <w:sz w:val="13"/>
                <w:szCs w:val="13"/>
                <w:b w:val="1"/>
                <w:bCs w:val="1"/>
                <w:color w:val="auto"/>
                <w:w w:val="87"/>
              </w:rPr>
              <w:t>December 31, 2021</w:t>
            </w:r>
          </w:p>
        </w:tc>
        <w:tc>
          <w:tcPr>
            <w:tcW w:w="0" w:type="dxa"/>
            <w:vAlign w:val="bottom"/>
          </w:tcPr>
          <w:p>
            <w:pPr>
              <w:spacing w:after="0"/>
              <w:rPr>
                <w:sz w:val="1"/>
                <w:szCs w:val="1"/>
                <w:color w:val="auto"/>
              </w:rPr>
            </w:pPr>
          </w:p>
        </w:tc>
      </w:tr>
      <w:tr>
        <w:trPr>
          <w:trHeight w:val="170"/>
        </w:trPr>
        <w:tc>
          <w:tcPr>
            <w:tcW w:w="2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Interest rate swaps</w:t>
            </w:r>
          </w:p>
        </w:tc>
        <w:tc>
          <w:tcPr>
            <w:tcW w:w="240" w:type="dxa"/>
            <w:vAlign w:val="bottom"/>
            <w:shd w:val="clear" w:color="auto" w:fill="CFF0FC"/>
          </w:tcPr>
          <w:p>
            <w:pPr>
              <w:spacing w:after="0"/>
              <w:rPr>
                <w:sz w:val="14"/>
                <w:szCs w:val="14"/>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Prepaid expenses and other current assets</w:t>
            </w:r>
          </w:p>
        </w:tc>
        <w:tc>
          <w:tcPr>
            <w:tcW w:w="2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82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4"/>
                <w:szCs w:val="14"/>
                <w:color w:val="auto"/>
              </w:rPr>
              <w:t>11,754</w:t>
            </w:r>
          </w:p>
        </w:tc>
        <w:tc>
          <w:tcPr>
            <w:tcW w:w="220" w:type="dxa"/>
            <w:vAlign w:val="bottom"/>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location and amount of gains and (losses) recorded related to the derivative instruments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3"/>
                <w:szCs w:val="13"/>
                <w:b w:val="1"/>
                <w:bCs w:val="1"/>
                <w:color w:val="auto"/>
              </w:rPr>
              <w:t>Gain/(Loss)</w:t>
            </w: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right"/>
              <w:ind w:right="1188"/>
              <w:spacing w:after="0"/>
              <w:rPr>
                <w:sz w:val="20"/>
                <w:szCs w:val="20"/>
                <w:color w:val="auto"/>
              </w:rPr>
            </w:pPr>
            <w:r>
              <w:rPr>
                <w:rFonts w:ascii="Arial" w:cs="Arial" w:eastAsia="Arial" w:hAnsi="Arial"/>
                <w:sz w:val="13"/>
                <w:szCs w:val="13"/>
                <w:b w:val="1"/>
                <w:bCs w:val="1"/>
                <w:color w:val="auto"/>
                <w:w w:val="96"/>
              </w:rPr>
              <w:t>Three Months Ended September 30,</w:t>
            </w:r>
          </w:p>
        </w:tc>
        <w:tc>
          <w:tcPr>
            <w:tcW w:w="2860" w:type="dxa"/>
            <w:vAlign w:val="bottom"/>
            <w:gridSpan w:val="4"/>
          </w:tcPr>
          <w:p>
            <w:pPr>
              <w:ind w:left="200"/>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17"/>
        </w:trPr>
        <w:tc>
          <w:tcPr>
            <w:tcW w:w="198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89"/>
              </w:rPr>
              <w:t>Derivatives</w:t>
            </w:r>
          </w:p>
        </w:tc>
        <w:tc>
          <w:tcPr>
            <w:tcW w:w="1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not designated</w:t>
            </w:r>
          </w:p>
        </w:tc>
        <w:tc>
          <w:tcPr>
            <w:tcW w:w="160" w:type="dxa"/>
            <w:vAlign w:val="bottom"/>
          </w:tcPr>
          <w:p>
            <w:pPr>
              <w:spacing w:after="0"/>
              <w:rPr>
                <w:sz w:val="10"/>
                <w:szCs w:val="10"/>
                <w:color w:val="auto"/>
              </w:rPr>
            </w:pPr>
          </w:p>
        </w:tc>
        <w:tc>
          <w:tcPr>
            <w:tcW w:w="25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Income Statement</w:t>
            </w: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4"/>
              </w:rPr>
              <w:t>as hedging</w:t>
            </w:r>
          </w:p>
        </w:tc>
        <w:tc>
          <w:tcPr>
            <w:tcW w:w="160" w:type="dxa"/>
            <w:vAlign w:val="bottom"/>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85"/>
              </w:rPr>
              <w:t>instruments</w:t>
            </w:r>
          </w:p>
        </w:tc>
        <w:tc>
          <w:tcPr>
            <w:tcW w:w="160" w:type="dxa"/>
            <w:vAlign w:val="bottom"/>
          </w:tcPr>
          <w:p>
            <w:pPr>
              <w:spacing w:after="0"/>
              <w:rPr>
                <w:sz w:val="15"/>
                <w:szCs w:val="15"/>
                <w:color w:val="auto"/>
              </w:rPr>
            </w:pPr>
          </w:p>
        </w:tc>
        <w:tc>
          <w:tcPr>
            <w:tcW w:w="2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Location</w:t>
            </w:r>
          </w:p>
        </w:tc>
        <w:tc>
          <w:tcPr>
            <w:tcW w:w="300" w:type="dxa"/>
            <w:vAlign w:val="bottom"/>
          </w:tcPr>
          <w:p>
            <w:pPr>
              <w:spacing w:after="0"/>
              <w:rPr>
                <w:sz w:val="15"/>
                <w:szCs w:val="15"/>
                <w:color w:val="auto"/>
              </w:rPr>
            </w:pPr>
          </w:p>
        </w:tc>
        <w:tc>
          <w:tcPr>
            <w:tcW w:w="1160" w:type="dxa"/>
            <w:vAlign w:val="bottom"/>
          </w:tcPr>
          <w:p>
            <w:pPr>
              <w:jc w:val="right"/>
              <w:ind w:right="594"/>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614"/>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613"/>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75"/>
        </w:trPr>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Interest rate swaps</w:t>
            </w:r>
          </w:p>
        </w:tc>
        <w:tc>
          <w:tcPr>
            <w:tcW w:w="160" w:type="dxa"/>
            <w:vAlign w:val="bottom"/>
            <w:shd w:val="clear" w:color="auto" w:fill="CFF0FC"/>
          </w:tcPr>
          <w:p>
            <w:pPr>
              <w:spacing w:after="0"/>
              <w:rPr>
                <w:sz w:val="15"/>
                <w:szCs w:val="15"/>
                <w:color w:val="auto"/>
              </w:rPr>
            </w:pPr>
          </w:p>
        </w:tc>
        <w:tc>
          <w:tcPr>
            <w:tcW w:w="2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0"/>
              </w:rPr>
              <w:t>Interest expense, net</w:t>
            </w:r>
          </w:p>
        </w:tc>
        <w:tc>
          <w:tcPr>
            <w:tcW w:w="1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4"/>
                <w:szCs w:val="14"/>
                <w:color w:val="auto"/>
              </w:rPr>
              <w:t>3,998</w:t>
            </w:r>
          </w:p>
        </w:tc>
        <w:tc>
          <w:tcPr>
            <w:tcW w:w="16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(108 )</w:t>
            </w:r>
          </w:p>
        </w:tc>
        <w:tc>
          <w:tcPr>
            <w:tcW w:w="14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4"/>
                <w:szCs w:val="14"/>
                <w:color w:val="auto"/>
              </w:rPr>
              <w:t>11,376</w:t>
            </w:r>
          </w:p>
        </w:tc>
        <w:tc>
          <w:tcPr>
            <w:tcW w:w="14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and balance sheet accounts reflect the results of the Company and its subsidiaries.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For the three and nine months ended September 30, 2022, the Company estimated the annual effective tax rate based on projected income for the full year and recorded a quarterly tax provision in accordance with the annual effective tax rate and adjusted for discrete tax items in the period.</w:t>
      </w:r>
    </w:p>
    <w:p>
      <w:pPr>
        <w:spacing w:after="0" w:line="9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effective income tax rate for the three and nine months ended September 30, 2022 was 28.1% and 27.8%, respectively. The Company’s effective income tax rate for the three and nine months ended September 30, 2022 was higher than the U.S. federal statutory rate of 21% primarily due to the Global Intangible Low-Taxed Income (“GILTI”) inclusion, nondeductible share-based compensation, and U.S. state income taxes.</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Company’s effective income tax rate for the three and nine months ended September 30, 2021 was 17.3% and 75.3%, respectively. The Company’s effective income tax rate for the three months ended September 30, 2021 was lower than the U.S. federal statutory rate of 21%, primarily due to the impact of applying the annual effective tax rate in the third quarter of 2021 versus calculating the year-to-date tax expense based on actuals in the second quarter of 2021 which resulted in a true-up that was reflected in the quarter to date amount, an increase of research and development tax credits, and a favorable discrete income tax adjustment from certain changes in estimate as a result of filing certain prior year tax returns. The Company’s effective income tax rate for the nine months ended September 30, 2021 was higher than the U.S. federal statutory rate of 21%, primarily due to the increase of the foreign income tax as a result of increased foreign income in various foreign tax jurisdictions, the increase of the deferred income tax liability on intangibles as a result of the UK corporate income tax rate increase, foreign withholding tax, and increased U.S. state income tax for the nine months ended September 30, 2021. These items were partially offset by an increase of research and development tax credits and a favorable discrete adjustment from the finalization of the 2020 income tax returns.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30"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Accordingly, in any period, the Company does not recognize a significant amount of revenues from performance obligations satisfied or partially satisfied in prior periods and the amount of such revenues recognized during the three and nine months ended September 30, 2022 and 2021 were immaterial.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contract asset balance was $13.5 million and $7.4 million as of September 30, 2022 and December 31, 2021, respectively, and is included in accounts receivable, net in the accompanying condensed consolidated balance sheets. The contract liability balance was $0.8 million and $0.9 million as of September 30, 2022 and December 31, 2021, respectively, and is included in deferred revenues in the accompanying condensed consolidated balance sheets. An immaterial amount of revenues was recognized in the current period related to the beginning balance of deferred revenues.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158" w:lineRule="exact"/>
        <w:rPr>
          <w:sz w:val="20"/>
          <w:szCs w:val="20"/>
          <w:color w:val="auto"/>
        </w:rPr>
      </w:pPr>
    </w:p>
    <w:p>
      <w:pPr>
        <w:jc w:val="both"/>
        <w:ind w:right="280"/>
        <w:spacing w:after="0" w:line="249" w:lineRule="auto"/>
        <w:rPr>
          <w:sz w:val="20"/>
          <w:szCs w:val="20"/>
          <w:color w:val="auto"/>
        </w:rPr>
      </w:pPr>
      <w:r>
        <w:rPr>
          <w:rFonts w:ascii="Arial" w:cs="Arial" w:eastAsia="Arial" w:hAnsi="Arial"/>
          <w:sz w:val="18"/>
          <w:szCs w:val="18"/>
          <w:color w:val="auto"/>
        </w:rPr>
        <w:t>The Company did not have any customers which represented 10% or more of consolidated revenues for the three months ended September 30, 2021 or during the nine months ended September 30, 2021 and 2022. The Company had one customer which represented approximately 10% of its consolidated revenues during the three months ended September 30, 2022. Additionally, the Company did not have any customers which represented 10% or more of consolidated accounts receivable, net for any period presented.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disclosures about the disaggregation of our revenues see Note 16, “Reportable Segments.”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7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Share-based compensation expense is recognized in cost of services, product and technology expense, and selling, general, and administrative expense, in the accompanying condensed consolidated statements of operations and comprehensive income (loss) as follows (in thousands):</w:t>
      </w:r>
    </w:p>
    <w:p>
      <w:pPr>
        <w:spacing w:after="0" w:line="15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43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 expense</w:t>
            </w:r>
          </w:p>
        </w:tc>
        <w:tc>
          <w:tcPr>
            <w:tcW w:w="8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842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76</w:t>
            </w:r>
          </w:p>
        </w:tc>
      </w:tr>
      <w:tr>
        <w:trPr>
          <w:trHeight w:val="216"/>
        </w:trPr>
        <w:tc>
          <w:tcPr>
            <w:tcW w:w="4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Product and technology expense</w:t>
            </w:r>
          </w:p>
        </w:tc>
        <w:tc>
          <w:tcPr>
            <w:tcW w:w="8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176</w:t>
            </w: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1,328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4,317</w:t>
            </w:r>
          </w:p>
        </w:tc>
      </w:tr>
      <w:tr>
        <w:trPr>
          <w:trHeight w:val="25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 expense</w:t>
            </w:r>
          </w:p>
        </w:tc>
        <w:tc>
          <w:tcPr>
            <w:tcW w:w="80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2,022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4,569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Successor Plan</w:t>
      </w:r>
    </w:p>
    <w:p>
      <w:pPr>
        <w:spacing w:after="0" w:line="17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Prior to the IPO, all share-based awards were issued by Fastball Holdco, L.P., the Company’s previous parent company, under individual grant agreements and the partnership agreement of such parent company (collectively the “Successor Plan”).</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Awards issued under the Successor Plan consist of options and profits interests and vest based on two criteria (50% each): (1) Time — awards vest over five years at a rate of 20% per year; and (2) Performance — awards vest based upon a combination of the five year time vesting, subject to the Company’s investors receiving a targeted money-on-money return. Options issued under the Successor Plan generally expire ten years after the grant date. No awards were issued under the plan during the period from January 1, 2021 through September 30, 2021.</w:t>
      </w:r>
    </w:p>
    <w:p>
      <w:pPr>
        <w:spacing w:after="0" w:line="1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the Company’s IPO, the Company’s parent was dissolved. Awards issued by the Company’s parent were converted in accordance with non-discretionary anti-dilution provisions of the Successor grants as follows:</w:t>
      </w:r>
    </w:p>
    <w:p>
      <w:pPr>
        <w:spacing w:after="0" w:line="103" w:lineRule="exact"/>
        <w:rPr>
          <w:sz w:val="20"/>
          <w:szCs w:val="20"/>
          <w:color w:val="auto"/>
        </w:rPr>
      </w:pPr>
    </w:p>
    <w:p>
      <w:pPr>
        <w:ind w:left="1020" w:right="180" w:hanging="503"/>
        <w:spacing w:after="0" w:line="24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vested outstanding profits interest grants issued by the Company’s parent were converted to common stock in the Company and all unvested outstanding profits interest grants issued by the Company’s parent were converted to restricted stock in the Company under the 2021 Omnibus Incentive Plan (the “2021 Equity Plan”). The number of common stock and restricted stock shares issued to each profits interest holder was ratably adjusted to preserve the fair value of the awards. Additionally, the vesting conditions and equity classification of the awards remained unchanged as a result of the conversion.</w:t>
      </w:r>
    </w:p>
    <w:p>
      <w:pPr>
        <w:spacing w:after="0" w:line="91" w:lineRule="exact"/>
        <w:rPr>
          <w:rFonts w:ascii="Arial" w:cs="Arial" w:eastAsia="Arial" w:hAnsi="Arial"/>
          <w:sz w:val="18"/>
          <w:szCs w:val="18"/>
          <w:color w:val="auto"/>
        </w:rPr>
      </w:pPr>
    </w:p>
    <w:p>
      <w:pPr>
        <w:ind w:left="1020" w:right="240" w:hanging="503"/>
        <w:spacing w:after="0" w:line="24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outstanding stock option grants issued by the Company’s parent were converted into stock options issued by the Company under the terms of the individual grant agreements. The number of options granted and the strike price of the options was ratably adjusted using an exchange ratio calculated to preserve the fair value of the awards. Additionally, the vesting, vesting conditions, and equity classification of the awards remained unchanged as a result of the conversion.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3"/>
                <w:szCs w:val="13"/>
                <w:color w:val="auto"/>
              </w:rPr>
            </w:pPr>
          </w:p>
        </w:tc>
        <w:tc>
          <w:tcPr>
            <w:tcW w:w="1200" w:type="dxa"/>
            <w:vAlign w:val="bottom"/>
          </w:tcPr>
          <w:p>
            <w:pPr>
              <w:jc w:val="right"/>
              <w:ind w:right="219"/>
              <w:spacing w:after="0" w:line="158" w:lineRule="exact"/>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Intrinsic 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26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8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3,519,563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Grants exercised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(309,087 )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26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Grants cancelled/forfeited</w:t>
            </w:r>
          </w:p>
        </w:tc>
        <w:tc>
          <w:tcPr>
            <w:tcW w:w="8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(315,865 )</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9"/>
              </w:rPr>
              <w:t>September 30, 2022</w:t>
            </w:r>
          </w:p>
        </w:tc>
        <w:tc>
          <w:tcPr>
            <w:tcW w:w="2680" w:type="dxa"/>
            <w:vAlign w:val="bottom"/>
          </w:tcPr>
          <w:p>
            <w:pPr>
              <w:ind w:left="180"/>
              <w:spacing w:after="0"/>
              <w:rPr>
                <w:sz w:val="20"/>
                <w:szCs w:val="20"/>
                <w:color w:val="auto"/>
              </w:rPr>
            </w:pPr>
            <w:r>
              <w:rPr>
                <w:rFonts w:ascii="Arial" w:cs="Arial" w:eastAsia="Arial" w:hAnsi="Arial"/>
                <w:sz w:val="18"/>
                <w:szCs w:val="18"/>
                <w:color w:val="auto"/>
              </w:rPr>
              <w:t>Grants outstanding</w:t>
            </w:r>
          </w:p>
        </w:tc>
        <w:tc>
          <w:tcPr>
            <w:tcW w:w="2040" w:type="dxa"/>
            <w:vAlign w:val="bottom"/>
            <w:gridSpan w:val="2"/>
          </w:tcPr>
          <w:p>
            <w:pPr>
              <w:jc w:val="right"/>
              <w:ind w:right="35"/>
              <w:spacing w:after="0"/>
              <w:rPr>
                <w:sz w:val="20"/>
                <w:szCs w:val="20"/>
                <w:color w:val="auto"/>
              </w:rPr>
            </w:pPr>
            <w:r>
              <w:rPr>
                <w:rFonts w:ascii="Arial" w:cs="Arial" w:eastAsia="Arial" w:hAnsi="Arial"/>
                <w:sz w:val="18"/>
                <w:szCs w:val="18"/>
                <w:color w:val="auto"/>
              </w:rPr>
              <w:t>2,894,611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1200" w:type="dxa"/>
            <w:vAlign w:val="bottom"/>
          </w:tcPr>
          <w:p>
            <w:pPr>
              <w:ind w:left="520"/>
              <w:spacing w:after="0"/>
              <w:rPr>
                <w:sz w:val="20"/>
                <w:szCs w:val="20"/>
                <w:color w:val="auto"/>
              </w:rPr>
            </w:pPr>
            <w:r>
              <w:rPr>
                <w:rFonts w:ascii="Arial" w:cs="Arial" w:eastAsia="Arial" w:hAnsi="Arial"/>
                <w:sz w:val="18"/>
                <w:szCs w:val="18"/>
                <w:color w:val="auto"/>
                <w:w w:val="85"/>
              </w:rPr>
              <w:t>7.3 Years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 million</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September 30, 2022</w:t>
            </w:r>
          </w:p>
        </w:tc>
        <w:tc>
          <w:tcPr>
            <w:tcW w:w="268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Grants vested</w:t>
            </w:r>
          </w:p>
        </w:tc>
        <w:tc>
          <w:tcPr>
            <w:tcW w:w="8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707,264</w:t>
            </w:r>
          </w:p>
        </w:tc>
        <w:tc>
          <w:tcPr>
            <w:tcW w:w="24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w w:val="85"/>
              </w:rPr>
              <w:t>7.0 Years</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 million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Arial" w:cs="Arial" w:eastAsia="Arial" w:hAnsi="Arial"/>
                <w:sz w:val="18"/>
                <w:szCs w:val="18"/>
                <w:color w:val="auto"/>
                <w:w w:val="99"/>
              </w:rPr>
              <w:t>September 30, 2022</w:t>
            </w:r>
          </w:p>
        </w:tc>
        <w:tc>
          <w:tcPr>
            <w:tcW w:w="2680" w:type="dxa"/>
            <w:vAlign w:val="bottom"/>
          </w:tcPr>
          <w:p>
            <w:pPr>
              <w:ind w:left="180"/>
              <w:spacing w:after="0"/>
              <w:rPr>
                <w:sz w:val="20"/>
                <w:szCs w:val="20"/>
                <w:color w:val="auto"/>
              </w:rPr>
            </w:pPr>
            <w:r>
              <w:rPr>
                <w:rFonts w:ascii="Arial" w:cs="Arial" w:eastAsia="Arial" w:hAnsi="Arial"/>
                <w:sz w:val="18"/>
                <w:szCs w:val="18"/>
                <w:color w:val="auto"/>
              </w:rPr>
              <w:t>Grants unvested</w:t>
            </w:r>
          </w:p>
        </w:tc>
        <w:tc>
          <w:tcPr>
            <w:tcW w:w="2040" w:type="dxa"/>
            <w:vAlign w:val="bottom"/>
            <w:gridSpan w:val="2"/>
          </w:tcPr>
          <w:p>
            <w:pPr>
              <w:jc w:val="right"/>
              <w:ind w:right="35"/>
              <w:spacing w:after="0"/>
              <w:rPr>
                <w:sz w:val="20"/>
                <w:szCs w:val="20"/>
                <w:color w:val="auto"/>
              </w:rPr>
            </w:pPr>
            <w:r>
              <w:rPr>
                <w:rFonts w:ascii="Arial" w:cs="Arial" w:eastAsia="Arial" w:hAnsi="Arial"/>
                <w:sz w:val="18"/>
                <w:szCs w:val="18"/>
                <w:color w:val="auto"/>
              </w:rPr>
              <w:t>2,187,347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gridSpan w:val="2"/>
          </w:tcPr>
          <w:p>
            <w:pPr>
              <w:jc w:val="right"/>
              <w:ind w:right="11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6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-779145</wp:posOffset>
            </wp:positionV>
            <wp:extent cx="7747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2021 Equity Plan</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connection with the IPO, the Company adopted the 2021 Equity Plan. 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w:t>
      </w:r>
    </w:p>
    <w:p>
      <w:pPr>
        <w:spacing w:after="0" w:line="1" w:lineRule="exact"/>
        <w:rPr>
          <w:sz w:val="20"/>
          <w:szCs w:val="20"/>
          <w:color w:val="auto"/>
        </w:rPr>
      </w:pPr>
    </w:p>
    <w:p>
      <w:pPr>
        <w:ind w:right="180" w:firstLine="8"/>
        <w:spacing w:after="0" w:line="24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number of shares as determined by the Board of Directors. As of September 30, 2022, 13,578,273 shares were available for issuance under the 2021 Equity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Stock options issued immediately prior to the IPO vest based on two criteria (50% each): (1) Time — awards vest over five years at a rate of 20% per year; and (2) Performance — awards vest based upon a combination of the five year time vesting, subject to the Company’s investors receiving a targeted money-on-money return. Stock options issued after the IPO vest annually, generally over four to five years. Stock options generally expire ten years after the grant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option activity for the nine months ended September 30, 2022 is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177"/>
              <w:spacing w:after="0" w:line="158"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3"/>
                <w:szCs w:val="13"/>
                <w:color w:val="auto"/>
              </w:rPr>
            </w:pPr>
          </w:p>
        </w:tc>
        <w:tc>
          <w:tcPr>
            <w:tcW w:w="1420" w:type="dxa"/>
            <w:vAlign w:val="bottom"/>
            <w:gridSpan w:val="2"/>
          </w:tcPr>
          <w:p>
            <w:pPr>
              <w:jc w:val="center"/>
              <w:ind w:right="36"/>
              <w:spacing w:after="0" w:line="158" w:lineRule="exact"/>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16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34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Grants outstanding</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3,714,540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Grants issued</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608,122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Borders>
              <w:bottom w:val="single" w:sz="8" w:color="CFF0FC"/>
            </w:tcBorders>
            <w:shd w:val="clear" w:color="auto" w:fill="CFF0FC"/>
          </w:tcPr>
          <w:p>
            <w:pPr>
              <w:spacing w:after="0"/>
              <w:rPr>
                <w:sz w:val="18"/>
                <w:szCs w:val="18"/>
                <w:color w:val="auto"/>
              </w:rPr>
            </w:pPr>
          </w:p>
        </w:tc>
        <w:tc>
          <w:tcPr>
            <w:tcW w:w="34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Grants cancelled/forfeited</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(11,000 )</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20"/>
                <w:szCs w:val="20"/>
                <w:color w:val="auto"/>
              </w:rPr>
            </w:pPr>
            <w:r>
              <w:rPr>
                <w:rFonts w:ascii="Arial" w:cs="Arial" w:eastAsia="Arial" w:hAnsi="Arial"/>
                <w:sz w:val="18"/>
                <w:szCs w:val="18"/>
                <w:color w:val="auto"/>
                <w:w w:val="98"/>
              </w:rPr>
              <w:t>September 30, 2022</w:t>
            </w:r>
          </w:p>
        </w:tc>
        <w:tc>
          <w:tcPr>
            <w:tcW w:w="3420" w:type="dxa"/>
            <w:vAlign w:val="bottom"/>
          </w:tcPr>
          <w:p>
            <w:pPr>
              <w:ind w:left="180"/>
              <w:spacing w:after="0"/>
              <w:rPr>
                <w:sz w:val="20"/>
                <w:szCs w:val="20"/>
                <w:color w:val="auto"/>
              </w:rPr>
            </w:pPr>
            <w:r>
              <w:rPr>
                <w:rFonts w:ascii="Arial" w:cs="Arial" w:eastAsia="Arial" w:hAnsi="Arial"/>
                <w:sz w:val="18"/>
                <w:szCs w:val="18"/>
                <w:color w:val="auto"/>
              </w:rPr>
              <w:t>Grants outstanding</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4,311,662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18"/>
                <w:szCs w:val="18"/>
                <w:color w:val="auto"/>
              </w:rPr>
            </w:pPr>
          </w:p>
        </w:tc>
        <w:tc>
          <w:tcPr>
            <w:tcW w:w="1140" w:type="dxa"/>
            <w:vAlign w:val="bottom"/>
          </w:tcPr>
          <w:p>
            <w:pPr>
              <w:ind w:left="460"/>
              <w:spacing w:after="0"/>
              <w:rPr>
                <w:sz w:val="20"/>
                <w:szCs w:val="20"/>
                <w:color w:val="auto"/>
              </w:rPr>
            </w:pPr>
            <w:r>
              <w:rPr>
                <w:rFonts w:ascii="Arial" w:cs="Arial" w:eastAsia="Arial" w:hAnsi="Arial"/>
                <w:sz w:val="18"/>
                <w:szCs w:val="18"/>
                <w:color w:val="auto"/>
                <w:w w:val="85"/>
              </w:rPr>
              <w:t>8.9 Years</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8"/>
              </w:rPr>
              <w:t>September 30, 2022</w:t>
            </w:r>
          </w:p>
        </w:tc>
        <w:tc>
          <w:tcPr>
            <w:tcW w:w="342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Grants vested</w:t>
            </w:r>
          </w:p>
        </w:tc>
        <w:tc>
          <w:tcPr>
            <w:tcW w:w="12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1,004,552</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15.08</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ind w:left="460"/>
              <w:spacing w:after="0" w:line="196" w:lineRule="exact"/>
              <w:rPr>
                <w:sz w:val="20"/>
                <w:szCs w:val="20"/>
                <w:color w:val="auto"/>
              </w:rPr>
            </w:pPr>
            <w:r>
              <w:rPr>
                <w:rFonts w:ascii="Arial" w:cs="Arial" w:eastAsia="Arial" w:hAnsi="Arial"/>
                <w:sz w:val="18"/>
                <w:szCs w:val="18"/>
                <w:color w:val="auto"/>
                <w:w w:val="85"/>
              </w:rPr>
              <w:t>8.7 Years</w:t>
            </w:r>
          </w:p>
        </w:tc>
        <w:tc>
          <w:tcPr>
            <w:tcW w:w="400" w:type="dxa"/>
            <w:vAlign w:val="bottom"/>
            <w:gridSpan w:val="2"/>
            <w:shd w:val="clear" w:color="auto" w:fill="CFF0FC"/>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w w:val="98"/>
              </w:rPr>
              <w:t>September 30, 2022</w:t>
            </w:r>
          </w:p>
        </w:tc>
        <w:tc>
          <w:tcPr>
            <w:tcW w:w="3420" w:type="dxa"/>
            <w:vAlign w:val="bottom"/>
          </w:tcPr>
          <w:p>
            <w:pPr>
              <w:ind w:left="180"/>
              <w:spacing w:after="0"/>
              <w:rPr>
                <w:sz w:val="20"/>
                <w:szCs w:val="20"/>
                <w:color w:val="auto"/>
              </w:rPr>
            </w:pPr>
            <w:r>
              <w:rPr>
                <w:rFonts w:ascii="Arial" w:cs="Arial" w:eastAsia="Arial" w:hAnsi="Arial"/>
                <w:sz w:val="18"/>
                <w:szCs w:val="18"/>
                <w:color w:val="auto"/>
              </w:rPr>
              <w:t>Grants unvested</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3,307,110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-454025</wp:posOffset>
            </wp:positionV>
            <wp:extent cx="7747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11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fair value for stock options granted for the nine months ended September 30, 2022 was estimated at the date of grant using the Black-Scholes option-pricing model with the following weighed average assumptions: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580" w:type="dxa"/>
            <w:vAlign w:val="bottom"/>
            <w:vMerge w:val="restart"/>
          </w:tcPr>
          <w:p>
            <w:pPr>
              <w:spacing w:after="0"/>
              <w:rPr>
                <w:sz w:val="20"/>
                <w:szCs w:val="20"/>
                <w:color w:val="auto"/>
              </w:rPr>
            </w:pPr>
            <w:r>
              <w:rPr>
                <w:rFonts w:ascii="Arial" w:cs="Arial" w:eastAsia="Arial" w:hAnsi="Arial"/>
                <w:sz w:val="18"/>
                <w:szCs w:val="18"/>
                <w:color w:val="auto"/>
              </w:rPr>
              <w:t>Expected stock price volatility</w:t>
            </w: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34.66 %</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20" w:type="dxa"/>
            <w:vAlign w:val="bottom"/>
            <w:shd w:val="clear" w:color="auto" w:fill="CFF0FC"/>
          </w:tcPr>
          <w:p>
            <w:pPr>
              <w:spacing w:after="0"/>
              <w:rPr>
                <w:sz w:val="18"/>
                <w:szCs w:val="18"/>
                <w:color w:val="auto"/>
              </w:rPr>
            </w:pPr>
          </w:p>
        </w:tc>
        <w:tc>
          <w:tcPr>
            <w:tcW w:w="18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Fair-value of the underlying unit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-556895</wp:posOffset>
            </wp:positionV>
            <wp:extent cx="570039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(“RSU”) vest annually, generally over three to five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activity for the nine months ended September 30, 2022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Grant Date Fair</w:t>
            </w: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2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Nonvested RSUs</w:t>
            </w:r>
          </w:p>
        </w:tc>
        <w:tc>
          <w:tcPr>
            <w:tcW w:w="34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340,875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ind w:right="36"/>
              <w:spacing w:after="0"/>
              <w:rPr>
                <w:sz w:val="20"/>
                <w:szCs w:val="20"/>
                <w:color w:val="auto"/>
              </w:rPr>
            </w:pPr>
            <w:r>
              <w:rPr>
                <w:rFonts w:ascii="Arial" w:cs="Arial" w:eastAsia="Arial" w:hAnsi="Arial"/>
                <w:sz w:val="18"/>
                <w:szCs w:val="18"/>
                <w:color w:val="auto"/>
              </w:rPr>
              <w:t>203,032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14.36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4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(42,300 )</w:t>
            </w:r>
          </w:p>
        </w:tc>
        <w:tc>
          <w:tcPr>
            <w:tcW w:w="3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16.63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(4,400 )</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17.52</w:t>
            </w: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September 30, 2022</w:t>
            </w:r>
          </w:p>
        </w:tc>
        <w:tc>
          <w:tcPr>
            <w:tcW w:w="2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Nonvested RSUs</w:t>
            </w:r>
          </w:p>
        </w:tc>
        <w:tc>
          <w:tcPr>
            <w:tcW w:w="34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497,207</w:t>
            </w:r>
          </w:p>
        </w:tc>
        <w:tc>
          <w:tcPr>
            <w:tcW w:w="3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16.08</w:t>
            </w: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60" w:type="dxa"/>
            <w:vAlign w:val="bottom"/>
          </w:tcPr>
          <w:p>
            <w:pPr>
              <w:jc w:val="right"/>
              <w:ind w:right="2230"/>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
        </w:trPr>
        <w:tc>
          <w:tcPr>
            <w:tcW w:w="58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2360" w:type="dxa"/>
            <w:vAlign w:val="bottom"/>
            <w:tcBorders>
              <w:bottom w:val="single" w:sz="8" w:color="9A9A9A"/>
            </w:tcBorders>
          </w:tcPr>
          <w:p>
            <w:pPr>
              <w:spacing w:after="0"/>
              <w:rPr>
                <w:sz w:val="6"/>
                <w:szCs w:val="6"/>
                <w:color w:val="auto"/>
              </w:rPr>
            </w:pPr>
          </w:p>
        </w:tc>
        <w:tc>
          <w:tcPr>
            <w:tcW w:w="346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-359410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-342265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following table summarizes the restricted stock issued by the Company. These include grants of unvested Successor profits interests grants that were converted into restricted stock as described above, as well as restricted stock issued to new recipients. The restricted stock granted as a result of the conversion of Successor profits interests retain the vesting attributes (including original service period vesting start date) of the original award. A summary of the restricted stock activity for the nine months ended September 30, 2022 is as follows:</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Weighted Average</w:t>
            </w:r>
          </w:p>
        </w:tc>
      </w:tr>
      <w:tr>
        <w:trPr>
          <w:trHeight w:val="149"/>
        </w:trPr>
        <w:tc>
          <w:tcPr>
            <w:tcW w:w="164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134"/>
              <w:spacing w:after="0" w:line="149" w:lineRule="exact"/>
              <w:rPr>
                <w:sz w:val="20"/>
                <w:szCs w:val="20"/>
                <w:color w:val="auto"/>
              </w:rPr>
            </w:pPr>
            <w:r>
              <w:rPr>
                <w:rFonts w:ascii="Arial" w:cs="Arial" w:eastAsia="Arial" w:hAnsi="Arial"/>
                <w:sz w:val="14"/>
                <w:szCs w:val="14"/>
                <w:b w:val="1"/>
                <w:bCs w:val="1"/>
                <w:color w:val="auto"/>
              </w:rPr>
              <w:t>Grant Date Fair</w:t>
            </w:r>
          </w:p>
        </w:tc>
      </w:tr>
      <w:tr>
        <w:trPr>
          <w:trHeight w:val="198"/>
        </w:trPr>
        <w:tc>
          <w:tcPr>
            <w:tcW w:w="164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r>
      <w:tr>
        <w:trPr>
          <w:trHeight w:val="21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5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Nonvested restricted stock</w:t>
            </w: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2,613,359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3.85</w:t>
            </w:r>
          </w:p>
        </w:tc>
      </w:tr>
      <w:tr>
        <w:trPr>
          <w:trHeight w:val="216"/>
        </w:trPr>
        <w:tc>
          <w:tcPr>
            <w:tcW w:w="1640" w:type="dxa"/>
            <w:vAlign w:val="bottom"/>
          </w:tcPr>
          <w:p>
            <w:pPr>
              <w:spacing w:after="0"/>
              <w:rPr>
                <w:sz w:val="18"/>
                <w:szCs w:val="18"/>
                <w:color w:val="auto"/>
              </w:rPr>
            </w:pPr>
          </w:p>
        </w:tc>
        <w:tc>
          <w:tcPr>
            <w:tcW w:w="58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Borders>
              <w:bottom w:val="single" w:sz="8" w:color="CFF0FC"/>
            </w:tcBorders>
            <w:shd w:val="clear" w:color="auto" w:fill="CFF0FC"/>
          </w:tcPr>
          <w:p>
            <w:pPr>
              <w:spacing w:after="0"/>
              <w:rPr>
                <w:sz w:val="18"/>
                <w:szCs w:val="18"/>
                <w:color w:val="auto"/>
              </w:rPr>
            </w:pPr>
          </w:p>
        </w:tc>
        <w:tc>
          <w:tcPr>
            <w:tcW w:w="5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(332,059 )</w:t>
            </w:r>
          </w:p>
        </w:tc>
        <w:tc>
          <w:tcPr>
            <w:tcW w:w="3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3.85</w:t>
            </w:r>
          </w:p>
        </w:tc>
      </w:tr>
      <w:tr>
        <w:trPr>
          <w:trHeight w:val="209"/>
        </w:trPr>
        <w:tc>
          <w:tcPr>
            <w:tcW w:w="1640" w:type="dxa"/>
            <w:vAlign w:val="bottom"/>
          </w:tcPr>
          <w:p>
            <w:pPr>
              <w:spacing w:after="0"/>
              <w:rPr>
                <w:sz w:val="20"/>
                <w:szCs w:val="20"/>
                <w:color w:val="auto"/>
              </w:rPr>
            </w:pPr>
            <w:r>
              <w:rPr>
                <w:rFonts w:ascii="Arial" w:cs="Arial" w:eastAsia="Arial" w:hAnsi="Arial"/>
                <w:sz w:val="18"/>
                <w:szCs w:val="18"/>
                <w:color w:val="auto"/>
                <w:w w:val="99"/>
              </w:rPr>
              <w:t>September 30, 2022</w:t>
            </w:r>
          </w:p>
        </w:tc>
        <w:tc>
          <w:tcPr>
            <w:tcW w:w="5800" w:type="dxa"/>
            <w:vAlign w:val="bottom"/>
          </w:tcPr>
          <w:p>
            <w:pPr>
              <w:ind w:left="180"/>
              <w:spacing w:after="0"/>
              <w:rPr>
                <w:sz w:val="20"/>
                <w:szCs w:val="20"/>
                <w:color w:val="auto"/>
              </w:rPr>
            </w:pPr>
            <w:r>
              <w:rPr>
                <w:rFonts w:ascii="Arial" w:cs="Arial" w:eastAsia="Arial" w:hAnsi="Arial"/>
                <w:sz w:val="18"/>
                <w:szCs w:val="18"/>
                <w:color w:val="auto"/>
              </w:rPr>
              <w:t>Nonvested restricted stock</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2,281,300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3.85</w:t>
            </w:r>
          </w:p>
        </w:tc>
      </w:tr>
      <w:tr>
        <w:trPr>
          <w:trHeight w:val="20"/>
        </w:trPr>
        <w:tc>
          <w:tcPr>
            <w:tcW w:w="164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2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As of September 30, 2022, the Company had approximately $36.7 million of unrecognized pre-tax noncash compensation expense, comprised of approximately $7.9 million related to restricted stock, $7.0 million related to restricted stock units, and approximately $21.8 million related to stock options, which the Company expects to recognize over a weighted average period of 3.1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5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June 25, 2021, in connection with the IPO, the Company adopted the First Advantage Corporation 2021 Employee Stock Purchase Plan (“ESPP”) that allows eligible employees to voluntarily make after-tax contributions of up to 15% of such employee’s cash compensation to acquire Company stock during designated offering periods. During each offering period, there will be one six-month purchase period, which will have the same duration and coincide with the length of the offering period. During the holding period, ESPP purchased shares are not eligible for sale or broker transfer. The Company recorded an associated expense of approximately $0.1 million and $0.3 million for the three and nine months ended September 30, 2022, respectively.</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On June 11, 2021, the Company’s Board of Directors approved and made effective a 1,300,000-for-one stock split of the Company’s common stock and filed an Amended and Restated Certificate of Incorporation, which authorized a total of 1,000,000,000 shares of Common Stock, $0.001 par value per share and 250,000,000 shares of Preferred Stock, par value $0.001 per share (the “Preferred Stock”). The par value per share of common stock remained unchanged at $0.001 per share. Authorized shares were increased from 10,000 shares to 1,000,000,000 shares. The condensed consolidated financial statements and accompanying notes give retroactive effect to the stock split for all periods presented. After giving retroactive effect to the stock split, as of December 31, 2020, 130,000,000 shares of common stock were issued and outstanding.</w:t>
      </w:r>
    </w:p>
    <w:p>
      <w:pPr>
        <w:spacing w:after="0" w:line="11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connection with the IPO, Fastball Holdco, L.P., the Company’s parent, was dissolved and all outstanding Class A LP Units, Class B LP Units, and Class C LP Units of Fastball Holdco, L.P. were exchanged for 130,000,000 shares of the Company’s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no preferred stock had been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stock repurchase activity under the Repurchase Program, is summarized as follows (in thousands, except share and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Three Months Ended September</w:t>
            </w:r>
          </w:p>
        </w:tc>
        <w:tc>
          <w:tcPr>
            <w:tcW w:w="120" w:type="dxa"/>
            <w:vAlign w:val="bottom"/>
          </w:tcPr>
          <w:p>
            <w:pPr>
              <w:spacing w:after="0"/>
              <w:rPr>
                <w:sz w:val="14"/>
                <w:szCs w:val="14"/>
                <w:color w:val="auto"/>
              </w:rPr>
            </w:pPr>
          </w:p>
        </w:tc>
        <w:tc>
          <w:tcPr>
            <w:tcW w:w="214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85"/>
        </w:trPr>
        <w:tc>
          <w:tcPr>
            <w:tcW w:w="68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30,</w:t>
            </w:r>
          </w:p>
        </w:tc>
      </w:tr>
      <w:tr>
        <w:trPr>
          <w:trHeight w:val="169"/>
        </w:trPr>
        <w:tc>
          <w:tcPr>
            <w:tcW w:w="6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2022</w:t>
            </w:r>
          </w:p>
        </w:tc>
      </w:tr>
      <w:tr>
        <w:trPr>
          <w:trHeight w:val="210"/>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repurchased</w:t>
            </w:r>
          </w:p>
        </w:tc>
        <w:tc>
          <w:tcPr>
            <w:tcW w:w="5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155,697</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155,697</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14.42</w:t>
            </w:r>
          </w:p>
        </w:tc>
        <w:tc>
          <w:tcPr>
            <w:tcW w:w="6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14.42</w:t>
            </w:r>
          </w:p>
        </w:tc>
      </w:tr>
      <w:tr>
        <w:trPr>
          <w:trHeight w:val="216"/>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recorded to accumulated earnings (deficit)</w:t>
            </w:r>
          </w:p>
        </w:tc>
        <w:tc>
          <w:tcPr>
            <w:tcW w:w="5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Total repurchase costs</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2,245</w:t>
            </w:r>
          </w:p>
        </w:tc>
        <w:tc>
          <w:tcPr>
            <w:tcW w:w="6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2,245</w:t>
            </w:r>
          </w:p>
        </w:tc>
      </w:tr>
      <w:tr>
        <w:trPr>
          <w:trHeight w:val="216"/>
        </w:trPr>
        <w:tc>
          <w:tcPr>
            <w:tcW w:w="6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Additional associated costs</w:t>
            </w:r>
          </w:p>
        </w:tc>
        <w:tc>
          <w:tcPr>
            <w:tcW w:w="5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color w:val="auto"/>
              </w:rPr>
              <w:t>Total costs recorded to accumulated earnings (deficit)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2,248</w:t>
            </w:r>
          </w:p>
        </w:tc>
        <w:tc>
          <w:tcPr>
            <w:tcW w:w="6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5"/>
              <w:spacing w:after="0"/>
              <w:rPr>
                <w:sz w:val="20"/>
                <w:szCs w:val="20"/>
                <w:color w:val="auto"/>
              </w:rPr>
            </w:pPr>
            <w:r>
              <w:rPr>
                <w:rFonts w:ascii="Arial" w:cs="Arial" w:eastAsia="Arial" w:hAnsi="Arial"/>
                <w:sz w:val="18"/>
                <w:szCs w:val="18"/>
                <w:color w:val="auto"/>
              </w:rPr>
              <w:t>2,248</w:t>
            </w: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2022, the remaining authorized value of shares available to be repurchased under this program was approximately $47.8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the shares of our stock repurchased is reflected as a reduction to accumulated earnings (deficit).</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Except for certain changes to our lease agreements discussed in Note 13, there have been no material changes to the Company’s contractual obligations as compared to December 31, 2021.</w:t>
      </w:r>
    </w:p>
    <w:p>
      <w:pPr>
        <w:spacing w:after="0" w:line="113"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 The Company is involved in litigation from time to time in the ordinary course of business. At times, the Company, given the nature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background screening business, could become subject to lawsuits, or potential class action lawsuits, in multiple jurisdictions, related to claims brought primarily by consumers or individuals who were the subject of its screening services.</w:t>
      </w:r>
    </w:p>
    <w:p>
      <w:pPr>
        <w:spacing w:after="0" w:line="11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For all pending matters, the Company believes it has meritorious defenses and intends to defend vigorously or otherwise seek indemnification from other parties as appropriate. However, the Company has recorded a liability of $4.0 million and $7.9 million at September 30, 2022 and December 31, 2021, respectively, for matters that it believes a loss is both probable and estimable. This is included in accrued liabilities in the accompanying condensed consolidated balance sheets.</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February 2022, the Company settled and paid $5.5 million related to a settlement agreement the parties had agreed upon in April 2020 and was approved by the court in December 2021. In March 2022, the Company received a recovery of $2.2 million, which represented the portion of the legal settlement and legal fees incurred by the Company which were recovered from the Company’s insurers related to this case.</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Effective January 1, 2022, the Company adopted ASC 842, which requires recognition of ROU assets and lease liabilities on the balance sheet, based on the present value of the future minimum rental payments for existing operating leases. The Company adopted the provisions of ASC 842 on January 1, 2022 using a modified retrospective approach through a cumulative effect adjustment to retained earnings as of the beginning of the period of adoption in line with the new transition method allowed under ASU 2018-11. ASC 842 provides a number of optional practical expedients in transition. The Company elected the “package of practical expedients” which permits the Company not to reassess under the new standard its prior conclusions about lease identification, lease classification, and initial direct costs. The Company did not elect the use-of-hindsight and elected the practical expedient pertaining to land easements. The new standard also provides practical expedients for an entity’s ongoing accounting for leases. The Company elected the short-term lease exemption for all leases that qualify, meaning the Company will not recognize ROU assets or lease liabilities for leases with terms shorter than twelve months. The Company also elected the practical expedient to not separate lease and non-lease components for a majority of its asset classes, including real estate and most equipment.</w:t>
      </w:r>
    </w:p>
    <w:p>
      <w:pPr>
        <w:spacing w:after="0" w:line="126"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Company measures the ROU assets and liabilities based on the present value of the future minimum lease payments over the lease term at the commencement date. Minimum lease payments include the fixed lease and non-lease components of the agreement, as well as any variable rent payments that depend on an index, initially measured using the index at the lease commencement date. The ROU assets are adjusted for any initial direct costs incurred less any lease incentives received, in addition to payments made on or before the commencement date of the lease. The Company recognizes lease expense for leases on a straight-line basis over the lease term.</w:t>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the implicit rate is not readily determinable for most of the Company’s lease agreements, the Company uses an estimated incremental borrowing rate to determine the initial present value of lease payments.</w:t>
      </w:r>
    </w:p>
    <w:p>
      <w:pPr>
        <w:spacing w:after="0" w:line="130"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The Company determines if a contract is or contains a lease at inception. The Company has operating and finance leases for office space, data centers, and equipment. Leases with an initial term of 12 months or less are not recorded on the balance sheet. The Company enters into lease contracts ranging from 1 to 9 years with a majority of the Company’s lease terms ranging from 3 to 5 years.</w:t>
      </w:r>
    </w:p>
    <w:p>
      <w:pPr>
        <w:spacing w:after="0" w:line="141"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Some leases include one or more options to renew, with renewal terms that can extend the lease term from 1 to 5 years or more. The exercise of these lease renewal options is at the Company’s sole discretion. The depreciable life of assets and leasehold improvements are limited by the expected lease term.</w:t>
      </w:r>
    </w:p>
    <w:p>
      <w:pPr>
        <w:spacing w:after="0" w:line="7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Certain of our leases include rental payments that will adjust periodically for inflation or certain adjustments based on step increases. An insignificant number of our leases contain residual value guarantees and none of our agreements contain material restrictive covenants. Variable rent expenses consist primarily of maintenance, property taxes, and charges based on usage.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components of lease costs are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20" w:type="dxa"/>
            <w:vAlign w:val="bottom"/>
          </w:tcPr>
          <w:p>
            <w:pPr>
              <w:jc w:val="center"/>
              <w:ind w:left="297"/>
              <w:spacing w:after="0"/>
              <w:rPr>
                <w:sz w:val="20"/>
                <w:szCs w:val="20"/>
                <w:color w:val="auto"/>
              </w:rPr>
            </w:pPr>
            <w:r>
              <w:rPr>
                <w:rFonts w:ascii="Arial" w:cs="Arial" w:eastAsia="Arial" w:hAnsi="Arial"/>
                <w:sz w:val="14"/>
                <w:szCs w:val="14"/>
                <w:b w:val="1"/>
                <w:bCs w:val="1"/>
                <w:color w:val="auto"/>
                <w:w w:val="95"/>
              </w:rPr>
              <w:t>Three Months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jc w:val="center"/>
              <w:ind w:right="296"/>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620" w:type="dxa"/>
            <w:vAlign w:val="bottom"/>
          </w:tcPr>
          <w:p>
            <w:pPr>
              <w:jc w:val="center"/>
              <w:ind w:left="297"/>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Pr>
          <w:p>
            <w:pPr>
              <w:jc w:val="center"/>
              <w:ind w:right="296"/>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62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91"/>
              </w:rPr>
              <w:t>September 30, 2022</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1"/>
              </w:rPr>
              <w:t>September 30, 2022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16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Fixed</w:t>
            </w:r>
          </w:p>
        </w:tc>
        <w:tc>
          <w:tcPr>
            <w:tcW w:w="1620" w:type="dxa"/>
            <w:vAlign w:val="bottom"/>
          </w:tcPr>
          <w:p>
            <w:pPr>
              <w:jc w:val="right"/>
              <w:ind w:right="143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1,814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6"/>
              <w:spacing w:after="0"/>
              <w:rPr>
                <w:sz w:val="20"/>
                <w:szCs w:val="20"/>
                <w:color w:val="auto"/>
              </w:rPr>
            </w:pPr>
            <w:r>
              <w:rPr>
                <w:rFonts w:ascii="Arial" w:cs="Arial" w:eastAsia="Arial" w:hAnsi="Arial"/>
                <w:sz w:val="18"/>
                <w:szCs w:val="18"/>
                <w:color w:val="auto"/>
              </w:rPr>
              <w:t>5,401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Short-term</w:t>
            </w:r>
          </w:p>
        </w:tc>
        <w:tc>
          <w:tcPr>
            <w:tcW w:w="16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Variable</w:t>
            </w:r>
          </w:p>
        </w:tc>
        <w:tc>
          <w:tcPr>
            <w:tcW w:w="16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Sub-leases</w:t>
            </w:r>
          </w:p>
        </w:tc>
        <w:tc>
          <w:tcPr>
            <w:tcW w:w="16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1620" w:type="dxa"/>
            <w:vAlign w:val="bottom"/>
          </w:tcPr>
          <w:p>
            <w:pPr>
              <w:jc w:val="right"/>
              <w:ind w:right="143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1,863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6"/>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4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Finance lease costs</w:t>
            </w: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Amortization of leased assets</w:t>
            </w:r>
          </w:p>
        </w:tc>
        <w:tc>
          <w:tcPr>
            <w:tcW w:w="1620" w:type="dxa"/>
            <w:vAlign w:val="bottom"/>
            <w:shd w:val="clear" w:color="auto" w:fill="CFF0FC"/>
          </w:tcPr>
          <w:p>
            <w:pPr>
              <w:jc w:val="right"/>
              <w:ind w:right="143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Interest on lease liabilities</w:t>
            </w:r>
          </w:p>
        </w:tc>
        <w:tc>
          <w:tcPr>
            <w:tcW w:w="1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finance lease costs</w:t>
            </w:r>
          </w:p>
        </w:tc>
        <w:tc>
          <w:tcPr>
            <w:tcW w:w="1620" w:type="dxa"/>
            <w:vAlign w:val="bottom"/>
            <w:tcBorders>
              <w:bottom w:val="single" w:sz="8" w:color="auto"/>
            </w:tcBorders>
            <w:shd w:val="clear" w:color="auto" w:fill="CFF0FC"/>
          </w:tcPr>
          <w:p>
            <w:pPr>
              <w:jc w:val="right"/>
              <w:ind w:right="14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40" w:type="dxa"/>
            <w:vAlign w:val="bottom"/>
          </w:tcPr>
          <w:p>
            <w:pPr>
              <w:ind w:left="280"/>
              <w:spacing w:after="0"/>
              <w:rPr>
                <w:sz w:val="20"/>
                <w:szCs w:val="20"/>
                <w:color w:val="auto"/>
              </w:rPr>
            </w:pPr>
            <w:r>
              <w:rPr>
                <w:rFonts w:ascii="Arial" w:cs="Arial" w:eastAsia="Arial" w:hAnsi="Arial"/>
                <w:sz w:val="18"/>
                <w:szCs w:val="18"/>
                <w:color w:val="auto"/>
              </w:rPr>
              <w:t>Total lease cost</w:t>
            </w:r>
          </w:p>
        </w:tc>
        <w:tc>
          <w:tcPr>
            <w:tcW w:w="1620" w:type="dxa"/>
            <w:vAlign w:val="bottom"/>
          </w:tcPr>
          <w:p>
            <w:pPr>
              <w:jc w:val="right"/>
              <w:ind w:right="143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2,049</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6"/>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w w:val="90"/>
              </w:rPr>
              <w:t>Supplemental balance sheet information related to leases is as follows (in thousands):</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2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5640" w:type="dxa"/>
            <w:vAlign w:val="bottom"/>
          </w:tcPr>
          <w:p>
            <w:pPr>
              <w:ind w:left="4260"/>
              <w:spacing w:after="0"/>
              <w:rPr>
                <w:sz w:val="20"/>
                <w:szCs w:val="20"/>
                <w:color w:val="auto"/>
              </w:rPr>
            </w:pPr>
            <w:r>
              <w:rPr>
                <w:rFonts w:ascii="Arial" w:cs="Arial" w:eastAsia="Arial" w:hAnsi="Arial"/>
                <w:sz w:val="14"/>
                <w:szCs w:val="14"/>
                <w:b w:val="1"/>
                <w:bCs w:val="1"/>
                <w:color w:val="auto"/>
              </w:rPr>
              <w:t>Classification</w:t>
            </w: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jc w:val="right"/>
              <w:ind w:right="156"/>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-1464945</wp:posOffset>
            </wp:positionV>
            <wp:extent cx="13716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-616585</wp:posOffset>
            </wp:positionV>
            <wp:extent cx="13716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714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tbl>
      <w:tblPr>
        <w:tblLayout w:type="fixed"/>
        <w:tblInd w:w="580" w:type="dxa"/>
        <w:tblCellMar>
          <w:top w:w="0" w:type="dxa"/>
          <w:left w:w="0" w:type="dxa"/>
          <w:bottom w:w="0" w:type="dxa"/>
          <w:right w:w="0" w:type="dxa"/>
        </w:tblCellMar>
      </w:tblPr>
      <w:tr>
        <w:trPr>
          <w:trHeight w:val="195"/>
        </w:trPr>
        <w:tc>
          <w:tcPr>
            <w:tcW w:w="4240" w:type="dxa"/>
            <w:vAlign w:val="bottom"/>
          </w:tcPr>
          <w:p>
            <w:pPr>
              <w:spacing w:after="0" w:line="195" w:lineRule="exact"/>
              <w:rPr>
                <w:sz w:val="20"/>
                <w:szCs w:val="20"/>
                <w:color w:val="auto"/>
              </w:rPr>
            </w:pPr>
            <w:r>
              <w:rPr>
                <w:rFonts w:ascii="Arial" w:cs="Arial" w:eastAsia="Arial" w:hAnsi="Arial"/>
                <w:sz w:val="18"/>
                <w:szCs w:val="18"/>
                <w:b w:val="1"/>
                <w:bCs w:val="1"/>
                <w:color w:val="auto"/>
              </w:rPr>
              <w:t>Assets</w:t>
            </w:r>
          </w:p>
        </w:tc>
        <w:tc>
          <w:tcPr>
            <w:tcW w:w="4080" w:type="dxa"/>
            <w:vAlign w:val="bottom"/>
            <w:tcBorders>
              <w:top w:val="single" w:sz="8" w:color="auto"/>
            </w:tcBorders>
          </w:tcPr>
          <w:p>
            <w:pPr>
              <w:spacing w:after="0"/>
              <w:rPr>
                <w:sz w:val="16"/>
                <w:szCs w:val="16"/>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leases</w:t>
            </w:r>
          </w:p>
        </w:tc>
        <w:tc>
          <w:tcPr>
            <w:tcW w:w="4080" w:type="dxa"/>
            <w:vAlign w:val="bottom"/>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Right of use operating lease assets</w:t>
            </w:r>
          </w:p>
        </w:tc>
        <w:tc>
          <w:tcPr>
            <w:tcW w:w="4080" w:type="dxa"/>
            <w:vAlign w:val="bottom"/>
          </w:tcPr>
          <w:p>
            <w:pPr>
              <w:ind w:left="20"/>
              <w:spacing w:after="0"/>
              <w:rPr>
                <w:sz w:val="20"/>
                <w:szCs w:val="20"/>
                <w:color w:val="auto"/>
              </w:rPr>
            </w:pPr>
            <w:r>
              <w:rPr>
                <w:rFonts w:ascii="Arial" w:cs="Arial" w:eastAsia="Arial" w:hAnsi="Arial"/>
                <w:sz w:val="18"/>
                <w:szCs w:val="18"/>
                <w:color w:val="auto"/>
              </w:rPr>
              <w:t>Other assets</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Finance leases</w:t>
            </w:r>
          </w:p>
        </w:tc>
        <w:tc>
          <w:tcPr>
            <w:tcW w:w="4080" w:type="dxa"/>
            <w:vAlign w:val="bottom"/>
          </w:tcPr>
          <w:p>
            <w:pPr>
              <w:spacing w:after="0"/>
              <w:rPr>
                <w:sz w:val="18"/>
                <w:szCs w:val="18"/>
                <w:color w:val="auto"/>
              </w:rPr>
            </w:pPr>
          </w:p>
        </w:tc>
      </w:tr>
      <w:tr>
        <w:trPr>
          <w:trHeight w:val="229"/>
        </w:trPr>
        <w:tc>
          <w:tcPr>
            <w:tcW w:w="4240" w:type="dxa"/>
            <w:vAlign w:val="bottom"/>
          </w:tcPr>
          <w:p>
            <w:pPr>
              <w:ind w:left="100"/>
              <w:spacing w:after="0"/>
              <w:rPr>
                <w:sz w:val="20"/>
                <w:szCs w:val="20"/>
                <w:color w:val="auto"/>
              </w:rPr>
            </w:pPr>
            <w:r>
              <w:rPr>
                <w:rFonts w:ascii="Arial" w:cs="Arial" w:eastAsia="Arial" w:hAnsi="Arial"/>
                <w:sz w:val="18"/>
                <w:szCs w:val="18"/>
                <w:color w:val="auto"/>
              </w:rPr>
              <w:t>Property and equipment, gross</w:t>
            </w:r>
          </w:p>
        </w:tc>
        <w:tc>
          <w:tcPr>
            <w:tcW w:w="4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Accumulated depreciation</w:t>
            </w:r>
          </w:p>
        </w:tc>
        <w:tc>
          <w:tcPr>
            <w:tcW w:w="4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40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lease assets</w:t>
            </w:r>
          </w:p>
        </w:tc>
        <w:tc>
          <w:tcPr>
            <w:tcW w:w="4080" w:type="dxa"/>
            <w:vAlign w:val="bottom"/>
          </w:tcPr>
          <w:p>
            <w:pPr>
              <w:spacing w:after="0"/>
              <w:rPr>
                <w:sz w:val="22"/>
                <w:szCs w:val="22"/>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080" w:type="dxa"/>
            <w:vAlign w:val="bottom"/>
          </w:tcPr>
          <w:p>
            <w:pPr>
              <w:spacing w:after="0"/>
              <w:rPr>
                <w:sz w:val="24"/>
                <w:szCs w:val="24"/>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leases</w:t>
            </w:r>
          </w:p>
        </w:tc>
        <w:tc>
          <w:tcPr>
            <w:tcW w:w="4080" w:type="dxa"/>
            <w:vAlign w:val="bottom"/>
          </w:tcPr>
          <w:p>
            <w:pPr>
              <w:spacing w:after="0"/>
              <w:rPr>
                <w:sz w:val="18"/>
                <w:szCs w:val="18"/>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Other current</w:t>
            </w:r>
          </w:p>
        </w:tc>
        <w:tc>
          <w:tcPr>
            <w:tcW w:w="408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liability</w:t>
            </w: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Non-current</w:t>
            </w:r>
          </w:p>
        </w:tc>
        <w:tc>
          <w:tcPr>
            <w:tcW w:w="4080" w:type="dxa"/>
            <w:vAlign w:val="bottom"/>
          </w:tcPr>
          <w:p>
            <w:pPr>
              <w:ind w:left="20"/>
              <w:spacing w:after="0"/>
              <w:rPr>
                <w:sz w:val="20"/>
                <w:szCs w:val="20"/>
                <w:color w:val="auto"/>
              </w:rPr>
            </w:pPr>
            <w:r>
              <w:rPr>
                <w:rFonts w:ascii="Arial" w:cs="Arial" w:eastAsia="Arial" w:hAnsi="Arial"/>
                <w:sz w:val="18"/>
                <w:szCs w:val="18"/>
                <w:color w:val="auto"/>
              </w:rPr>
              <w:t>Operating lease liability, less current portion</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Total operating liabilities</w:t>
            </w:r>
          </w:p>
        </w:tc>
        <w:tc>
          <w:tcPr>
            <w:tcW w:w="408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Finance leases</w:t>
            </w:r>
          </w:p>
        </w:tc>
        <w:tc>
          <w:tcPr>
            <w:tcW w:w="4080" w:type="dxa"/>
            <w:vAlign w:val="bottom"/>
          </w:tcPr>
          <w:p>
            <w:pPr>
              <w:spacing w:after="0"/>
              <w:rPr>
                <w:sz w:val="18"/>
                <w:szCs w:val="18"/>
                <w:color w:val="auto"/>
              </w:rPr>
            </w:pPr>
          </w:p>
        </w:tc>
      </w:tr>
      <w:tr>
        <w:trPr>
          <w:trHeight w:val="228"/>
        </w:trPr>
        <w:tc>
          <w:tcPr>
            <w:tcW w:w="4240" w:type="dxa"/>
            <w:vAlign w:val="bottom"/>
          </w:tcPr>
          <w:p>
            <w:pPr>
              <w:ind w:left="100"/>
              <w:spacing w:after="0"/>
              <w:rPr>
                <w:sz w:val="20"/>
                <w:szCs w:val="20"/>
                <w:color w:val="auto"/>
              </w:rPr>
            </w:pPr>
            <w:r>
              <w:rPr>
                <w:rFonts w:ascii="Arial" w:cs="Arial" w:eastAsia="Arial" w:hAnsi="Arial"/>
                <w:sz w:val="18"/>
                <w:szCs w:val="18"/>
                <w:color w:val="auto"/>
              </w:rPr>
              <w:t>Other current</w:t>
            </w:r>
          </w:p>
        </w:tc>
        <w:tc>
          <w:tcPr>
            <w:tcW w:w="4080" w:type="dxa"/>
            <w:vAlign w:val="bottom"/>
          </w:tcPr>
          <w:p>
            <w:pPr>
              <w:ind w:left="20"/>
              <w:spacing w:after="0"/>
              <w:rPr>
                <w:sz w:val="20"/>
                <w:szCs w:val="20"/>
                <w:color w:val="auto"/>
              </w:rPr>
            </w:pPr>
            <w:r>
              <w:rPr>
                <w:rFonts w:ascii="Arial" w:cs="Arial" w:eastAsia="Arial" w:hAnsi="Arial"/>
                <w:sz w:val="18"/>
                <w:szCs w:val="18"/>
                <w:color w:val="auto"/>
              </w:rPr>
              <w:t>Accrued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-1978660</wp:posOffset>
            </wp:positionV>
            <wp:extent cx="641223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-1703705</wp:posOffset>
            </wp:positionV>
            <wp:extent cx="641223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-1421130</wp:posOffset>
            </wp:positionV>
            <wp:extent cx="641223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-1112520</wp:posOffset>
            </wp:positionV>
            <wp:extent cx="641223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-838200</wp:posOffset>
            </wp:positionV>
            <wp:extent cx="641223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-563880</wp:posOffset>
            </wp:positionV>
            <wp:extent cx="641223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-272415</wp:posOffset>
            </wp:positionV>
            <wp:extent cx="641223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987" w:hanging="987"/>
        <w:spacing w:after="0"/>
        <w:tabs>
          <w:tab w:leader="none" w:pos="987" w:val="left"/>
        </w:tabs>
        <w:numPr>
          <w:ilvl w:val="0"/>
          <w:numId w:val="7"/>
        </w:numPr>
        <w:rPr>
          <w:rFonts w:ascii="Arial" w:cs="Arial" w:eastAsia="Arial" w:hAnsi="Arial"/>
          <w:sz w:val="18"/>
          <w:szCs w:val="18"/>
          <w:color w:val="auto"/>
        </w:rPr>
      </w:pPr>
      <w:r>
        <w:rPr>
          <w:rFonts w:ascii="Arial" w:cs="Arial" w:eastAsia="Arial" w:hAnsi="Arial"/>
          <w:sz w:val="18"/>
          <w:szCs w:val="18"/>
          <w:color w:val="auto"/>
        </w:rPr>
        <w:t>14,058</w:t>
      </w:r>
    </w:p>
    <w:p>
      <w:pPr>
        <w:spacing w:after="0" w:line="225" w:lineRule="exact"/>
        <w:rPr>
          <w:sz w:val="20"/>
          <w:szCs w:val="20"/>
          <w:color w:val="auto"/>
        </w:rPr>
      </w:pPr>
    </w:p>
    <w:p>
      <w:pPr>
        <w:ind w:left="1067"/>
        <w:spacing w:after="0"/>
        <w:rPr>
          <w:sz w:val="20"/>
          <w:szCs w:val="20"/>
          <w:color w:val="auto"/>
        </w:rPr>
      </w:pPr>
      <w:r>
        <w:rPr>
          <w:rFonts w:ascii="Arial" w:cs="Arial" w:eastAsia="Arial" w:hAnsi="Arial"/>
          <w:sz w:val="18"/>
          <w:szCs w:val="18"/>
          <w:color w:val="auto"/>
        </w:rPr>
        <w:t>5,095</w:t>
      </w:r>
    </w:p>
    <w:p>
      <w:pPr>
        <w:spacing w:after="0" w:line="23" w:lineRule="exact"/>
        <w:rPr>
          <w:sz w:val="20"/>
          <w:szCs w:val="20"/>
          <w:color w:val="auto"/>
        </w:rPr>
      </w:pPr>
    </w:p>
    <w:p>
      <w:pPr>
        <w:ind w:left="1007"/>
        <w:spacing w:after="0"/>
        <w:rPr>
          <w:sz w:val="20"/>
          <w:szCs w:val="20"/>
          <w:color w:val="auto"/>
        </w:rPr>
      </w:pPr>
      <w:r>
        <w:rPr>
          <w:rFonts w:ascii="Arial" w:cs="Arial" w:eastAsia="Arial" w:hAnsi="Arial"/>
          <w:sz w:val="16"/>
          <w:szCs w:val="16"/>
          <w:color w:val="auto"/>
        </w:rPr>
        <w:t>(4,885 )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wp:posOffset>
            </wp:positionV>
            <wp:extent cx="10115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 w:lineRule="exact"/>
        <w:rPr>
          <w:sz w:val="20"/>
          <w:szCs w:val="20"/>
          <w:color w:val="auto"/>
        </w:rPr>
      </w:pPr>
    </w:p>
    <w:p>
      <w:pPr>
        <w:ind w:left="1207"/>
        <w:spacing w:after="0"/>
        <w:rPr>
          <w:sz w:val="20"/>
          <w:szCs w:val="20"/>
          <w:color w:val="auto"/>
        </w:rPr>
      </w:pPr>
      <w:r>
        <w:rPr>
          <w:rFonts w:ascii="Arial" w:cs="Arial" w:eastAsia="Arial" w:hAnsi="Arial"/>
          <w:sz w:val="18"/>
          <w:szCs w:val="18"/>
          <w:color w:val="auto"/>
        </w:rPr>
        <w:t>210</w:t>
      </w:r>
    </w:p>
    <w:p>
      <w:pPr>
        <w:spacing w:after="0" w:line="23" w:lineRule="exact"/>
        <w:rPr>
          <w:sz w:val="20"/>
          <w:szCs w:val="20"/>
          <w:color w:val="auto"/>
        </w:rPr>
      </w:pPr>
    </w:p>
    <w:p>
      <w:pPr>
        <w:ind w:left="987" w:hanging="987"/>
        <w:spacing w:after="0"/>
        <w:tabs>
          <w:tab w:leader="none" w:pos="987" w:val="left"/>
        </w:tabs>
        <w:numPr>
          <w:ilvl w:val="0"/>
          <w:numId w:val="8"/>
        </w:numPr>
        <w:rPr>
          <w:rFonts w:ascii="Arial" w:cs="Arial" w:eastAsia="Arial" w:hAnsi="Arial"/>
          <w:sz w:val="18"/>
          <w:szCs w:val="18"/>
          <w:color w:val="auto"/>
        </w:rPr>
      </w:pPr>
      <w:r>
        <w:rPr>
          <w:rFonts w:ascii="Arial" w:cs="Arial" w:eastAsia="Arial" w:hAnsi="Arial"/>
          <w:sz w:val="18"/>
          <w:szCs w:val="18"/>
          <w:color w:val="auto"/>
        </w:rPr>
        <w:t>14,268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0115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31750</wp:posOffset>
            </wp:positionV>
            <wp:extent cx="10115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67" w:hanging="1067"/>
        <w:spacing w:after="0"/>
        <w:tabs>
          <w:tab w:leader="none" w:pos="1067" w:val="left"/>
        </w:tabs>
        <w:numPr>
          <w:ilvl w:val="0"/>
          <w:numId w:val="9"/>
        </w:numPr>
        <w:rPr>
          <w:rFonts w:ascii="Arial" w:cs="Arial" w:eastAsia="Arial" w:hAnsi="Arial"/>
          <w:sz w:val="18"/>
          <w:szCs w:val="18"/>
          <w:color w:val="auto"/>
        </w:rPr>
      </w:pPr>
      <w:r>
        <w:rPr>
          <w:rFonts w:ascii="Arial" w:cs="Arial" w:eastAsia="Arial" w:hAnsi="Arial"/>
          <w:sz w:val="18"/>
          <w:szCs w:val="18"/>
          <w:color w:val="auto"/>
        </w:rPr>
        <w:t>5,500</w:t>
      </w:r>
    </w:p>
    <w:p>
      <w:pPr>
        <w:spacing w:after="0" w:line="23" w:lineRule="exact"/>
        <w:rPr>
          <w:rFonts w:ascii="Arial" w:cs="Arial" w:eastAsia="Arial" w:hAnsi="Arial"/>
          <w:sz w:val="18"/>
          <w:szCs w:val="18"/>
          <w:color w:val="auto"/>
        </w:rPr>
      </w:pPr>
    </w:p>
    <w:p>
      <w:pPr>
        <w:ind w:left="1067"/>
        <w:spacing w:after="0"/>
        <w:rPr>
          <w:rFonts w:ascii="Arial" w:cs="Arial" w:eastAsia="Arial" w:hAnsi="Arial"/>
          <w:sz w:val="18"/>
          <w:szCs w:val="18"/>
          <w:color w:val="auto"/>
        </w:rPr>
      </w:pPr>
      <w:r>
        <w:rPr>
          <w:rFonts w:ascii="Arial" w:cs="Arial" w:eastAsia="Arial" w:hAnsi="Arial"/>
          <w:sz w:val="18"/>
          <w:szCs w:val="18"/>
          <w:color w:val="auto"/>
        </w:rPr>
        <w:t>9,947</w:t>
      </w:r>
    </w:p>
    <w:p>
      <w:pPr>
        <w:spacing w:after="0" w:line="9" w:lineRule="exact"/>
        <w:rPr>
          <w:sz w:val="20"/>
          <w:szCs w:val="20"/>
          <w:color w:val="auto"/>
        </w:rPr>
      </w:pPr>
    </w:p>
    <w:p>
      <w:pPr>
        <w:ind w:left="987"/>
        <w:spacing w:after="0"/>
        <w:rPr>
          <w:sz w:val="20"/>
          <w:szCs w:val="20"/>
          <w:color w:val="auto"/>
        </w:rPr>
      </w:pPr>
      <w:r>
        <w:rPr>
          <w:rFonts w:ascii="Arial" w:cs="Arial" w:eastAsia="Arial" w:hAnsi="Arial"/>
          <w:sz w:val="18"/>
          <w:szCs w:val="18"/>
          <w:color w:val="auto"/>
        </w:rPr>
        <w:t>15,447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10115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18" w:lineRule="exact"/>
        <w:rPr>
          <w:sz w:val="20"/>
          <w:szCs w:val="20"/>
          <w:color w:val="auto"/>
        </w:rPr>
      </w:pPr>
    </w:p>
    <w:p>
      <w:pPr>
        <w:ind w:left="1207"/>
        <w:spacing w:after="0"/>
        <w:rPr>
          <w:sz w:val="20"/>
          <w:szCs w:val="20"/>
          <w:color w:val="auto"/>
        </w:rPr>
      </w:pPr>
      <w:r>
        <w:rPr>
          <w:rFonts w:ascii="Arial" w:cs="Arial" w:eastAsia="Arial" w:hAnsi="Arial"/>
          <w:sz w:val="18"/>
          <w:szCs w:val="18"/>
          <w:color w:val="auto"/>
        </w:rPr>
        <w:t>308</w:t>
      </w:r>
    </w:p>
    <w:p>
      <w:pPr>
        <w:spacing w:after="0" w:line="32" w:lineRule="exact"/>
        <w:rPr>
          <w:sz w:val="20"/>
          <w:szCs w:val="20"/>
          <w:color w:val="auto"/>
        </w:rPr>
      </w:pPr>
    </w:p>
    <w:p>
      <w:pPr>
        <w:sectPr>
          <w:pgSz w:w="11900" w:h="16838" w:orient="portrait"/>
          <w:cols w:equalWidth="0" w:num="2">
            <w:col w:w="8900" w:space="193"/>
            <w:col w:w="2147"/>
          </w:cols>
          <w:pgMar w:left="320" w:top="49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9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Non-current</w:t>
            </w:r>
          </w:p>
        </w:tc>
        <w:tc>
          <w:tcPr>
            <w:tcW w:w="19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rPr>
              <w:t>Total finance liabilities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Total lease liabilities</w:t>
            </w:r>
          </w:p>
        </w:tc>
        <w:tc>
          <w:tcPr>
            <w:tcW w:w="1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15,762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Maturities of lease liabilities are as follows (in thousands):</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0"/>
              </w:rPr>
              <w:t>Finance Leases</w:t>
            </w:r>
          </w:p>
        </w:tc>
        <w:tc>
          <w:tcPr>
            <w:tcW w:w="140" w:type="dxa"/>
            <w:vAlign w:val="bottom"/>
          </w:tcPr>
          <w:p>
            <w:pPr>
              <w:spacing w:after="0"/>
              <w:rPr>
                <w:sz w:val="24"/>
                <w:szCs w:val="24"/>
                <w:color w:val="auto"/>
              </w:rPr>
            </w:pPr>
          </w:p>
        </w:tc>
        <w:tc>
          <w:tcPr>
            <w:tcW w:w="1320" w:type="dxa"/>
            <w:vAlign w:val="bottom"/>
            <w:gridSpan w:val="3"/>
            <w:vMerge w:val="restart"/>
          </w:tcPr>
          <w:p>
            <w:pPr>
              <w:jc w:val="right"/>
              <w:ind w:right="90"/>
              <w:spacing w:after="0"/>
              <w:rPr>
                <w:sz w:val="20"/>
                <w:szCs w:val="20"/>
                <w:color w:val="auto"/>
              </w:rPr>
            </w:pPr>
            <w:r>
              <w:rPr>
                <w:rFonts w:ascii="Arial" w:cs="Arial" w:eastAsia="Arial" w:hAnsi="Arial"/>
                <w:sz w:val="14"/>
                <w:szCs w:val="14"/>
                <w:b w:val="1"/>
                <w:bCs w:val="1"/>
                <w:color w:val="auto"/>
                <w:w w:val="95"/>
              </w:rPr>
              <w:t>Operating Leases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2022 (excluding the nine months ended September 30, 2022)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2023</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6,041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6,147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5,264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2025</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2,032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24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minimum lease payments</w:t>
            </w:r>
          </w:p>
        </w:tc>
        <w:tc>
          <w:tcPr>
            <w:tcW w:w="1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320</w:t>
            </w:r>
          </w:p>
        </w:tc>
        <w:tc>
          <w:tcPr>
            <w:tcW w:w="540" w:type="dxa"/>
            <w:vAlign w:val="bottom"/>
            <w:tcBorders>
              <w:bottom w:val="single" w:sz="8" w:color="CFF0FC"/>
            </w:tcBorders>
            <w:gridSpan w:val="2"/>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17,138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17,458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9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Less: Imputed interest</w:t>
            </w:r>
          </w:p>
        </w:tc>
        <w:tc>
          <w:tcPr>
            <w:tcW w:w="1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(5 )</w:t>
            </w: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(1,270 )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Present value of minimum lease payments</w:t>
            </w:r>
          </w:p>
        </w:tc>
        <w:tc>
          <w:tcPr>
            <w:tcW w:w="1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315</w:t>
            </w: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15,868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jc w:val="right"/>
              <w:ind w:right="6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-367665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-351155</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22" w:name="page23"/>
    <w:bookmarkEnd w:id="22"/>
    <w:p>
      <w:pPr>
        <w:ind w:right="360"/>
        <w:spacing w:after="0" w:line="277" w:lineRule="auto"/>
        <w:rPr>
          <w:sz w:val="20"/>
          <w:szCs w:val="20"/>
          <w:color w:val="auto"/>
        </w:rPr>
      </w:pPr>
      <w:r>
        <w:rPr>
          <w:rFonts w:ascii="Arial" w:cs="Arial" w:eastAsia="Arial" w:hAnsi="Arial"/>
          <w:sz w:val="18"/>
          <w:szCs w:val="18"/>
          <w:color w:val="auto"/>
        </w:rPr>
        <w:t>For additional information regarding the Company’s Commitments and Contingencies as of December 31, 2021 as disclosed for capital and operating leases, see Note 12 in its 2021 Annual Report filed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Lease term and discount rates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2022</w:t>
            </w:r>
          </w:p>
        </w:tc>
      </w:tr>
      <w:tr>
        <w:trPr>
          <w:trHeight w:val="210"/>
        </w:trPr>
        <w:tc>
          <w:tcPr>
            <w:tcW w:w="580" w:type="dxa"/>
            <w:vAlign w:val="bottom"/>
          </w:tcPr>
          <w:p>
            <w:pPr>
              <w:spacing w:after="0"/>
              <w:rPr>
                <w:sz w:val="18"/>
                <w:szCs w:val="18"/>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3.0 Years</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0.6 Years</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discount rate</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leases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4.84 %</w:t>
            </w:r>
          </w:p>
        </w:tc>
      </w:tr>
      <w:tr>
        <w:trPr>
          <w:trHeight w:val="216"/>
        </w:trPr>
        <w:tc>
          <w:tcPr>
            <w:tcW w:w="58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5.41 %</w:t>
            </w:r>
          </w:p>
        </w:tc>
      </w:tr>
      <w:tr>
        <w:trPr>
          <w:trHeight w:val="378"/>
        </w:trPr>
        <w:tc>
          <w:tcPr>
            <w:tcW w:w="89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1"/>
        </w:trPr>
        <w:tc>
          <w:tcPr>
            <w:tcW w:w="58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Nine Months</w:t>
            </w:r>
          </w:p>
        </w:tc>
      </w:tr>
      <w:tr>
        <w:trPr>
          <w:trHeight w:val="148"/>
        </w:trPr>
        <w:tc>
          <w:tcPr>
            <w:tcW w:w="58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92"/>
        </w:trPr>
        <w:tc>
          <w:tcPr>
            <w:tcW w:w="58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2022</w:t>
            </w:r>
          </w:p>
        </w:tc>
      </w:tr>
      <w:tr>
        <w:trPr>
          <w:trHeight w:val="216"/>
        </w:trPr>
        <w:tc>
          <w:tcPr>
            <w:tcW w:w="580" w:type="dxa"/>
            <w:vAlign w:val="bottom"/>
          </w:tcPr>
          <w:p>
            <w:pPr>
              <w:spacing w:after="0"/>
              <w:rPr>
                <w:sz w:val="18"/>
                <w:szCs w:val="18"/>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5,886</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cash flows from finance leases</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Financing cash flows from finance leases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19,972</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Finance leases</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166"/>
        </w:trPr>
        <w:tc>
          <w:tcPr>
            <w:tcW w:w="580" w:type="dxa"/>
            <w:vAlign w:val="bottom"/>
          </w:tcPr>
          <w:p>
            <w:pPr>
              <w:spacing w:after="0"/>
              <w:rPr>
                <w:sz w:val="14"/>
                <w:szCs w:val="14"/>
                <w:color w:val="auto"/>
              </w:rPr>
            </w:pPr>
          </w:p>
        </w:tc>
        <w:tc>
          <w:tcPr>
            <w:tcW w:w="8380" w:type="dxa"/>
            <w:vAlign w:val="bottom"/>
          </w:tcPr>
          <w:p>
            <w:pPr>
              <w:spacing w:after="0" w:line="166" w:lineRule="exact"/>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6"/>
        </w:trPr>
        <w:tc>
          <w:tcPr>
            <w:tcW w:w="580" w:type="dxa"/>
            <w:vAlign w:val="bottom"/>
          </w:tcPr>
          <w:p>
            <w:pPr>
              <w:spacing w:after="0"/>
              <w:rPr>
                <w:sz w:val="23"/>
                <w:szCs w:val="23"/>
                <w:color w:val="auto"/>
              </w:rPr>
            </w:pPr>
          </w:p>
        </w:tc>
        <w:tc>
          <w:tcPr>
            <w:tcW w:w="8380" w:type="dxa"/>
            <w:vAlign w:val="bottom"/>
          </w:tcPr>
          <w:p>
            <w:pPr>
              <w:ind w:left="100"/>
              <w:spacing w:after="0" w:line="266" w:lineRule="exact"/>
              <w:rPr>
                <w:sz w:val="20"/>
                <w:szCs w:val="20"/>
                <w:color w:val="auto"/>
              </w:rPr>
            </w:pPr>
            <w:r>
              <w:rPr>
                <w:rFonts w:ascii="Arial" w:cs="Arial" w:eastAsia="Arial" w:hAnsi="Arial"/>
                <w:sz w:val="18"/>
                <w:szCs w:val="18"/>
                <w:color w:val="auto"/>
              </w:rPr>
              <w:t xml:space="preserve">Amortization of right-of-use operating lease assets </w:t>
            </w:r>
            <w:r>
              <w:rPr>
                <w:rFonts w:ascii="Arial" w:cs="Arial" w:eastAsia="Arial" w:hAnsi="Arial"/>
                <w:sz w:val="24"/>
                <w:szCs w:val="24"/>
                <w:color w:val="auto"/>
                <w:vertAlign w:val="superscript"/>
              </w:rPr>
              <w:t>(1)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4,817</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-2030730</wp:posOffset>
            </wp:positionV>
            <wp:extent cx="641223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72"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Amortization of right of use operating lease assets during the period is reflected in operating lease liabilities on the condensed consolidated statements of cash flows.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material related party transactions.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Net Income Per Share</w:t>
      </w:r>
    </w:p>
    <w:p>
      <w:pPr>
        <w:spacing w:after="0" w:line="16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Basic and diluted net income per share was calculated as follows: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0.29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income (in thousands)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17,209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16,285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44,458</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7"/>
              </w:rPr>
              <w:t>Weighted average number of shares outstanding - basic</w:t>
            </w:r>
          </w:p>
        </w:tc>
        <w:tc>
          <w:tcPr>
            <w:tcW w:w="2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w w:val="97"/>
              </w:rPr>
              <w:t>150,930,340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w w:val="99"/>
              </w:rPr>
              <w:t>149,943,998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w w:val="95"/>
              </w:rPr>
              <w:t>150,740,518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w w:val="99"/>
              </w:rPr>
              <w:t>137,232,289</w:t>
            </w:r>
          </w:p>
        </w:tc>
        <w:tc>
          <w:tcPr>
            <w:tcW w:w="0" w:type="dxa"/>
            <w:vAlign w:val="bottom"/>
          </w:tcPr>
          <w:p>
            <w:pPr>
              <w:spacing w:after="0"/>
              <w:rPr>
                <w:sz w:val="1"/>
                <w:szCs w:val="1"/>
                <w:color w:val="auto"/>
              </w:rPr>
            </w:pPr>
          </w:p>
        </w:tc>
      </w:tr>
      <w:tr>
        <w:trPr>
          <w:trHeight w:val="175"/>
        </w:trPr>
        <w:tc>
          <w:tcPr>
            <w:tcW w:w="436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w w:val="94"/>
              </w:rPr>
              <w:t>Add stock options to purchase shares and restricted stock</w:t>
            </w: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1,426,967</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2,456,421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1,634,694</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938,199</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units</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8"/>
                <w:szCs w:val="18"/>
                <w:color w:val="auto"/>
                <w:w w:val="94"/>
              </w:rPr>
              <w:t>Weighted average number of shares outstanding - diluted</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97"/>
              </w:rPr>
              <w:t>152,357,307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152,400,419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5"/>
              </w:rPr>
              <w:t>152,375,212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138,170,488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-170815</wp:posOffset>
            </wp:positionV>
            <wp:extent cx="11112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03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10287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and nine months ended September 30, 2022, 2,918,315 and 2,614,866 stock options were excluded from the calculation of diluted net income per share, respectively, because their effects were anti-dilutive.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0"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16. Reportable Segments</w:t>
      </w:r>
    </w:p>
    <w:p>
      <w:pPr>
        <w:spacing w:after="0" w:line="17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During the first quarter of 2022, the Company made organizational changes and modified additional information provided to its CODM to better align with how its CODM assesses performance and allocates resources. As a result, we have two reportable segments, Americas and International. Our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board of directors and executive management team also use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0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The segment financial information below aligns with how we report information to our CODM to assess operating performance and how the Company manages the business. Corporate </w:t>
      </w:r>
      <w:r>
        <w:rPr>
          <w:rFonts w:ascii="Arial" w:cs="Arial" w:eastAsia="Arial" w:hAnsi="Arial"/>
          <w:sz w:val="16"/>
          <w:szCs w:val="16"/>
          <w:color w:val="auto"/>
        </w:rPr>
        <w:t>costs are generally allocated to the segments based upon estimated revenues levels and other assumptions that management</w:t>
      </w:r>
      <w:r>
        <w:rPr>
          <w:rFonts w:ascii="Arial" w:cs="Arial" w:eastAsia="Arial" w:hAnsi="Arial"/>
          <w:sz w:val="17"/>
          <w:szCs w:val="17"/>
          <w:color w:val="auto"/>
        </w:rPr>
        <w:t xml:space="preserve"> </w:t>
      </w:r>
      <w:r>
        <w:rPr>
          <w:rFonts w:ascii="Arial" w:cs="Arial" w:eastAsia="Arial" w:hAnsi="Arial"/>
          <w:sz w:val="16"/>
          <w:szCs w:val="16"/>
          <w:color w:val="auto"/>
        </w:rPr>
        <w:t>considers reasonable. The CODM does not review the Company’s assets by segment; therefore, such information is not presented. The accounting policies of the segments are the same as described in Note 2, “Significant Accounting and Reporting Policies” and Note 9, “Revenues.”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two reportable segments:</w:t>
      </w:r>
    </w:p>
    <w:p>
      <w:pPr>
        <w:spacing w:after="0" w:line="171" w:lineRule="exact"/>
        <w:rPr>
          <w:sz w:val="20"/>
          <w:szCs w:val="20"/>
          <w:color w:val="auto"/>
        </w:rPr>
      </w:pPr>
    </w:p>
    <w:p>
      <w:pPr>
        <w:ind w:left="520" w:right="300"/>
        <w:spacing w:after="0" w:line="290" w:lineRule="auto"/>
        <w:rPr>
          <w:sz w:val="20"/>
          <w:szCs w:val="20"/>
          <w:color w:val="auto"/>
        </w:rPr>
      </w:pPr>
      <w:r>
        <w:rPr>
          <w:rFonts w:ascii="Arial" w:cs="Arial" w:eastAsia="Arial" w:hAnsi="Arial"/>
          <w:sz w:val="16"/>
          <w:szCs w:val="16"/>
          <w:b w:val="1"/>
          <w:bCs w:val="1"/>
          <w:i w:val="1"/>
          <w:iCs w:val="1"/>
          <w:color w:val="auto"/>
        </w:rPr>
        <w:t xml:space="preserve">Americas. </w:t>
      </w:r>
      <w:r>
        <w:rPr>
          <w:rFonts w:ascii="Arial" w:cs="Arial" w:eastAsia="Arial" w:hAnsi="Arial"/>
          <w:sz w:val="16"/>
          <w:szCs w:val="16"/>
          <w:color w:val="auto"/>
        </w:rPr>
        <w:t>This segment performs a variety of background check and compliance services across all phases of the workforce lifecycle from pre-onboarding services to post-onboarding and ongoing monitoring services, covering employees, contractors, contingent and extended workers, drivers, tenants, and volunteers. We generally classify our service offerings into three categories: pre-onboarding, post-onboarding, and adjacent products. We deliver our solutions across multiple vertical industries in the United States, Canada, and Latin America markets.</w:t>
      </w:r>
    </w:p>
    <w:p>
      <w:pPr>
        <w:spacing w:after="0" w:line="42" w:lineRule="exact"/>
        <w:rPr>
          <w:sz w:val="20"/>
          <w:szCs w:val="20"/>
          <w:color w:val="auto"/>
        </w:rPr>
      </w:pPr>
    </w:p>
    <w:p>
      <w:pPr>
        <w:ind w:left="520" w:right="480"/>
        <w:spacing w:after="0" w:line="261"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30"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 reconciliation of Segment Adjusted EBITDA to net income for the three and nine months ended September 30, 2022 and 2021 is as follows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0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Americas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57,205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53,223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156,978</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136,278</w:t>
            </w:r>
          </w:p>
        </w:tc>
      </w:tr>
      <w:tr>
        <w:trPr>
          <w:trHeight w:val="216"/>
        </w:trPr>
        <w:tc>
          <w:tcPr>
            <w:tcW w:w="44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21,644</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20,578</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64,188</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63,944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178,622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156,856</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to net income:</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21,875</w:t>
            </w:r>
          </w:p>
        </w:tc>
      </w:tr>
      <w:tr>
        <w:trPr>
          <w:trHeight w:val="216"/>
        </w:trPr>
        <w:tc>
          <w:tcPr>
            <w:tcW w:w="4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6,709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17,076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2,025</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34,744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106,493</w:t>
            </w:r>
          </w:p>
        </w:tc>
      </w:tr>
      <w:tr>
        <w:trPr>
          <w:trHeight w:val="216"/>
        </w:trPr>
        <w:tc>
          <w:tcPr>
            <w:tcW w:w="4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13,938</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4,569</w:t>
            </w:r>
          </w:p>
        </w:tc>
      </w:tr>
      <w:tr>
        <w:trPr>
          <w:trHeight w:val="216"/>
        </w:trPr>
        <w:tc>
          <w:tcPr>
            <w:tcW w:w="4460" w:type="dxa"/>
            <w:vAlign w:val="bottom"/>
            <w:shd w:val="clear" w:color="auto" w:fill="CFF0FC"/>
          </w:tcPr>
          <w:p>
            <w:pPr>
              <w:ind w:left="100"/>
              <w:spacing w:after="0" w:line="216" w:lineRule="exact"/>
              <w:rPr>
                <w:sz w:val="20"/>
                <w:szCs w:val="20"/>
                <w:color w:val="auto"/>
              </w:rPr>
            </w:pPr>
            <w:r>
              <w:rPr>
                <w:rFonts w:ascii="Arial" w:cs="Arial" w:eastAsia="Arial" w:hAnsi="Arial"/>
                <w:sz w:val="18"/>
                <w:szCs w:val="18"/>
                <w:color w:val="auto"/>
              </w:rPr>
              <w:t xml:space="preserve">Transaction and acquisition-related charges </w:t>
            </w:r>
            <w:r>
              <w:rPr>
                <w:rFonts w:ascii="Arial" w:cs="Arial" w:eastAsia="Arial" w:hAnsi="Arial"/>
                <w:sz w:val="24"/>
                <w:szCs w:val="24"/>
                <w:color w:val="auto"/>
                <w:vertAlign w:val="superscript"/>
              </w:rPr>
              <w:t>(a)</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4,585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6,510</w:t>
            </w:r>
          </w:p>
        </w:tc>
      </w:tr>
      <w:tr>
        <w:trPr>
          <w:trHeight w:val="216"/>
        </w:trPr>
        <w:tc>
          <w:tcPr>
            <w:tcW w:w="446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Integration, restructuring, and other charges </w:t>
            </w:r>
            <w:r>
              <w:rPr>
                <w:rFonts w:ascii="Arial" w:cs="Arial" w:eastAsia="Arial" w:hAnsi="Arial"/>
                <w:sz w:val="24"/>
                <w:szCs w:val="24"/>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780</w:t>
            </w:r>
          </w:p>
        </w:tc>
      </w:tr>
      <w:tr>
        <w:trPr>
          <w:trHeight w:val="249"/>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17,209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auto"/>
              </w:rPr>
              <w:t>16,285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b w:val="1"/>
                <w:bCs w:val="1"/>
                <w:color w:val="auto"/>
              </w:rPr>
              <w:t>44,458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-1414145</wp:posOffset>
            </wp:positionV>
            <wp:extent cx="6858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-1414145</wp:posOffset>
            </wp:positionV>
            <wp:extent cx="5969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-1414145</wp:posOffset>
            </wp:positionV>
            <wp:extent cx="5969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9" w:lineRule="exact"/>
        <w:rPr>
          <w:sz w:val="20"/>
          <w:szCs w:val="20"/>
          <w:color w:val="auto"/>
        </w:rPr>
      </w:pPr>
    </w:p>
    <w:p>
      <w:pPr>
        <w:jc w:val="both"/>
        <w:ind w:left="1540" w:right="60" w:hanging="514"/>
        <w:spacing w:after="0" w:line="273" w:lineRule="auto"/>
        <w:tabs>
          <w:tab w:leader="none" w:pos="1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nine months ended September 30, 2022 includes a transaction bonus expense related to one of the Company’s 2021 acquisitions.</w:t>
      </w:r>
    </w:p>
    <w:p>
      <w:pPr>
        <w:spacing w:after="0" w:line="1" w:lineRule="exact"/>
        <w:rPr>
          <w:rFonts w:ascii="Arial" w:cs="Arial" w:eastAsia="Arial" w:hAnsi="Arial"/>
          <w:sz w:val="13"/>
          <w:szCs w:val="13"/>
          <w:color w:val="auto"/>
        </w:rPr>
      </w:pPr>
    </w:p>
    <w:p>
      <w:pPr>
        <w:ind w:left="1540" w:right="140" w:hanging="514"/>
        <w:spacing w:after="0" w:line="255" w:lineRule="auto"/>
        <w:tabs>
          <w:tab w:leader="none" w:pos="1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Geographic Information</w:t>
      </w:r>
    </w:p>
    <w:p>
      <w:pPr>
        <w:spacing w:after="0" w:line="1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bases revenues by geographic region in which the revenues and invoicing are recorded. Other than the United States, no single country accounted for 10% or more of our total revenues during these periods.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revenues by geographical region for the three and nine months ended September 30, 2022 and 2021 (in thousands):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6"/>
              </w:rPr>
              <w:t>Three Months Ended September 30,</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4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Americas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176,091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158,972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506,770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421,795</w:t>
            </w:r>
          </w:p>
        </w:tc>
      </w:tr>
      <w:tr>
        <w:trPr>
          <w:trHeight w:val="216"/>
        </w:trPr>
        <w:tc>
          <w:tcPr>
            <w:tcW w:w="4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31,628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35,595</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96,413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82,237</w:t>
            </w: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(5,755 )</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(4,269 )</w:t>
            </w:r>
          </w:p>
        </w:tc>
      </w:tr>
      <w:tr>
        <w:trPr>
          <w:trHeight w:val="250"/>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205,986</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192,867</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597,428</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499,763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946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946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long-lived assets by geographic area as of September 30, 2022 and December 31, 2021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7"/>
              </w:rPr>
              <w:t>September 30, 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9"/>
              </w:rPr>
              <w:t>December 31, 2021</w:t>
            </w:r>
          </w:p>
        </w:tc>
      </w:tr>
      <w:tr>
        <w:trPr>
          <w:trHeight w:val="21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assets, net</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United States, country of domicile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1,161,230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1,213,093</w:t>
            </w:r>
          </w:p>
        </w:tc>
      </w:tr>
      <w:tr>
        <w:trPr>
          <w:trHeight w:val="216"/>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 other countries</w:t>
            </w:r>
          </w:p>
        </w:tc>
        <w:tc>
          <w:tcPr>
            <w:tcW w:w="2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183,509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199,459</w:t>
            </w: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Total long-lived assets,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1,344,739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1,412,552</w:t>
            </w: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-170815</wp:posOffset>
            </wp:positionV>
            <wp:extent cx="12001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On November 8, 2022, the Company' Board of Directors authorized an increase to the total available amount under its Repurchase Program to $150.0 million and extended the program through December 31, 2023. Through November 4, 2022, the Company had made $21.6 million of purchases under the Repurchase Program.</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8"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following discussion and analysis of First Advantage Corporation’s financial condition and results of operations is provided as a supplement to the condensed consolidated financial statements for the three and nine months ended September 30, 2022, and should be read in conjunction with the audited consolidated financial statements for the year ended December 31, 2021, our “Risk Factors,” and “Management’s Discussion and Analysis of Financial Condition and Results of Operations” included in the Company’s Annual Report on Form 10-K for the year ended December 31,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18"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These forward-looking statements are subject to various risks, uncertainties, assumptions, or changes in circumstances that are difficult to predict or quantify. Such risks and uncertainties include, but are not limited to, the following: the impact of COVID-19 and related continuously evolving risks to our results of operations, financial position and/or liquidity; our operations in a highly regulated industry and the fact that we are subject to numerous and evolving laws and regulations, including with respect to personal data and data security; our reliance on third-party data providers; negative changes in external events beyond our control, including our customers’ onboarding volumes, economic drivers which are sensitive to macroeconomic cycles, such as interest rate volatility and inflation, geopolitical unrest, and the COVID-19 pandemic; potential harm to our business, brand, and reputation as a result of security breaches, cyber-attacks or the mishandling of personal data; liability and litigation due to the sensitive and privacy-driven nature of our products and solutions, which could be costly and time-consuming to defend and may not be fully covered by insurance;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contracts with our customers, which do not guarantee exclusivity or contracted volumes; our reliance on third-party vendors to carry out certain portions of our operations; disruptions, outages, or other errors with our technology and network infrastructure, including our data centers, servers and third-party cloud and internet providers and our migration to the cloud; disruptions at our Global Operating Center and other operating centers; operating in a penetrated and competitive market; our ability to obtain, maintain, protect, and enforce our intellectual property and other proprietary information;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our ability to maintain, protect, and enforce the confidentiality of our trade secrets; the use of open-source software in our applications; the indemnification provisions in our contracts with our customers and third-party data suppliers; our ability to identify attractive targets or successfully complete such transactions; our international business; our dependence on the service of our key executive and other employees, and our ability to find and retain qualified employees; seasonality in our operations from quarter to quarter; failure to comply with anti-corruption laws and regulations; the timing, manner and volume of repurchases of common stock pursuant to our share repurchase program; and changing interpretations of tax laws.</w:t>
      </w:r>
    </w:p>
    <w:p>
      <w:pPr>
        <w:spacing w:after="0" w:line="11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For additional information on these and other factors that could cause First Advantage’s actual results to differ materially from expected results, please see our Annual Report on Form 10-K for the year ended December 31, 2021,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are used in this Form 10-Q, unless otherwise noted or indicated by the context:</w:t>
      </w:r>
    </w:p>
    <w:p>
      <w:pPr>
        <w:spacing w:after="0" w:line="158"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“Americas” in regards to our business, means the United States, Canada, and Latin America;</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“Enterprise customers” means our customers who contribute $500,000 or more to our revenues in a calendar year;</w:t>
      </w:r>
    </w:p>
    <w:p>
      <w:pPr>
        <w:spacing w:after="0" w:line="117" w:lineRule="exact"/>
        <w:rPr>
          <w:rFonts w:ascii="Arial" w:cs="Arial" w:eastAsia="Arial" w:hAnsi="Arial"/>
          <w:sz w:val="18"/>
          <w:szCs w:val="18"/>
          <w:color w:val="auto"/>
        </w:rPr>
      </w:pPr>
    </w:p>
    <w:p>
      <w:pPr>
        <w:ind w:left="1020" w:right="32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“First Advantage,” the “Company,” “we,” “us,” and “our” mean the business of First Advantage Corporation and its subsidiaries;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“International” in regards to our business, means all geographical regions outside of the United States, Canada, and Latin America;</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“Revenues attributable to the Company’s acquisitions” means revenues recognized in the first year following each acquisition; and</w:t>
      </w:r>
    </w:p>
    <w:p>
      <w:pPr>
        <w:spacing w:after="0" w:line="169"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“Silver Lake” means Silver Lake Group, L.L.C., together with its affiliates, successors, and assignees.</w:t>
      </w:r>
    </w:p>
    <w:p>
      <w:pPr>
        <w:spacing w:after="0" w:line="15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Social Media Disclosure</w:t>
      </w:r>
    </w:p>
    <w:p>
      <w:pPr>
        <w:spacing w:after="0" w:line="162"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First Advantage is a leading global provider of HR technology solutions for screening, verifications, safety, and compliance. We deliver innovative solutions and insights that help our customers manage risk and hire the best talent. Enabled by our proprietary technology, our products and solutions help companies protect their brands and provide safer environments for their customers and their most important resources: employees, contractors, contingent and extended workers, drivers, tenants, and volunteers.</w:t>
      </w:r>
    </w:p>
    <w:p>
      <w:pPr>
        <w:spacing w:after="0" w:line="147"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33,000 customers are global enterprises, mid-sized companies, and small companies, and our products and solutions are used by personnel in recruiting, human resources, risk, compliance, vendor management, safety, and/or security.</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products are sold both individually and bundled.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bundled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pass-through and third-party out of pocket costs, and bundling of products.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7" w:name="page28"/>
    <w:bookmarkEnd w:id="27"/>
    <w:p>
      <w:pPr>
        <w:spacing w:after="0" w:line="261" w:lineRule="auto"/>
        <w:rPr>
          <w:sz w:val="20"/>
          <w:szCs w:val="20"/>
          <w:color w:val="auto"/>
        </w:rPr>
      </w:pPr>
      <w:r>
        <w:rPr>
          <w:rFonts w:ascii="Arial" w:cs="Arial" w:eastAsia="Arial" w:hAnsi="Arial"/>
          <w:sz w:val="17"/>
          <w:szCs w:val="17"/>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Through our ongoing dialogue with our customers, we have visibility into their expected future order volumes, although these can be difficult to accurately forecast due to the dynamic nature of forecasting hiring and business needs. We typically bill our customers at the end of each month and recognize revenues as completed orders are reported or otherwise made available to our customers. Over 90% of the criminal searches performed in the United States are completed the same day they are submitted.</w:t>
      </w:r>
    </w:p>
    <w:p>
      <w:pPr>
        <w:spacing w:after="0" w:line="132"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We generated revenues of $206.0 million for the three months ended September 30, 2022, as compared to $192.9 million for the three months ended September 30, 2021 and generated revenues of $597.4 million for the nine months ended September 30, 2022, as compared to $499.8 million for the nine months ended September 30, 2021. Approximately 84% of our revenues for the nine months ended September 30, 2022 was generated in the Americas, predominantly in the United States, while the remaining 16% was generated internationally. Other than the United States, no single country accounted for 10% or more of our total revenues for the three and nine months ended September 30, 2022. Please refer to “Results of Operations”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During the first quarter of 2022, the Company made organizational changes and modified additional information provided to its chief operating decision maker (“CODM”) to better align with how its CODM assesses performance and allocates resources. As a result, the Company now has two reportable segments, Americas and International:</w:t>
      </w:r>
    </w:p>
    <w:p>
      <w:pPr>
        <w:spacing w:after="0" w:line="121" w:lineRule="exact"/>
        <w:rPr>
          <w:sz w:val="20"/>
          <w:szCs w:val="20"/>
          <w:color w:val="auto"/>
        </w:rPr>
      </w:pPr>
    </w:p>
    <w:p>
      <w:pPr>
        <w:ind w:left="1020" w:right="120" w:hanging="503"/>
        <w:spacing w:after="0" w:line="290"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Americas. </w:t>
      </w:r>
      <w:r>
        <w:rPr>
          <w:rFonts w:ascii="Arial" w:cs="Arial" w:eastAsia="Arial" w:hAnsi="Arial"/>
          <w:sz w:val="16"/>
          <w:szCs w:val="16"/>
          <w:color w:val="auto"/>
        </w:rPr>
        <w:t>This segment performs a variety of background check and compliance services across all phases of the workforce lifecycle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pre-onboarding services to post-onboarding and ongoing monitoring services, covering employees, contractors, contingent and extended workers, drivers, tenants, and volunteers. We generally classify our service offerings into three categories: pre-onboarding, post-onboarding, and adjacent products. We deliver our solutions across multiple vertical industries in the United States, Canada, and Latin America markets.</w:t>
      </w:r>
    </w:p>
    <w:p>
      <w:pPr>
        <w:spacing w:after="0" w:line="55"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The International segment provides services similar to our Americas segment in regions outside of the Americas. We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our solutions across multiple vertical industries in the Europe, India, and Asia Pacific markets.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holiday season and lowest at the beginning of the new year, following the holiday season. Certain customers across various industries also historically ramp up their hiring throughout the second quarter of the year as winter concludes, commercial activity tied to outdoor activities increases, and the school year ends, giving rise to student and graduate hiring.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M&amp;A</w:t>
      </w:r>
    </w:p>
    <w:p>
      <w:pPr>
        <w:spacing w:after="0" w:line="158"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The Company completed its asset purchase of Form I-9 Compliance, a U.S.-based technology solution and consulting service provider for I-9 and E-Verify compliance. The acquisition is effective as of January 1, 2022 and strategically expands the Company’s product suite offerings through the addition of new I-9 and employment eligibility solutions. The results of Form I-9 Compliance, which were not material, have been included in our Americas segment from the effective date of the acquisition.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Impact of COVID-19 and Current Economic Conditions</w:t>
      </w:r>
    </w:p>
    <w:p>
      <w:pPr>
        <w:spacing w:after="0" w:line="17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COVID-19 pandemic has negatively impacted the global economy, disrupted global supply chains, and created significant volatility and disruption of financial markets. Additionally, other recent macroeconomic events including rising inflation, the U.S. Federal Reserve raising interest rates, and the Russian invasion of Ukraine have led to further economic uncertainty.</w:t>
      </w:r>
    </w:p>
    <w:p>
      <w:pPr>
        <w:spacing w:after="0" w:line="14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Despite the continuing uncertainty associated with these events, we are confident in the long-term overall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2022, COVID-19 continues to affect different parts of the world to different degrees. In our continued response to the COVID-19 pandemic, we have implemented operational changes to ensure the safety of our workforce and to ensure that we continue to provide high quality products and services to our customers. We have successfully adopted a highly distributed, hybrid workforce model which has not significantly affected our operations.</w:t>
      </w:r>
    </w:p>
    <w:p>
      <w:pPr>
        <w:spacing w:after="0" w:line="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While our overall productivity has not been materially adversely impacted by the events described above, if the economic uncertainty is sustained or increases, we may experience a negative impact on new business, customer renewals and demand levels, sales and marketing efforts, revenues growth rates, customer deployments, customer collections, product development, or other financial metrics. Any of these factors could harm our business, financial condition, and operating results. For additional information, see our “Risk Factors” and “Management’s Discussion and Analysis of Financial Condition and Results of Operations” included in the Company’s Annual Report on Form 10-K for the year ended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Note 2 to the condensed consolidated financial statements for disclosure of the impact that recent accounting pronouncements may have on the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derives revenues from a variety of background screening and adjacent products that cover all phases of the workforce lifecycle from pre-onboarding screening services to post-onboarding and ongoing monitoring services, covering employees, contractors, contingent and extended workers, drivers, tenants, and volunteers. We generally classify our products and solutions into three major categories: pre-onboarding, post-onboarding, and adjacent products, each of which is enabled by our technology, proprietary databases, and data analytics capabilities. Pre-onboarding products, which comprise the substantial majority of our revenues, span an extensive array of products that customers typically utilize to enhance their applicant evaluation process and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productive, and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3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suite of products is available individually or through bundled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incur the following expenses related to our cost of revenues and operating expenses:</w:t>
      </w:r>
    </w:p>
    <w:p>
      <w:pPr>
        <w:spacing w:after="0" w:line="158" w:lineRule="exact"/>
        <w:rPr>
          <w:sz w:val="20"/>
          <w:szCs w:val="20"/>
          <w:color w:val="auto"/>
        </w:rPr>
      </w:pPr>
    </w:p>
    <w:p>
      <w:pPr>
        <w:ind w:left="1020" w:hanging="503"/>
        <w:spacing w:after="0" w:line="259"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Cost of Services: </w:t>
      </w:r>
      <w:r>
        <w:rPr>
          <w:rFonts w:ascii="Arial" w:cs="Arial" w:eastAsia="Arial" w:hAnsi="Arial"/>
          <w:sz w:val="17"/>
          <w:szCs w:val="17"/>
          <w:color w:val="auto"/>
        </w:rPr>
        <w:t>Consists of amounts paid to third parties for access to government records, other third-party data and services,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67" w:lineRule="exact"/>
        <w:rPr>
          <w:rFonts w:ascii="Arial" w:cs="Arial" w:eastAsia="Arial" w:hAnsi="Arial"/>
          <w:sz w:val="17"/>
          <w:szCs w:val="17"/>
          <w:color w:val="auto"/>
        </w:rPr>
      </w:pPr>
    </w:p>
    <w:p>
      <w:pPr>
        <w:ind w:left="1020" w:right="60" w:hanging="503"/>
        <w:spacing w:after="0" w:line="261"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Product and Technology Expense</w:t>
      </w:r>
      <w:r>
        <w:rPr>
          <w:rFonts w:ascii="Arial" w:cs="Arial" w:eastAsia="Arial" w:hAnsi="Arial"/>
          <w:sz w:val="17"/>
          <w:szCs w:val="17"/>
          <w:color w:val="auto"/>
        </w:rPr>
        <w:t>: Consists of salaries and benefits of personnel involved in the maintenance of our technology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integrations 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7"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Consists of sales, customer success,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customer success, and marketing expenses consist primarily of employee compensation such as salaries, bonuses, sales commissions, stock-based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now as a public company.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66" w:lineRule="exact"/>
        <w:rPr>
          <w:rFonts w:ascii="Arial" w:cs="Arial" w:eastAsia="Arial" w:hAnsi="Arial"/>
          <w:sz w:val="17"/>
          <w:szCs w:val="17"/>
          <w:color w:val="auto"/>
        </w:rPr>
      </w:pPr>
    </w:p>
    <w:p>
      <w:pPr>
        <w:ind w:left="1020" w:right="160" w:hanging="503"/>
        <w:spacing w:after="0" w:line="25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Depreciation and Amortizatio</w:t>
      </w:r>
      <w:r>
        <w:rPr>
          <w:rFonts w:ascii="Arial" w:cs="Arial" w:eastAsia="Arial" w:hAnsi="Arial"/>
          <w:sz w:val="18"/>
          <w:szCs w:val="18"/>
          <w:color w:val="auto"/>
        </w:rPr>
        <w:t>n: Property and equipment consisting mainly of capitalized software costs, furniture, hardware, and leasehold</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are depreciated or amortized and reflected as operating expenses. We also amortize the capitalized costs of finite-life intangible assets acquired in connection with business combinations.</w:t>
      </w:r>
    </w:p>
    <w:p>
      <w:pPr>
        <w:spacing w:after="0" w:line="12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see in the business in order to align with our overall financial objectives. While we expect internal operating expenses to increase in absolute dollars to support our continued growth, we believe that, in the long term, operating expenses will decline gradually as a percentage of total revenues in the future as our business grows and our operating efficiency and automation initiatives continue to advance.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other expense, net consists of the following:</w:t>
      </w:r>
    </w:p>
    <w:p>
      <w:pPr>
        <w:spacing w:after="0" w:line="171" w:lineRule="exact"/>
        <w:rPr>
          <w:sz w:val="20"/>
          <w:szCs w:val="20"/>
          <w:color w:val="auto"/>
        </w:rPr>
      </w:pPr>
    </w:p>
    <w:p>
      <w:pPr>
        <w:ind w:left="1020" w:right="260" w:hanging="503"/>
        <w:spacing w:after="0" w:line="28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Relates primarily to our debt service costs, the interest-related unrealized gains and losses of our interest rate swaps</w:t>
      </w:r>
      <w:r>
        <w:rPr>
          <w:rFonts w:ascii="Arial" w:cs="Arial" w:eastAsia="Arial" w:hAnsi="Arial"/>
          <w:sz w:val="16"/>
          <w:szCs w:val="16"/>
          <w:i w:val="1"/>
          <w:iCs w:val="1"/>
          <w:color w:val="auto"/>
        </w:rPr>
        <w:t xml:space="preserve"> </w:t>
      </w:r>
      <w:r>
        <w:rPr>
          <w:rFonts w:ascii="Arial" w:cs="Arial" w:eastAsia="Arial" w:hAnsi="Arial"/>
          <w:sz w:val="16"/>
          <w:szCs w:val="16"/>
          <w:color w:val="auto"/>
        </w:rPr>
        <w:t>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60"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Loss on Extinguishment of Debt</w:t>
      </w:r>
      <w:r>
        <w:rPr>
          <w:rFonts w:ascii="Arial" w:cs="Arial" w:eastAsia="Arial" w:hAnsi="Arial"/>
          <w:sz w:val="18"/>
          <w:szCs w:val="18"/>
          <w:color w:val="auto"/>
        </w:rPr>
        <w:t>: Reflects losses on the extinguishment of certain debt.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 For example, there are several proposals to change the current tax law, including changes in GILTI. If any or all of these (or similar) proposals are ultimately enacted into law, in whole or in part, they could increase our effective tax rate.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information contained below should be read in conjunction with our accompanying historical condensed consolidated financial statements and the related notes.</w:t>
      </w:r>
    </w:p>
    <w:p>
      <w:pPr>
        <w:spacing w:after="0" w:line="11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Comparison of Results of Operations for the three and nine months ended September 30, 2022 compared to the three and nine months ended September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6"/>
                <w:szCs w:val="16"/>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50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205,986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192,867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597,428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499,763</w:t>
            </w:r>
          </w:p>
        </w:tc>
        <w:tc>
          <w:tcPr>
            <w:tcW w:w="6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5060" w:type="dxa"/>
            <w:vAlign w:val="bottom"/>
          </w:tcPr>
          <w:p>
            <w:pPr>
              <w:ind w:left="200"/>
              <w:spacing w:after="0" w:line="175" w:lineRule="exact"/>
              <w:rPr>
                <w:sz w:val="20"/>
                <w:szCs w:val="20"/>
                <w:color w:val="auto"/>
              </w:rPr>
            </w:pPr>
            <w:r>
              <w:rPr>
                <w:rFonts w:ascii="Arial" w:cs="Arial" w:eastAsia="Arial" w:hAnsi="Arial"/>
                <w:sz w:val="18"/>
                <w:szCs w:val="18"/>
                <w:color w:val="auto"/>
              </w:rPr>
              <w:t>Cost of services (exclusive of depreciation and amortization</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5060" w:type="dxa"/>
            <w:vAlign w:val="bottom"/>
          </w:tcPr>
          <w:p>
            <w:pPr>
              <w:ind w:left="200"/>
              <w:spacing w:after="0"/>
              <w:rPr>
                <w:sz w:val="20"/>
                <w:szCs w:val="20"/>
                <w:color w:val="auto"/>
              </w:rPr>
            </w:pPr>
            <w:r>
              <w:rPr>
                <w:rFonts w:ascii="Arial" w:cs="Arial" w:eastAsia="Arial" w:hAnsi="Arial"/>
                <w:sz w:val="18"/>
                <w:szCs w:val="18"/>
                <w:color w:val="auto"/>
              </w:rPr>
              <w:t>below)</w:t>
            </w:r>
          </w:p>
        </w:tc>
        <w:tc>
          <w:tcPr>
            <w:tcW w:w="24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104,300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94,151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301,023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244,964</w:t>
            </w:r>
          </w:p>
        </w:tc>
        <w:tc>
          <w:tcPr>
            <w:tcW w:w="60" w:type="dxa"/>
            <w:vAlign w:val="bottom"/>
          </w:tcPr>
          <w:p>
            <w:pPr>
              <w:spacing w:after="0"/>
              <w:rPr>
                <w:sz w:val="20"/>
                <w:szCs w:val="20"/>
                <w:color w:val="auto"/>
              </w:rPr>
            </w:pPr>
          </w:p>
        </w:tc>
      </w:tr>
      <w:tr>
        <w:trPr>
          <w:trHeight w:val="216"/>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and technology expense</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11,313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39,969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33,546</w:t>
            </w:r>
          </w:p>
        </w:tc>
        <w:tc>
          <w:tcPr>
            <w:tcW w:w="6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28,034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27,203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87,715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76,256</w:t>
            </w:r>
          </w:p>
        </w:tc>
        <w:tc>
          <w:tcPr>
            <w:tcW w:w="6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34,744</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35,812</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103,185</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106,493</w:t>
            </w:r>
          </w:p>
        </w:tc>
        <w:tc>
          <w:tcPr>
            <w:tcW w:w="60" w:type="dxa"/>
            <w:vAlign w:val="bottom"/>
          </w:tcPr>
          <w:p>
            <w:pPr>
              <w:spacing w:after="0"/>
              <w:rPr>
                <w:sz w:val="18"/>
                <w:szCs w:val="18"/>
                <w:color w:val="auto"/>
              </w:rPr>
            </w:pPr>
          </w:p>
        </w:tc>
      </w:tr>
      <w:tr>
        <w:trPr>
          <w:trHeight w:val="209"/>
        </w:trPr>
        <w:tc>
          <w:tcPr>
            <w:tcW w:w="5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180,328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168,479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531,892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461,259</w:t>
            </w:r>
          </w:p>
        </w:tc>
        <w:tc>
          <w:tcPr>
            <w:tcW w:w="60" w:type="dxa"/>
            <w:vAlign w:val="bottom"/>
          </w:tcPr>
          <w:p>
            <w:pPr>
              <w:spacing w:after="0"/>
              <w:rPr>
                <w:sz w:val="18"/>
                <w:szCs w:val="18"/>
                <w:color w:val="auto"/>
              </w:rPr>
            </w:pPr>
          </w:p>
        </w:tc>
      </w:tr>
      <w:tr>
        <w:trPr>
          <w:trHeight w:val="20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25,658</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24,388</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65,536</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38,504</w:t>
            </w:r>
          </w:p>
        </w:tc>
        <w:tc>
          <w:tcPr>
            <w:tcW w:w="60" w:type="dxa"/>
            <w:vAlign w:val="bottom"/>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4,706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21,875</w:t>
            </w:r>
          </w:p>
        </w:tc>
        <w:tc>
          <w:tcPr>
            <w:tcW w:w="60" w:type="dxa"/>
            <w:vAlign w:val="bottom"/>
          </w:tcPr>
          <w:p>
            <w:pPr>
              <w:spacing w:after="0"/>
              <w:rPr>
                <w:sz w:val="18"/>
                <w:szCs w:val="18"/>
                <w:color w:val="auto"/>
              </w:rPr>
            </w:pPr>
          </w:p>
        </w:tc>
      </w:tr>
      <w:tr>
        <w:trPr>
          <w:trHeight w:val="216"/>
        </w:trPr>
        <w:tc>
          <w:tcPr>
            <w:tcW w:w="5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13,938</w:t>
            </w:r>
          </w:p>
        </w:tc>
        <w:tc>
          <w:tcPr>
            <w:tcW w:w="60" w:type="dxa"/>
            <w:vAlign w:val="bottom"/>
          </w:tcPr>
          <w:p>
            <w:pPr>
              <w:spacing w:after="0"/>
              <w:rPr>
                <w:sz w:val="18"/>
                <w:szCs w:val="18"/>
                <w:color w:val="auto"/>
              </w:rPr>
            </w:pPr>
          </w:p>
        </w:tc>
      </w:tr>
      <w:tr>
        <w:trPr>
          <w:trHeight w:val="210"/>
        </w:trPr>
        <w:tc>
          <w:tcPr>
            <w:tcW w:w="50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1,740</w:t>
            </w:r>
          </w:p>
        </w:tc>
        <w:tc>
          <w:tcPr>
            <w:tcW w:w="1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4,706</w:t>
            </w: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4,002</w:t>
            </w:r>
          </w:p>
        </w:tc>
        <w:tc>
          <w:tcPr>
            <w:tcW w:w="1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35,813</w:t>
            </w:r>
          </w:p>
        </w:tc>
        <w:tc>
          <w:tcPr>
            <w:tcW w:w="60" w:type="dxa"/>
            <w:vAlign w:val="bottom"/>
          </w:tcPr>
          <w:p>
            <w:pPr>
              <w:spacing w:after="0"/>
              <w:rPr>
                <w:sz w:val="18"/>
                <w:szCs w:val="18"/>
                <w:color w:val="auto"/>
              </w:rPr>
            </w:pPr>
          </w:p>
        </w:tc>
      </w:tr>
      <w:tr>
        <w:trPr>
          <w:trHeight w:val="209"/>
        </w:trPr>
        <w:tc>
          <w:tcPr>
            <w:tcW w:w="5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23,918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19,682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61,534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2,691</w:t>
            </w:r>
          </w:p>
        </w:tc>
        <w:tc>
          <w:tcPr>
            <w:tcW w:w="60" w:type="dxa"/>
            <w:vAlign w:val="bottom"/>
          </w:tcPr>
          <w:p>
            <w:pPr>
              <w:spacing w:after="0"/>
              <w:rPr>
                <w:sz w:val="18"/>
                <w:szCs w:val="18"/>
                <w:color w:val="auto"/>
              </w:rPr>
            </w:pPr>
          </w:p>
        </w:tc>
      </w:tr>
      <w:tr>
        <w:trPr>
          <w:trHeight w:val="216"/>
        </w:trPr>
        <w:tc>
          <w:tcPr>
            <w:tcW w:w="506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3,397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17,076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8"/>
                <w:szCs w:val="18"/>
                <w:color w:val="auto"/>
              </w:rPr>
            </w:pPr>
          </w:p>
        </w:tc>
      </w:tr>
      <w:tr>
        <w:trPr>
          <w:trHeight w:val="249"/>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17,209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16,285</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44,458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21"/>
                <w:szCs w:val="21"/>
                <w:color w:val="auto"/>
              </w:rPr>
            </w:pPr>
          </w:p>
        </w:tc>
      </w:tr>
      <w:tr>
        <w:trPr>
          <w:trHeight w:val="211"/>
        </w:trPr>
        <w:tc>
          <w:tcPr>
            <w:tcW w:w="506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8.4 %</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8.4 %</w:t>
            </w: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7.4 %</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607"/>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-2065020</wp:posOffset>
            </wp:positionV>
            <wp:extent cx="6858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-2065020</wp:posOffset>
            </wp:positionV>
            <wp:extent cx="60325"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-2065020</wp:posOffset>
            </wp:positionV>
            <wp:extent cx="5969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-1774190</wp:posOffset>
            </wp:positionV>
            <wp:extent cx="6858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-1774190</wp:posOffset>
            </wp:positionV>
            <wp:extent cx="60325"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-1774190</wp:posOffset>
            </wp:positionV>
            <wp:extent cx="5969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14605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-1216660</wp:posOffset>
            </wp:positionV>
            <wp:extent cx="685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-1216660</wp:posOffset>
            </wp:positionV>
            <wp:extent cx="6032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-1216660</wp:posOffset>
            </wp:positionV>
            <wp:extent cx="5969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-642620</wp:posOffset>
            </wp:positionV>
            <wp:extent cx="208280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82800" cy="1631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20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6"/>
              <w:spacing w:after="0"/>
              <w:rPr>
                <w:sz w:val="20"/>
                <w:szCs w:val="20"/>
                <w:color w:val="auto"/>
              </w:rPr>
            </w:pPr>
            <w:r>
              <w:rPr>
                <w:rFonts w:ascii="Arial" w:cs="Arial" w:eastAsia="Arial" w:hAnsi="Arial"/>
                <w:sz w:val="18"/>
                <w:szCs w:val="18"/>
                <w:color w:val="auto"/>
              </w:rPr>
              <w:t>176,091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158,972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506,770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421,795</w:t>
            </w:r>
          </w:p>
        </w:tc>
      </w:tr>
      <w:tr>
        <w:trPr>
          <w:trHeight w:val="216"/>
        </w:trPr>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31,628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35,595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96,413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82,237</w:t>
            </w:r>
          </w:p>
        </w:tc>
      </w:tr>
      <w:tr>
        <w:trPr>
          <w:trHeight w:val="216"/>
        </w:trPr>
        <w:tc>
          <w:tcPr>
            <w:tcW w:w="4980" w:type="dxa"/>
            <w:vAlign w:val="bottom"/>
          </w:tcPr>
          <w:p>
            <w:pPr>
              <w:ind w:left="120"/>
              <w:spacing w:after="0"/>
              <w:rPr>
                <w:sz w:val="20"/>
                <w:szCs w:val="20"/>
                <w:color w:val="auto"/>
              </w:rPr>
            </w:pPr>
            <w:r>
              <w:rPr>
                <w:rFonts w:ascii="Arial" w:cs="Arial" w:eastAsia="Arial" w:hAnsi="Arial"/>
                <w:sz w:val="18"/>
                <w:szCs w:val="18"/>
                <w:color w:val="auto"/>
              </w:rPr>
              <w:t>Eliminations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(1,733 )</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(5,755 )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(4,269 )</w:t>
            </w:r>
          </w:p>
        </w:tc>
      </w:tr>
      <w:tr>
        <w:trPr>
          <w:trHeight w:val="249"/>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205,986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192,867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597,428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499,763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Revenues were $206.0 million for the three months ended September 30, 2022, compared to $192.9 million for the three months ended September 30, 2021. Revenues for the three months ended September 30, 2022 increased by $13.1 million, or 6.8%, compared to the three months ended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due to:</w:t>
      </w:r>
    </w:p>
    <w:p>
      <w:pPr>
        <w:spacing w:after="0" w:line="158"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revenues of $9.3 million attributable to new customers in both the Americas and International segments; and</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of $8.4 million attributable to the Company’s acquisitions in the Americas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offset by:</w:t>
      </w:r>
    </w:p>
    <w:p>
      <w:pPr>
        <w:spacing w:after="0" w:line="158" w:lineRule="exact"/>
        <w:rPr>
          <w:sz w:val="20"/>
          <w:szCs w:val="20"/>
          <w:color w:val="auto"/>
        </w:rPr>
      </w:pPr>
    </w:p>
    <w:p>
      <w:pPr>
        <w:ind w:left="1020" w:right="8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net decrease of $4.6 million in existing customer revenues, primarily driven by the effects of changes in foreign currencies on our International segment. The remaining net change within our existing customer revenues primarily relates to macro-economic driven declines in our International segment.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Revenues were $597.4 million for the nine months ended September 30, 2022, compared to $499.8 million for the nine months ended September 30,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Revenues for the nine months ended September 30, 2022 increased by $97.7 million, or 19.5%, compared to the nine months ended September 30,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revenues was primarily due to:</w:t>
      </w:r>
    </w:p>
    <w:p>
      <w:pPr>
        <w:spacing w:after="0" w:line="171" w:lineRule="exact"/>
        <w:rPr>
          <w:sz w:val="20"/>
          <w:szCs w:val="20"/>
          <w:color w:val="auto"/>
        </w:rPr>
      </w:pPr>
    </w:p>
    <w:p>
      <w:pPr>
        <w:jc w:val="both"/>
        <w:ind w:left="1020" w:right="32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net increase of $39.0 million in existing customer revenues, primarily driven by strength across our business in the first half of the year, which was supported by positive jobs market trends including sustained job switching and churn. These existing customer increases were offset by the impact of lost accounts and the effects of changes in foreign currencies;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revenues of $31.6 million attributable to the Company’s acquisitions in the Americas and International segments; and</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revenues of $27.1 million attributable to new customers in both the Americas and International segments.</w:t>
      </w:r>
    </w:p>
    <w:p>
      <w:pPr>
        <w:spacing w:after="0" w:line="104"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In 2022, the Company has experienced high demand among customers across numerous industry verticals and account sizes in both its Americas and International segments. However, in the third quarter of 2022, certain industry verticals and International segment markets experienced reduced revenues volumes as a result of macro-economic headwinds and negative foreign currency impacts due to strengthening of the U.S. Dollar. Pricing remained relatively stable across all periods.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Cost of Services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6"/>
                <w:szCs w:val="16"/>
                <w:color w:val="auto"/>
              </w:rPr>
            </w:pPr>
          </w:p>
        </w:tc>
        <w:tc>
          <w:tcPr>
            <w:tcW w:w="2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205,986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192,867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597,428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499,763</w:t>
            </w:r>
          </w:p>
        </w:tc>
        <w:tc>
          <w:tcPr>
            <w:tcW w:w="6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104,300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94,151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301,023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244,964</w:t>
            </w:r>
          </w:p>
        </w:tc>
        <w:tc>
          <w:tcPr>
            <w:tcW w:w="60" w:type="dxa"/>
            <w:vAlign w:val="bottom"/>
          </w:tcPr>
          <w:p>
            <w:pPr>
              <w:spacing w:after="0"/>
              <w:rPr>
                <w:sz w:val="18"/>
                <w:szCs w:val="18"/>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color w:val="auto"/>
              </w:rPr>
              <w:t>Cost of services as a % of revenue</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50.6 %</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48.8 %</w:t>
            </w:r>
          </w:p>
        </w:tc>
        <w:tc>
          <w:tcPr>
            <w:tcW w:w="2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50.4 %</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8"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Cost of services was $104.3 million for the three months ended September 30, 2022, compared to $94.2 million for the three months ended September 30, 2021. Cost of services for the three months ended September 30, 2022 increased by $10.1 million, or 10.8%, compared to the three months ended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58" w:lineRule="exact"/>
        <w:rPr>
          <w:sz w:val="20"/>
          <w:szCs w:val="20"/>
          <w:color w:val="auto"/>
        </w:rPr>
      </w:pPr>
    </w:p>
    <w:p>
      <w:pPr>
        <w:ind w:left="1020" w:right="4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variable third-party data expenses of $7.2 million as a direct result of increased revenues, increases in the prices of certain third-party data usage, and variation in customer ordering mix;</w:t>
      </w:r>
    </w:p>
    <w:p>
      <w:pPr>
        <w:spacing w:after="0" w:line="76"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$3.0 million increase in personnel related expenses in our operations and customer care functions as a result of additional operational support headcount to process and fulfill the Company’s order volume growth; and</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insurance, travel, and other expenses related to the increased revenue volumes experienced in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58"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exchange gains of $0.9 million due to the impact of foreign exchange rate volatility.</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Cost of services as a percentage of revenues was 50.6% for the three months ended September 30, 2022, compared to 48.8% for the three months ended September 30, 2021. The cost of services percentage of revenues in the third quarter 2022 was impacted by increases in certain third-party data costs, variation in customer ordering mix to lower margin products, and acquisitions having a larger mix of third-party data expenses. This increase was partially offset by cost savings from the Company’s continued implementation of automation and other process efficiencies.</w:t>
      </w:r>
    </w:p>
    <w:p>
      <w:pPr>
        <w:spacing w:after="0" w:line="126"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Cost of services was $301.0 million for the nine months ended September 30, 2022, compared to $245.0 million for the nine months ended September 30, 2021. Cost of services for the nine months ended September 30, 2022 increased by $56.1 million, or 22.9%, compared to the nine months ended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primarily due to:</w:t>
      </w:r>
    </w:p>
    <w:p>
      <w:pPr>
        <w:spacing w:after="0" w:line="158" w:lineRule="exact"/>
        <w:rPr>
          <w:sz w:val="20"/>
          <w:szCs w:val="20"/>
          <w:color w:val="auto"/>
        </w:rPr>
      </w:pPr>
    </w:p>
    <w:p>
      <w:pPr>
        <w:ind w:left="1020" w:right="380" w:hanging="503"/>
        <w:spacing w:after="0" w:line="291"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in variable third-party data expenses of $41.3 million as a direct result of increased revenues, increases in the prices of certain third-party data usage, variation in customer ordering mix, and acquisitions having a larger mix of third-party data expenses;</w:t>
      </w:r>
    </w:p>
    <w:p>
      <w:pPr>
        <w:spacing w:after="0" w:line="52" w:lineRule="exact"/>
        <w:rPr>
          <w:rFonts w:ascii="Arial" w:cs="Arial" w:eastAsia="Arial" w:hAnsi="Arial"/>
          <w:sz w:val="17"/>
          <w:szCs w:val="17"/>
          <w:color w:val="auto"/>
        </w:rPr>
      </w:pPr>
    </w:p>
    <w:p>
      <w:pPr>
        <w:ind w:left="1020" w:right="4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$13.6 million increase in personnel related expenses in our operations and customer care functions as a result of additional operational support headcount to process and fulfill the Company’s order volume growth; and</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number of cost of services related operating expense increases attributable to insurance, travel, software licenses, and other expenses related to the increased revenue volumes experienced in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services was partially offset by:</w:t>
      </w:r>
    </w:p>
    <w:p>
      <w:pPr>
        <w:spacing w:after="0" w:line="158"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gains of $1.7 million due to the impact of foreign exchange rate volatility.</w:t>
      </w:r>
    </w:p>
    <w:p>
      <w:pPr>
        <w:spacing w:after="0" w:line="15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Cost of services as a percentage of revenues was 50.4% for the nine months ended September 30, 2022, compared to 49.0% for the nine months ended September 30, 2021. The cost of services percentage of revenues for the nine months ended September 30, 2022 was impacted by increases in certain third-party data costs, variation in customer ordering mix to lower margin products, and acquisitions having a larger mix of third-party data expenses. This increase was partially offset by cost savings from the Company’s continued implementation of automation and other process efficiencies.</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Product and Technology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0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and technology expense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13,250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11,313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39,969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33,546</w:t>
            </w:r>
          </w:p>
        </w:tc>
      </w:tr>
    </w:tbl>
    <w:p>
      <w:pPr>
        <w:spacing w:after="0" w:line="14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Product and technology expense was $13.3 million for the three months ended September 30, 2022, compared to $11.3 million for the three months ended September 30, 2021. Product and technology expense for the three months ended September 30, 2022 increased by $1.9 million, or 17.1%, compared to the three months ended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58"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$1.6 million increase in software licensing related expenses.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Product and technology expense was $40.0 million for the nine months ended September 30, 2022, compared to $33.5 million for the nine months ended September 30, 2021. Product and technology expense for the nine months ended September 30, 2022 increased by $6.4 million, or 19.1%, compared to the nine months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product and technology expense was primarily due to:</w:t>
      </w:r>
    </w:p>
    <w:p>
      <w:pPr>
        <w:spacing w:after="0" w:line="158"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$4.2 million increase in software licensing related expenses; and</w:t>
      </w:r>
    </w:p>
    <w:p>
      <w:pPr>
        <w:spacing w:after="0" w:line="17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$1.6 million increase in personnel-related expenses as a result of additional investments made to enhance our product, solutions, and technology platform and certain reorganization expenses.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0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28,034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27,203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87,715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76,256</w:t>
            </w:r>
          </w:p>
        </w:tc>
      </w:tr>
    </w:tbl>
    <w:p>
      <w:pPr>
        <w:spacing w:after="0" w:line="14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Selling, general, and administrative expense was $28.0 million for the three months ended September 30, 2022, compared to $27.2 million for the three months ended September 30, 2021. Selling, general, and administrative expense for the three months ended September 30, 2022 increased by $0.8 million, or 3.1%, compared to the three months ended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58" w:lineRule="exact"/>
        <w:rPr>
          <w:sz w:val="20"/>
          <w:szCs w:val="20"/>
          <w:color w:val="auto"/>
        </w:rPr>
      </w:pPr>
    </w:p>
    <w:p>
      <w:pPr>
        <w:ind w:left="1020" w:right="320" w:hanging="503"/>
        <w:spacing w:after="0" w:line="29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$1.5 million increase in personnel related expenses primarily due to additional investments made in the Company’s Sales and Customer Success functions and additional headcount related to the Company’s growth and operating as a public company;</w:t>
      </w:r>
    </w:p>
    <w:p>
      <w:pPr>
        <w:spacing w:after="0" w:line="52"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 million increase in expenses related to litigation activities in the ordinary course of business; and</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number of other corporate expenses that increased primarily as a result of the Company now being a publicly traded company and the Company’s M&amp;A activity.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71" w:lineRule="exact"/>
        <w:rPr>
          <w:sz w:val="20"/>
          <w:szCs w:val="20"/>
          <w:color w:val="auto"/>
        </w:rPr>
      </w:pPr>
    </w:p>
    <w:p>
      <w:pPr>
        <w:ind w:left="1020" w:right="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$1.8 million decrease in commissions and bonus related expenses due to lower variable commissions based on performance against internal targets; and</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$0.9 million decrease in professional service fees incurred related to the Company’s preparation for its 2021 IPO and secondary offering that did not reoccur in 2022.</w:t>
      </w:r>
    </w:p>
    <w:p>
      <w:pPr>
        <w:spacing w:after="0" w:line="10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general, and administrative expense was $87.7 million for the nine months ended September 30, 2022, compared to $76.3 million for the nine months ended September 30, 2021. Selling, general, and administrative expense for the nine months ended September 30, 2022 increased by $11.5 million, or 15.0%, compared to the nine months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increased primarily due to:</w:t>
      </w:r>
    </w:p>
    <w:p>
      <w:pPr>
        <w:spacing w:after="0" w:line="158" w:lineRule="exact"/>
        <w:rPr>
          <w:sz w:val="20"/>
          <w:szCs w:val="20"/>
          <w:color w:val="auto"/>
        </w:rPr>
      </w:pPr>
    </w:p>
    <w:p>
      <w:pPr>
        <w:ind w:left="1020" w:right="320" w:hanging="503"/>
        <w:spacing w:after="0" w:line="30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$6.4 million increase in personnel related expenses primarily due to additional investments made in the Company’s Sales and Customer Success functions and additional headcount related to the Company’s growth and operating as a public company;</w:t>
      </w:r>
    </w:p>
    <w:p>
      <w:pPr>
        <w:spacing w:after="0" w:line="24"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$1.9 million increase in liability insurance related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$1.9 million increase in expenses related to litigation activities in the ordinary course of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$1.2 million increase in marketing related expenses; and</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number of other corporate expenses that increased primarily as a result of the Company now being a publicly traded company and the Company’s M&amp;A activity.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selling, general, and administrative expense was partially offset by:</w:t>
      </w:r>
    </w:p>
    <w:p>
      <w:pPr>
        <w:spacing w:after="0" w:line="171" w:lineRule="exact"/>
        <w:rPr>
          <w:sz w:val="20"/>
          <w:szCs w:val="20"/>
          <w:color w:val="auto"/>
        </w:rPr>
      </w:pPr>
    </w:p>
    <w:p>
      <w:pPr>
        <w:ind w:left="1020" w:right="28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$4.1 million decrease in professional service fees incurred related to the Company’s preparation for its 2021 IPO and secondary offering that did not reoccur in 2022.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0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34,744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35,812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103,185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106,493</w:t>
            </w:r>
          </w:p>
        </w:tc>
      </w:tr>
    </w:tbl>
    <w:p>
      <w:pPr>
        <w:spacing w:after="0" w:line="148" w:lineRule="exact"/>
        <w:rPr>
          <w:sz w:val="20"/>
          <w:szCs w:val="20"/>
          <w:color w:val="auto"/>
        </w:rPr>
      </w:pPr>
    </w:p>
    <w:p>
      <w:pPr>
        <w:jc w:val="both"/>
        <w:ind w:right="160"/>
        <w:spacing w:after="0" w:line="249" w:lineRule="auto"/>
        <w:rPr>
          <w:sz w:val="20"/>
          <w:szCs w:val="20"/>
          <w:color w:val="auto"/>
        </w:rPr>
      </w:pPr>
      <w:r>
        <w:rPr>
          <w:rFonts w:ascii="Arial" w:cs="Arial" w:eastAsia="Arial" w:hAnsi="Arial"/>
          <w:sz w:val="18"/>
          <w:szCs w:val="18"/>
          <w:color w:val="auto"/>
        </w:rPr>
        <w:t>Depreciation and amortization was $34.7 million for the three months ended September 30, 2022, compared to $35.8 million for the three months ended September 30, 2021. Depreciation and amortization for the three months ended September 30, 2022 decreased by $1.1 million, or 3.0%, compared to the three months ended September 30, 2021. This decrease was partially offset by increases in depreciation related to assets placed in service during the three months ended September 30, 2022.</w:t>
      </w:r>
    </w:p>
    <w:p>
      <w:pPr>
        <w:spacing w:after="0" w:line="127"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Depreciation and amortization was $103.2 million for the nine months ended September 30, 2022, compared to $106.5 million for the nine months ended September 30, 2021. Depreciation and amortization for the nine months ended September 30, 2022 decreased by $3.3 million, or 3.1% compared to the nine months ended September 30, 2021. This decrease was partially offset by increases in depreciation related to assets placed in service during the nine months ended September 30,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0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4,706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21,875</w:t>
            </w:r>
          </w:p>
        </w:tc>
      </w:tr>
    </w:tbl>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Interest expense, net was $1.7 million for the three months ended September 30, 2022, compared to $4.7 million for the three months ended September 30, 2021. Interest expense for the three months ended September 30, 2022 decreased by $3.0 million, or 63.0%, compared to the three months ended September 30, 2021.</w:t>
      </w:r>
    </w:p>
    <w:p>
      <w:pPr>
        <w:spacing w:after="0" w:line="121"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The decrease in interest cost was primarily attributable to $4.0 million of unrealized gains on the interest rate swap as a result of the increased interest rate volatility that continued in the third quarter of 2022. This decrease was further impacted by $1.6 million of interest income earned on cash held within interest bearing accounts. These decreases were offset by higher interest expense on the Successor First Lien Credit Facility as a result of rising interest rates.</w:t>
      </w:r>
    </w:p>
    <w:p>
      <w:pPr>
        <w:spacing w:after="0" w:line="14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Interest expense, net was $4.0 million for the nine months ended September 30, 2022, compared to $21.9 million for the nine months ended September 30, 2021. Interest expense for the nine months ended September 30, 2022 decreased by $17.9 million, or 81.7%, compared to the nine months ended September 30, 2021.</w:t>
      </w:r>
    </w:p>
    <w:p>
      <w:pPr>
        <w:spacing w:after="0" w:line="14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decrease in interest cost was primarily attributable to $11.4 million of unrealized gains on the interest rate swap as a result of the increased interest rate volatility observed in 2022. This decrease was further impacted by the Company’s February 2021 refinancing of the Successor First Lien Credit Facility, early repayment of the Successor Second Lien Credit Facility, and the prepayment of $200.0 million of the Successor First Lien Credit Facility in June 2021, resulting in interest rate savings due to lower principal and more favorable interest rate margins and interest income earned on cash held within interest bearing accounts. These decreases were partially offset by higher interest expense on the Successor First Lien Credit Facility as a result of rising interest rates in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1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1000" w:type="dxa"/>
            <w:vAlign w:val="bottom"/>
            <w:tcBorders>
              <w:top w:val="single" w:sz="8" w:color="auto"/>
            </w:tcBorders>
            <w:shd w:val="clear" w:color="auto" w:fill="CFF0FC"/>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80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13,938</w:t>
            </w:r>
          </w:p>
        </w:tc>
      </w:tr>
    </w:tbl>
    <w:p>
      <w:pPr>
        <w:spacing w:after="0" w:line="148"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Loss on extinguishment of debt for the nine months ended September 30, 2021 relates to expenses stemming from the write-off of debt issuance costs associated with the February 2021 refinancing of the Successor First Lien Credit Facility.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0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6,709</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17,076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2,025</w:t>
            </w:r>
          </w:p>
        </w:tc>
      </w:tr>
    </w:tbl>
    <w:p>
      <w:pPr>
        <w:spacing w:after="0" w:line="14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Our provision for income taxes was $6.7 million for the three months ended September 30, 2022, compared to $3.4 million for the three months ended September 30, 2021. Our provision for income taxes for the three months ended September 30, 2022 increased by $3.3 million, or 97.5%, compared to the three months ended September 30, 2021.</w:t>
      </w:r>
    </w:p>
    <w:p>
      <w:pPr>
        <w:spacing w:after="0" w:line="14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increase in our provision for income taxes was primarily due to the increase of income before income taxes during the three months ended September 30, 2022, as compared to the three months ended September 30, 2021, due to higher levels of pre-tax income.</w:t>
      </w:r>
    </w:p>
    <w:p>
      <w:pPr>
        <w:spacing w:after="0" w:line="11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provision for income taxes was $17.1 million for the nine months ended September 30, 2022, compared to $2.0 million for the nine months ended September 30, 2021. Our provision for income taxes for the nine months ended September 30, 2022 increased by $15.1 million, or 743.3%, compared to the nine months ended September 30, 2021.</w:t>
      </w:r>
    </w:p>
    <w:p>
      <w:pPr>
        <w:spacing w:after="0" w:line="12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increase in our provision for income taxes was primarily due to the increase of income before income taxes during the nine months ended September 30, 2022, as compared to the nine months ended September 30, 2021, due to higher levels of pre-tax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Net Income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17,209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16,285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44,458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8"/>
                <w:szCs w:val="18"/>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 income margin</w:t>
            </w:r>
          </w:p>
        </w:tc>
        <w:tc>
          <w:tcPr>
            <w:tcW w:w="2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8.4 %</w:t>
            </w:r>
          </w:p>
        </w:tc>
        <w:tc>
          <w:tcPr>
            <w:tcW w:w="3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8.4 %</w:t>
            </w:r>
          </w:p>
        </w:tc>
        <w:tc>
          <w:tcPr>
            <w:tcW w:w="2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7.4 %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0.1 %</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Net income was $17.2 million for the three months ended September 30, 2022, compared to $16.3 million for the three months ended September 30,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the three months ended September 30, 2022 increased by $0.9 million compared to the three months ended September 30, 2021.</w:t>
      </w:r>
    </w:p>
    <w:p>
      <w:pPr>
        <w:spacing w:after="0" w:line="167"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color w:val="auto"/>
        </w:rPr>
        <w:t>Net income margin was 8.4% for the three months ended September 30, 2022, consistent with the three months ended September 30, 2021, as overall improvements in the Company’s operating results were impacted by increases in our provision for income taxes due to the increased profitability.</w:t>
      </w:r>
    </w:p>
    <w:p>
      <w:pPr>
        <w:spacing w:after="0" w:line="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income was $44.5 million for the nine months ended September 30, 2022, compared to a net income of $0.7 million for the nine months ended September 30, 2021. Net income for the nine months ended September 30, 2022 increased by $43.8 million compared to the nine months ended September 30, 2021.</w:t>
      </w:r>
    </w:p>
    <w:p>
      <w:pPr>
        <w:spacing w:after="0" w:line="121"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color w:val="auto"/>
        </w:rPr>
        <w:t>Net income margin was 7.4% for the nine months ended September 30, 2022, compared to 0.1% the nine months ended September 30, 2021. The improvement in our net income margin is attributable to our ability to leverage operating efficiencies to control our overall expenses while increasing revenues and reducing interest and other debt related expenses incurred as a result of the February 2021 refinancing.</w:t>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37" w:name="page38"/>
    <w:bookmarkEnd w:id="37"/>
    <w:p>
      <w:pPr>
        <w:ind w:left="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75"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7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Management believes that Adjusted EBITDA is a strong indicator of our overall operating performance and is useful to management and investors as a measure of comparative operating performance from period to period. We define Adjusted EBITDA as net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04" w:lineRule="exact"/>
        <w:rPr>
          <w:sz w:val="20"/>
          <w:szCs w:val="20"/>
          <w:color w:val="auto"/>
        </w:rPr>
      </w:pPr>
    </w:p>
    <w:p>
      <w:pPr>
        <w:spacing w:after="0" w:line="303" w:lineRule="auto"/>
        <w:rPr>
          <w:sz w:val="20"/>
          <w:szCs w:val="20"/>
          <w:color w:val="auto"/>
        </w:rPr>
      </w:pPr>
      <w:r>
        <w:rPr>
          <w:rFonts w:ascii="Arial" w:cs="Arial" w:eastAsia="Arial" w:hAnsi="Arial"/>
          <w:sz w:val="16"/>
          <w:szCs w:val="16"/>
          <w:color w:val="auto"/>
        </w:rPr>
        <w:t>Adjusted EBITDA was $64.2 million for the three months ended September 30, 2022 and represented an Adjusted EBITDA Margin of 31.2%. Adjusted EBITDA was $63.9 million for the three months ended September 30, 2021 and represented an Adjusted EBITDA Margin of 33.2%. Adjusted EBITDA for the three months ended September 30, 2022 increased by $0.2 million, or 0.4%, compared to the three months ended September 30, 2021.</w:t>
      </w:r>
    </w:p>
    <w:p>
      <w:pPr>
        <w:spacing w:after="0" w:line="86"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color w:val="auto"/>
        </w:rPr>
        <w:t>For the three months ended September 30, 2022, Adjusted EBITDA remained flat as revenues growth attributed to new customers and acquisitions, and cost structure benefits due to increased automation, operational efficiencies, and operating leverage were offset by increases in insurance premiums, increases in third-party data verification costs, additional investments in technology and sales, the effects of changes in foreign currencies, and lower margin revenues from our acquisitions.</w:t>
      </w:r>
    </w:p>
    <w:p>
      <w:pPr>
        <w:spacing w:after="0" w:line="127"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Adjusted EBITDA was $178.6 million for the nine months ended September 30, 2022 and represented an Adjusted EBITDA Margin of 29.9%. Adjusted EBITDA was $156.9 million for the nine months ended September 30, 2021 and represented an Adjusted EBITDA Margin of 31.4%. Adjusted EBITDA for the nine months ended September 30, 2022 increased by $21.8 million, or 13.9%, compared to the nine months ended September 30, 2021.</w:t>
      </w:r>
    </w:p>
    <w:p>
      <w:pPr>
        <w:spacing w:after="0" w:line="8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the nine months ended September 30, 2022, Adjusted EBITDA increased more significantly due to revenues growth attributed to new and existing customers, primarily driven by strength across our business during the first half of the year.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presents a reconciliation of Adjusted EBITDA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209"/>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17,209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16,285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44,458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666</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21,875</w:t>
            </w:r>
          </w:p>
        </w:tc>
      </w:tr>
      <w:tr>
        <w:trPr>
          <w:trHeight w:val="21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6,709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17,076</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2,025</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34,744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35,812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103,185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106,493</w:t>
            </w:r>
          </w:p>
        </w:tc>
      </w:tr>
      <w:tr>
        <w:trPr>
          <w:trHeight w:val="216"/>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13,938</w:t>
            </w:r>
          </w:p>
        </w:tc>
      </w:tr>
      <w:tr>
        <w:trPr>
          <w:trHeight w:val="166"/>
        </w:trPr>
        <w:tc>
          <w:tcPr>
            <w:tcW w:w="4980" w:type="dxa"/>
            <w:vAlign w:val="bottom"/>
          </w:tcPr>
          <w:p>
            <w:pPr>
              <w:ind w:left="20"/>
              <w:spacing w:after="0" w:line="166" w:lineRule="exact"/>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4"/>
                <w:szCs w:val="14"/>
                <w:color w:val="auto"/>
              </w:rPr>
            </w:pPr>
          </w:p>
        </w:tc>
        <w:tc>
          <w:tcPr>
            <w:tcW w:w="1260" w:type="dxa"/>
            <w:vAlign w:val="bottom"/>
          </w:tcPr>
          <w:p>
            <w:pPr>
              <w:jc w:val="right"/>
              <w:ind w:right="53"/>
              <w:spacing w:after="0" w:line="16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2"/>
              <w:spacing w:after="0" w:line="166" w:lineRule="exact"/>
              <w:rPr>
                <w:sz w:val="20"/>
                <w:szCs w:val="20"/>
                <w:color w:val="auto"/>
              </w:rPr>
            </w:pPr>
            <w:r>
              <w:rPr>
                <w:rFonts w:ascii="Arial" w:cs="Arial" w:eastAsia="Arial" w:hAnsi="Arial"/>
                <w:sz w:val="18"/>
                <w:szCs w:val="18"/>
                <w:color w:val="auto"/>
              </w:rPr>
              <w:t>1,343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3"/>
              <w:spacing w:after="0" w:line="166" w:lineRule="exact"/>
              <w:rPr>
                <w:sz w:val="20"/>
                <w:szCs w:val="20"/>
                <w:color w:val="auto"/>
              </w:rPr>
            </w:pPr>
            <w:r>
              <w:rPr>
                <w:rFonts w:ascii="Arial" w:cs="Arial" w:eastAsia="Arial" w:hAnsi="Arial"/>
                <w:sz w:val="18"/>
                <w:szCs w:val="18"/>
                <w:color w:val="auto"/>
              </w:rPr>
              <w:t>5,824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32"/>
              <w:spacing w:after="0" w:line="166" w:lineRule="exact"/>
              <w:rPr>
                <w:sz w:val="20"/>
                <w:szCs w:val="20"/>
                <w:color w:val="auto"/>
              </w:rPr>
            </w:pPr>
            <w:r>
              <w:rPr>
                <w:rFonts w:ascii="Arial" w:cs="Arial" w:eastAsia="Arial" w:hAnsi="Arial"/>
                <w:sz w:val="18"/>
                <w:szCs w:val="18"/>
                <w:color w:val="auto"/>
              </w:rPr>
              <w:t>4,569</w:t>
            </w:r>
          </w:p>
        </w:tc>
      </w:tr>
      <w:tr>
        <w:trPr>
          <w:trHeight w:val="216"/>
        </w:trPr>
        <w:tc>
          <w:tcPr>
            <w:tcW w:w="498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Transaction and acquisition-related charges </w:t>
            </w:r>
            <w:r>
              <w:rPr>
                <w:rFonts w:ascii="Arial" w:cs="Arial" w:eastAsia="Arial" w:hAnsi="Arial"/>
                <w:sz w:val="24"/>
                <w:szCs w:val="24"/>
                <w:color w:val="auto"/>
                <w:vertAlign w:val="superscript"/>
              </w:rPr>
              <w:t>(a)</w:t>
            </w:r>
          </w:p>
        </w:tc>
        <w:tc>
          <w:tcPr>
            <w:tcW w:w="24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6,510</w:t>
            </w:r>
          </w:p>
        </w:tc>
      </w:tr>
      <w:tr>
        <w:trPr>
          <w:trHeight w:val="266"/>
        </w:trPr>
        <w:tc>
          <w:tcPr>
            <w:tcW w:w="498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Integration, restructuring, and other charges </w:t>
            </w:r>
            <w:r>
              <w:rPr>
                <w:rFonts w:ascii="Arial" w:cs="Arial" w:eastAsia="Arial" w:hAnsi="Arial"/>
                <w:sz w:val="24"/>
                <w:szCs w:val="24"/>
                <w:color w:val="auto"/>
                <w:vertAlign w:val="superscript"/>
              </w:rPr>
              <w:t>(b)</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(508 )</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780</w:t>
            </w:r>
          </w:p>
        </w:tc>
      </w:tr>
      <w:tr>
        <w:trPr>
          <w:trHeight w:val="250"/>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64,188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63,944</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178,622</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156,856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200" w:hanging="512"/>
        <w:spacing w:after="0" w:line="247"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nine months ended September 30, 2022 includes a transaction bonus expense related to one of the Company’s 2021 acquisitions.</w:t>
      </w:r>
    </w:p>
    <w:p>
      <w:pPr>
        <w:ind w:left="520" w:right="520" w:hanging="512"/>
        <w:spacing w:after="0" w:line="275"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spacing w:after="0" w:line="1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define Adjusted EBITDA Margin as Adjusted EBITDA divided by total revenues. The following table presents the calculation of Adjusted EBITDA Margin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64,188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63,944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178,622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156,856</w:t>
            </w:r>
          </w:p>
        </w:tc>
        <w:tc>
          <w:tcPr>
            <w:tcW w:w="80" w:type="dxa"/>
            <w:vAlign w:val="bottom"/>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205,986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192,867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597,428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499,763</w:t>
            </w:r>
          </w:p>
        </w:tc>
        <w:tc>
          <w:tcPr>
            <w:tcW w:w="80" w:type="dxa"/>
            <w:vAlign w:val="bottom"/>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31.2 %</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33.2 %</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29.9 %</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Adjusted EBITDA and Adjusted EBITDA Margin by segment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49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4900" w:type="dxa"/>
            <w:vAlign w:val="bottom"/>
            <w:shd w:val="clear" w:color="auto" w:fill="CFF0FC"/>
          </w:tcPr>
          <w:p>
            <w:pPr>
              <w:ind w:left="20"/>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57,205</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53,223</w:t>
            </w:r>
          </w:p>
        </w:tc>
        <w:tc>
          <w:tcPr>
            <w:tcW w:w="1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156,978</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136,278</w:t>
            </w: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6,983</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21,644</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20,578</w:t>
            </w:r>
          </w:p>
        </w:tc>
        <w:tc>
          <w:tcPr>
            <w:tcW w:w="80" w:type="dxa"/>
            <w:vAlign w:val="bottom"/>
          </w:tcPr>
          <w:p>
            <w:pPr>
              <w:spacing w:after="0"/>
              <w:rPr>
                <w:sz w:val="18"/>
                <w:szCs w:val="18"/>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64,188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63,944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178,622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156,856</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176,091</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158,972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506,770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421,795</w:t>
            </w:r>
          </w:p>
        </w:tc>
        <w:tc>
          <w:tcPr>
            <w:tcW w:w="80" w:type="dxa"/>
            <w:vAlign w:val="bottom"/>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31,628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35,595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96,413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82,237</w:t>
            </w: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intersegment eliminations</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(1,733 )</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(1,700 )</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(5,755 )</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(4,269 )</w:t>
            </w:r>
          </w:p>
        </w:tc>
        <w:tc>
          <w:tcPr>
            <w:tcW w:w="80" w:type="dxa"/>
            <w:vAlign w:val="bottom"/>
          </w:tcPr>
          <w:p>
            <w:pPr>
              <w:spacing w:after="0"/>
              <w:rPr>
                <w:sz w:val="18"/>
                <w:szCs w:val="18"/>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205,986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192,867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597,428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499,763</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32.5 %</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33.5 %</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31.0 %</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32.3 %</w:t>
            </w: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22.1 %</w:t>
            </w: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30.1 %</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22.4 %</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25.0 %</w:t>
            </w: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31.2 %</w:t>
            </w: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33.2 %</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29.9 %</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-1713865</wp:posOffset>
            </wp:positionV>
            <wp:extent cx="6858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-1713865</wp:posOffset>
            </wp:positionV>
            <wp:extent cx="6858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-1713865</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-856615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-856615</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-856615</wp:posOffset>
            </wp:positionV>
            <wp:extent cx="685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3" w:lineRule="exact"/>
        <w:rPr>
          <w:sz w:val="20"/>
          <w:szCs w:val="20"/>
          <w:color w:val="auto"/>
        </w:rPr>
      </w:pPr>
    </w:p>
    <w:p>
      <w:pPr>
        <w:ind w:left="520" w:right="400" w:hanging="512"/>
        <w:spacing w:after="0" w:line="273"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See the reconciliation of net income to Adjusted EBITDA above. Segment Adjusted EBITDA margins are calculated using segment gross revenues and segment Adjusted EBITDA. Consolidated Adjusted EBITDA margin is calculated using consolidated revenues and consolidated Adjusted EBITDA.</w:t>
      </w:r>
    </w:p>
    <w:p>
      <w:pPr>
        <w:spacing w:after="0" w:line="34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28"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Adjusted Net Income and Adjusted Diluted Earnings Per Share</w:t>
      </w:r>
    </w:p>
    <w:p>
      <w:pPr>
        <w:spacing w:after="0" w:line="17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4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Adjusted Net Income was $40.0 million for the three months ended September 30, 2022, compared to $42.2 million for the three months ended September 30, 2021. Adjusted Net Income for the three months ended September 30, 2022 decreased by $2.2 million, or 5.1%, compared to the three months ended September 30, 2021.</w:t>
      </w:r>
    </w:p>
    <w:p>
      <w:pPr>
        <w:spacing w:after="0" w:line="12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Adjusted Diluted Earnings Per Share was $0.26 for the three months ended September 30, 2022 decreased by $0.02, or 7.1% compared to the three months ended September 30, 2021.</w:t>
      </w:r>
    </w:p>
    <w:p>
      <w:pPr>
        <w:spacing w:after="0" w:line="10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Adjusted Net Income was $111.5 million for the nine months ended September 30, 2022, compared to $95.9 million for the nine months ended September 30, 2021. Adjusted Net Income for the nine months ended September 30, 2022 increased by $15.6 million, or 16.3%, compared to the nine months ended September 30, 2021.</w:t>
      </w:r>
    </w:p>
    <w:p>
      <w:pPr>
        <w:spacing w:after="0" w:line="121"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Adjusted Diluted Earnings Per Share was $0.73 for the nine months ended September 30, 2022, compared to $0.69 for the nine months ended September 30, 2021. Adjusted Diluted Earnings Per Share for the nine months ended September 30, 2022 increased by $0.04, or 5.8% compared to the nine months ended September 30, 2021.</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Adjusted Net Income and Adjusted Diluted Earnings Per Share were impacted by changes in acquisition-related depreciation and amortization and changes in our capital structure that are captured in interest expense, the impacts of which were offset by the factors contributing to Adjusted EBITDA growth. The prepayment of the Company’s Successor First Lien and Successor Second Lien debt and gains or losses on the Company’s interest rate swaps impact the comparability of Adjusted Net Income and Adjusted Diluted Earnings Per Share across historical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Adjusted Net Income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6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r>
      <w:tr>
        <w:trPr>
          <w:trHeight w:val="210"/>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17,209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16,285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44,458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666</w:t>
            </w: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6,709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17,076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2,025</w:t>
            </w:r>
          </w:p>
        </w:tc>
      </w:tr>
      <w:tr>
        <w:trPr>
          <w:trHeight w:val="160"/>
        </w:trPr>
        <w:tc>
          <w:tcPr>
            <w:tcW w:w="4980" w:type="dxa"/>
            <w:vAlign w:val="bottom"/>
          </w:tcPr>
          <w:p>
            <w:pPr>
              <w:ind w:left="20"/>
              <w:spacing w:after="0" w:line="160" w:lineRule="exact"/>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spacing w:after="0"/>
              <w:rPr>
                <w:sz w:val="13"/>
                <w:szCs w:val="13"/>
                <w:color w:val="auto"/>
              </w:rPr>
            </w:pPr>
          </w:p>
        </w:tc>
        <w:tc>
          <w:tcPr>
            <w:tcW w:w="1260" w:type="dxa"/>
            <w:vAlign w:val="bottom"/>
          </w:tcPr>
          <w:p>
            <w:pPr>
              <w:jc w:val="right"/>
              <w:ind w:right="53"/>
              <w:spacing w:after="0" w:line="160" w:lineRule="exact"/>
              <w:rPr>
                <w:sz w:val="20"/>
                <w:szCs w:val="20"/>
                <w:color w:val="auto"/>
              </w:rPr>
            </w:pPr>
            <w:r>
              <w:rPr>
                <w:rFonts w:ascii="Arial" w:cs="Arial" w:eastAsia="Arial" w:hAnsi="Arial"/>
                <w:sz w:val="18"/>
                <w:szCs w:val="18"/>
                <w:color w:val="auto"/>
              </w:rPr>
              <w:t>23,918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32"/>
              <w:spacing w:after="0" w:line="160" w:lineRule="exact"/>
              <w:rPr>
                <w:sz w:val="20"/>
                <w:szCs w:val="20"/>
                <w:color w:val="auto"/>
              </w:rPr>
            </w:pPr>
            <w:r>
              <w:rPr>
                <w:rFonts w:ascii="Arial" w:cs="Arial" w:eastAsia="Arial" w:hAnsi="Arial"/>
                <w:sz w:val="18"/>
                <w:szCs w:val="18"/>
                <w:color w:val="auto"/>
              </w:rPr>
              <w:t>19,682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3"/>
              <w:spacing w:after="0" w:line="160" w:lineRule="exact"/>
              <w:rPr>
                <w:sz w:val="20"/>
                <w:szCs w:val="20"/>
                <w:color w:val="auto"/>
              </w:rPr>
            </w:pPr>
            <w:r>
              <w:rPr>
                <w:rFonts w:ascii="Arial" w:cs="Arial" w:eastAsia="Arial" w:hAnsi="Arial"/>
                <w:sz w:val="18"/>
                <w:szCs w:val="18"/>
                <w:color w:val="auto"/>
              </w:rPr>
              <w:t>61,534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32"/>
              <w:spacing w:after="0" w:line="160" w:lineRule="exact"/>
              <w:rPr>
                <w:sz w:val="20"/>
                <w:szCs w:val="20"/>
                <w:color w:val="auto"/>
              </w:rPr>
            </w:pPr>
            <w:r>
              <w:rPr>
                <w:rFonts w:ascii="Arial" w:cs="Arial" w:eastAsia="Arial" w:hAnsi="Arial"/>
                <w:sz w:val="18"/>
                <w:szCs w:val="18"/>
                <w:color w:val="auto"/>
              </w:rPr>
              <w:t>2,691</w:t>
            </w:r>
          </w:p>
        </w:tc>
      </w:tr>
      <w:tr>
        <w:trPr>
          <w:trHeight w:val="216"/>
        </w:trPr>
        <w:tc>
          <w:tcPr>
            <w:tcW w:w="4980" w:type="dxa"/>
            <w:vAlign w:val="bottom"/>
          </w:tcPr>
          <w:p>
            <w:pPr>
              <w:ind w:left="20"/>
              <w:spacing w:after="0" w:line="216" w:lineRule="exact"/>
              <w:rPr>
                <w:sz w:val="20"/>
                <w:szCs w:val="20"/>
                <w:color w:val="auto"/>
              </w:rPr>
            </w:pPr>
            <w:r>
              <w:rPr>
                <w:rFonts w:ascii="Arial" w:cs="Arial" w:eastAsia="Arial" w:hAnsi="Arial"/>
                <w:sz w:val="18"/>
                <w:szCs w:val="18"/>
                <w:color w:val="auto"/>
              </w:rPr>
              <w:t>Debt-related charges</w:t>
            </w:r>
            <w:r>
              <w:rPr>
                <w:rFonts w:ascii="Arial" w:cs="Arial" w:eastAsia="Arial" w:hAnsi="Arial"/>
                <w:sz w:val="24"/>
                <w:szCs w:val="24"/>
                <w:color w:val="auto"/>
                <w:vertAlign w:val="superscript"/>
              </w:rPr>
              <w:t>(a)</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(3,545 )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(10,029 )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19,703</w:t>
            </w:r>
          </w:p>
        </w:tc>
      </w:tr>
      <w:tr>
        <w:trPr>
          <w:trHeight w:val="266"/>
        </w:trPr>
        <w:tc>
          <w:tcPr>
            <w:tcW w:w="4980" w:type="dxa"/>
            <w:vAlign w:val="bottom"/>
          </w:tcPr>
          <w:p>
            <w:pPr>
              <w:ind w:left="20"/>
              <w:spacing w:after="0" w:line="266" w:lineRule="exact"/>
              <w:rPr>
                <w:sz w:val="20"/>
                <w:szCs w:val="20"/>
                <w:color w:val="auto"/>
              </w:rPr>
            </w:pPr>
            <w:r>
              <w:rPr>
                <w:rFonts w:ascii="Arial" w:cs="Arial" w:eastAsia="Arial" w:hAnsi="Arial"/>
                <w:sz w:val="18"/>
                <w:szCs w:val="18"/>
                <w:color w:val="auto"/>
              </w:rPr>
              <w:t>Acquisition-related depreciation and amortization</w:t>
            </w:r>
            <w:r>
              <w:rPr>
                <w:rFonts w:ascii="Arial" w:cs="Arial" w:eastAsia="Arial" w:hAnsi="Arial"/>
                <w:sz w:val="24"/>
                <w:szCs w:val="24"/>
                <w:color w:val="auto"/>
                <w:vertAlign w:val="superscript"/>
              </w:rPr>
              <w:t>(b)</w:t>
            </w:r>
          </w:p>
        </w:tc>
        <w:tc>
          <w:tcPr>
            <w:tcW w:w="240" w:type="dxa"/>
            <w:vAlign w:val="bottom"/>
          </w:tcPr>
          <w:p>
            <w:pPr>
              <w:spacing w:after="0"/>
              <w:rPr>
                <w:sz w:val="23"/>
                <w:szCs w:val="23"/>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28,927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31,749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87,071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95,047</w:t>
            </w:r>
          </w:p>
        </w:tc>
      </w:tr>
      <w:tr>
        <w:trPr>
          <w:trHeight w:val="166"/>
        </w:trPr>
        <w:tc>
          <w:tcPr>
            <w:tcW w:w="4980" w:type="dxa"/>
            <w:vAlign w:val="bottom"/>
          </w:tcPr>
          <w:p>
            <w:pPr>
              <w:ind w:left="20"/>
              <w:spacing w:after="0" w:line="166" w:lineRule="exact"/>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4"/>
                <w:szCs w:val="14"/>
                <w:color w:val="auto"/>
              </w:rPr>
            </w:pPr>
          </w:p>
        </w:tc>
        <w:tc>
          <w:tcPr>
            <w:tcW w:w="1260" w:type="dxa"/>
            <w:vAlign w:val="bottom"/>
          </w:tcPr>
          <w:p>
            <w:pPr>
              <w:jc w:val="right"/>
              <w:ind w:right="53"/>
              <w:spacing w:after="0" w:line="166"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32"/>
              <w:spacing w:after="0" w:line="166" w:lineRule="exact"/>
              <w:rPr>
                <w:sz w:val="20"/>
                <w:szCs w:val="20"/>
                <w:color w:val="auto"/>
              </w:rPr>
            </w:pPr>
            <w:r>
              <w:rPr>
                <w:rFonts w:ascii="Arial" w:cs="Arial" w:eastAsia="Arial" w:hAnsi="Arial"/>
                <w:sz w:val="18"/>
                <w:szCs w:val="18"/>
                <w:color w:val="auto"/>
              </w:rPr>
              <w:t>1,343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3"/>
              <w:spacing w:after="0" w:line="166" w:lineRule="exact"/>
              <w:rPr>
                <w:sz w:val="20"/>
                <w:szCs w:val="20"/>
                <w:color w:val="auto"/>
              </w:rPr>
            </w:pPr>
            <w:r>
              <w:rPr>
                <w:rFonts w:ascii="Arial" w:cs="Arial" w:eastAsia="Arial" w:hAnsi="Arial"/>
                <w:sz w:val="18"/>
                <w:szCs w:val="18"/>
                <w:color w:val="auto"/>
              </w:rPr>
              <w:t>5,824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32"/>
              <w:spacing w:after="0" w:line="166" w:lineRule="exact"/>
              <w:rPr>
                <w:sz w:val="20"/>
                <w:szCs w:val="20"/>
                <w:color w:val="auto"/>
              </w:rPr>
            </w:pPr>
            <w:r>
              <w:rPr>
                <w:rFonts w:ascii="Arial" w:cs="Arial" w:eastAsia="Arial" w:hAnsi="Arial"/>
                <w:sz w:val="18"/>
                <w:szCs w:val="18"/>
                <w:color w:val="auto"/>
              </w:rPr>
              <w:t>4,569</w:t>
            </w:r>
          </w:p>
        </w:tc>
      </w:tr>
      <w:tr>
        <w:trPr>
          <w:trHeight w:val="216"/>
        </w:trPr>
        <w:tc>
          <w:tcPr>
            <w:tcW w:w="4980" w:type="dxa"/>
            <w:vAlign w:val="bottom"/>
          </w:tcPr>
          <w:p>
            <w:pPr>
              <w:ind w:left="20"/>
              <w:spacing w:after="0" w:line="216" w:lineRule="exact"/>
              <w:rPr>
                <w:sz w:val="20"/>
                <w:szCs w:val="20"/>
                <w:color w:val="auto"/>
              </w:rPr>
            </w:pPr>
            <w:r>
              <w:rPr>
                <w:rFonts w:ascii="Arial" w:cs="Arial" w:eastAsia="Arial" w:hAnsi="Arial"/>
                <w:sz w:val="18"/>
                <w:szCs w:val="18"/>
                <w:color w:val="auto"/>
              </w:rPr>
              <w:t>Transaction and acquisition-related charges</w:t>
            </w:r>
            <w:r>
              <w:rPr>
                <w:rFonts w:ascii="Arial" w:cs="Arial" w:eastAsia="Arial" w:hAnsi="Arial"/>
                <w:sz w:val="24"/>
                <w:szCs w:val="24"/>
                <w:color w:val="auto"/>
                <w:vertAlign w:val="superscript"/>
              </w:rPr>
              <w:t>(c)</w:t>
            </w:r>
          </w:p>
        </w:tc>
        <w:tc>
          <w:tcPr>
            <w:tcW w:w="240" w:type="dxa"/>
            <w:vAlign w:val="bottom"/>
          </w:tcPr>
          <w:p>
            <w:pPr>
              <w:spacing w:after="0"/>
              <w:rPr>
                <w:sz w:val="18"/>
                <w:szCs w:val="18"/>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6,510</w:t>
            </w:r>
          </w:p>
        </w:tc>
      </w:tr>
      <w:tr>
        <w:trPr>
          <w:trHeight w:val="266"/>
        </w:trPr>
        <w:tc>
          <w:tcPr>
            <w:tcW w:w="498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Integration, restructuring, and other charges </w:t>
            </w:r>
            <w:r>
              <w:rPr>
                <w:rFonts w:ascii="Arial" w:cs="Arial" w:eastAsia="Arial" w:hAnsi="Arial"/>
                <w:sz w:val="24"/>
                <w:szCs w:val="24"/>
                <w:color w:val="auto"/>
                <w:vertAlign w:val="superscript"/>
              </w:rPr>
              <w:t>(d)</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(508 )</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780</w:t>
            </w:r>
          </w:p>
        </w:tc>
      </w:tr>
      <w:tr>
        <w:trPr>
          <w:trHeight w:val="160"/>
        </w:trPr>
        <w:tc>
          <w:tcPr>
            <w:tcW w:w="4980" w:type="dxa"/>
            <w:vAlign w:val="bottom"/>
          </w:tcPr>
          <w:p>
            <w:pPr>
              <w:ind w:left="20"/>
              <w:spacing w:after="0" w:line="160" w:lineRule="exact"/>
              <w:rPr>
                <w:sz w:val="20"/>
                <w:szCs w:val="20"/>
                <w:color w:val="auto"/>
              </w:rPr>
            </w:pPr>
            <w:r>
              <w:rPr>
                <w:rFonts w:ascii="Arial" w:cs="Arial" w:eastAsia="Arial" w:hAnsi="Arial"/>
                <w:sz w:val="18"/>
                <w:szCs w:val="18"/>
                <w:color w:val="auto"/>
              </w:rPr>
              <w:t>Adjusted Net Income before income tax effect</w:t>
            </w:r>
          </w:p>
        </w:tc>
        <w:tc>
          <w:tcPr>
            <w:tcW w:w="240" w:type="dxa"/>
            <w:vAlign w:val="bottom"/>
          </w:tcPr>
          <w:p>
            <w:pPr>
              <w:spacing w:after="0"/>
              <w:rPr>
                <w:sz w:val="13"/>
                <w:szCs w:val="13"/>
                <w:color w:val="auto"/>
              </w:rPr>
            </w:pPr>
          </w:p>
        </w:tc>
        <w:tc>
          <w:tcPr>
            <w:tcW w:w="1260" w:type="dxa"/>
            <w:vAlign w:val="bottom"/>
          </w:tcPr>
          <w:p>
            <w:pPr>
              <w:jc w:val="right"/>
              <w:ind w:right="53"/>
              <w:spacing w:after="0" w:line="160" w:lineRule="exact"/>
              <w:rPr>
                <w:sz w:val="20"/>
                <w:szCs w:val="20"/>
                <w:color w:val="auto"/>
              </w:rPr>
            </w:pPr>
            <w:r>
              <w:rPr>
                <w:rFonts w:ascii="Arial" w:cs="Arial" w:eastAsia="Arial" w:hAnsi="Arial"/>
                <w:sz w:val="18"/>
                <w:szCs w:val="18"/>
                <w:color w:val="auto"/>
              </w:rPr>
              <w:t>53,086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32"/>
              <w:spacing w:after="0" w:line="160" w:lineRule="exact"/>
              <w:rPr>
                <w:sz w:val="20"/>
                <w:szCs w:val="20"/>
                <w:color w:val="auto"/>
              </w:rPr>
            </w:pPr>
            <w:r>
              <w:rPr>
                <w:rFonts w:ascii="Arial" w:cs="Arial" w:eastAsia="Arial" w:hAnsi="Arial"/>
                <w:sz w:val="18"/>
                <w:szCs w:val="18"/>
                <w:color w:val="auto"/>
              </w:rPr>
              <w:t>55,612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3"/>
              <w:spacing w:after="0" w:line="160" w:lineRule="exact"/>
              <w:rPr>
                <w:sz w:val="20"/>
                <w:szCs w:val="20"/>
                <w:color w:val="auto"/>
              </w:rPr>
            </w:pPr>
            <w:r>
              <w:rPr>
                <w:rFonts w:ascii="Arial" w:cs="Arial" w:eastAsia="Arial" w:hAnsi="Arial"/>
                <w:sz w:val="18"/>
                <w:szCs w:val="18"/>
                <w:color w:val="auto"/>
              </w:rPr>
              <w:t>148,477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32"/>
              <w:spacing w:after="0" w:line="160" w:lineRule="exact"/>
              <w:rPr>
                <w:sz w:val="20"/>
                <w:szCs w:val="20"/>
                <w:color w:val="auto"/>
              </w:rPr>
            </w:pPr>
            <w:r>
              <w:rPr>
                <w:rFonts w:ascii="Arial" w:cs="Arial" w:eastAsia="Arial" w:hAnsi="Arial"/>
                <w:sz w:val="18"/>
                <w:szCs w:val="18"/>
                <w:color w:val="auto"/>
              </w:rPr>
              <w:t>129,300</w:t>
            </w:r>
          </w:p>
        </w:tc>
      </w:tr>
      <w:tr>
        <w:trPr>
          <w:trHeight w:val="266"/>
        </w:trPr>
        <w:tc>
          <w:tcPr>
            <w:tcW w:w="4980" w:type="dxa"/>
            <w:vAlign w:val="bottom"/>
          </w:tcPr>
          <w:p>
            <w:pPr>
              <w:ind w:left="20"/>
              <w:spacing w:after="0" w:line="266" w:lineRule="exact"/>
              <w:rPr>
                <w:sz w:val="20"/>
                <w:szCs w:val="20"/>
                <w:color w:val="auto"/>
              </w:rPr>
            </w:pPr>
            <w:r>
              <w:rPr>
                <w:rFonts w:ascii="Arial" w:cs="Arial" w:eastAsia="Arial" w:hAnsi="Arial"/>
                <w:sz w:val="18"/>
                <w:szCs w:val="18"/>
                <w:color w:val="auto"/>
              </w:rPr>
              <w:t>Less: Income tax effect</w:t>
            </w:r>
            <w:r>
              <w:rPr>
                <w:rFonts w:ascii="Arial" w:cs="Arial" w:eastAsia="Arial" w:hAnsi="Arial"/>
                <w:sz w:val="24"/>
                <w:szCs w:val="24"/>
                <w:color w:val="auto"/>
                <w:vertAlign w:val="superscript"/>
              </w:rPr>
              <w:t>(e)</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13,083</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13,443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36,971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33,431</w:t>
            </w:r>
          </w:p>
        </w:tc>
      </w:tr>
      <w:tr>
        <w:trPr>
          <w:trHeight w:val="250"/>
        </w:trPr>
        <w:tc>
          <w:tcPr>
            <w:tcW w:w="4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40,003</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42,169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111,506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95,869</w:t>
            </w:r>
          </w:p>
        </w:tc>
      </w:tr>
      <w:tr>
        <w:trPr>
          <w:trHeight w:val="399"/>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7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1"/>
        </w:trPr>
        <w:tc>
          <w:tcPr>
            <w:tcW w:w="4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-367665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-350520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-367665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-350520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-367665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-350520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0" w:name="page41"/>
    <w:bookmarkEnd w:id="40"/>
    <w:p>
      <w:pPr>
        <w:jc w:val="both"/>
        <w:ind w:right="40"/>
        <w:spacing w:after="0" w:line="256" w:lineRule="auto"/>
        <w:rPr>
          <w:sz w:val="20"/>
          <w:szCs w:val="20"/>
          <w:color w:val="auto"/>
        </w:rPr>
      </w:pPr>
      <w:r>
        <w:rPr>
          <w:rFonts w:ascii="Arial" w:cs="Arial" w:eastAsia="Arial" w:hAnsi="Arial"/>
          <w:sz w:val="18"/>
          <w:szCs w:val="18"/>
          <w:color w:val="auto"/>
        </w:rPr>
        <w:t>The following table presents the calculation of Adjusted Diluted Earnings Per Share for the periods presented. Prior to the IPO, the equity awards under the Successor Plan were issued by the Company’s Parent. As a result, these awards are not considered equity awards issued by the Company, and therefore, not included in the calculation of adjusted weighted average number of shares outstanding—diluted.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net income per share (GAAP)</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Adjusted Net Income adjustments per share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Debt-related charges </w:t>
            </w:r>
            <w:r>
              <w:rPr>
                <w:rFonts w:ascii="Arial" w:cs="Arial" w:eastAsia="Arial" w:hAnsi="Arial"/>
                <w:sz w:val="24"/>
                <w:szCs w:val="24"/>
                <w:color w:val="auto"/>
                <w:vertAlign w:val="superscript"/>
              </w:rPr>
              <w:t>(a)</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line="216" w:lineRule="exact"/>
              <w:rPr>
                <w:sz w:val="20"/>
                <w:szCs w:val="20"/>
                <w:color w:val="auto"/>
              </w:rPr>
            </w:pPr>
            <w:r>
              <w:rPr>
                <w:rFonts w:ascii="Arial" w:cs="Arial" w:eastAsia="Arial" w:hAnsi="Arial"/>
                <w:sz w:val="18"/>
                <w:szCs w:val="18"/>
                <w:color w:val="auto"/>
              </w:rPr>
              <w:t xml:space="preserve">Acquisition-related depreciation and amortization </w:t>
            </w:r>
            <w:r>
              <w:rPr>
                <w:rFonts w:ascii="Arial" w:cs="Arial" w:eastAsia="Arial" w:hAnsi="Arial"/>
                <w:sz w:val="24"/>
                <w:szCs w:val="24"/>
                <w:color w:val="auto"/>
                <w:vertAlign w:val="superscript"/>
              </w:rPr>
              <w:t>(b)</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200"/>
              <w:spacing w:after="0" w:line="216" w:lineRule="exact"/>
              <w:rPr>
                <w:sz w:val="20"/>
                <w:szCs w:val="20"/>
                <w:color w:val="auto"/>
              </w:rPr>
            </w:pPr>
            <w:r>
              <w:rPr>
                <w:rFonts w:ascii="Arial" w:cs="Arial" w:eastAsia="Arial" w:hAnsi="Arial"/>
                <w:sz w:val="18"/>
                <w:szCs w:val="18"/>
                <w:color w:val="auto"/>
              </w:rPr>
              <w:t xml:space="preserve">Transaction and acquisition related charges </w:t>
            </w:r>
            <w:r>
              <w:rPr>
                <w:rFonts w:ascii="Arial" w:cs="Arial" w:eastAsia="Arial" w:hAnsi="Arial"/>
                <w:sz w:val="24"/>
                <w:szCs w:val="24"/>
                <w:color w:val="auto"/>
                <w:vertAlign w:val="superscript"/>
              </w:rPr>
              <w:t>(c)</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16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Integration, restructuring, and other charges </w:t>
            </w:r>
            <w:r>
              <w:rPr>
                <w:rFonts w:ascii="Arial" w:cs="Arial" w:eastAsia="Arial" w:hAnsi="Arial"/>
                <w:sz w:val="24"/>
                <w:szCs w:val="24"/>
                <w:color w:val="auto"/>
                <w:vertAlign w:val="superscript"/>
              </w:rPr>
              <w:t>(d)</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0"/>
              <w:spacing w:after="0" w:line="216" w:lineRule="exact"/>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4"/>
                <w:szCs w:val="24"/>
                <w:color w:val="auto"/>
                <w:vertAlign w:val="superscript"/>
              </w:rPr>
              <w:t>(e)</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09"/>
        </w:trPr>
        <w:tc>
          <w:tcPr>
            <w:tcW w:w="5160" w:type="dxa"/>
            <w:vAlign w:val="bottom"/>
          </w:tcPr>
          <w:p>
            <w:pPr>
              <w:ind w:left="380"/>
              <w:spacing w:after="0"/>
              <w:rPr>
                <w:sz w:val="20"/>
                <w:szCs w:val="20"/>
                <w:color w:val="auto"/>
              </w:rPr>
            </w:pPr>
            <w:r>
              <w:rPr>
                <w:rFonts w:ascii="Arial" w:cs="Arial" w:eastAsia="Arial" w:hAnsi="Arial"/>
                <w:sz w:val="18"/>
                <w:szCs w:val="18"/>
                <w:b w:val="1"/>
                <w:bCs w:val="1"/>
                <w:color w:val="auto"/>
              </w:rPr>
              <w:t>Adjusted Diluted Earnings Per Share (Non-GAAP)</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0.26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b w:val="1"/>
                <w:bCs w:val="1"/>
                <w:color w:val="auto"/>
              </w:rPr>
              <w:t>0.28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b w:val="1"/>
                <w:bCs w:val="1"/>
                <w:color w:val="auto"/>
              </w:rPr>
              <w:t>0.73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b w:val="1"/>
                <w:bCs w:val="1"/>
                <w:color w:val="auto"/>
              </w:rPr>
              <w:t>0.69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line="175" w:lineRule="exact"/>
              <w:rPr>
                <w:sz w:val="20"/>
                <w:szCs w:val="20"/>
                <w:color w:val="auto"/>
              </w:rPr>
            </w:pPr>
            <w:r>
              <w:rPr>
                <w:rFonts w:ascii="Arial" w:cs="Arial" w:eastAsia="Arial" w:hAnsi="Arial"/>
                <w:sz w:val="18"/>
                <w:szCs w:val="18"/>
                <w:color w:val="auto"/>
              </w:rPr>
              <w:t>Weighted average number of shares outstanding used in</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computation of Adjusted Diluted Earnings Per Share:</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Weighted average number of shares outstanding—diluted</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(GAAP)</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152,357,307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152,400,419</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152,375,212</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138,170,488</w:t>
            </w:r>
          </w:p>
        </w:tc>
        <w:tc>
          <w:tcPr>
            <w:tcW w:w="0" w:type="dxa"/>
            <w:vAlign w:val="bottom"/>
          </w:tcPr>
          <w:p>
            <w:pPr>
              <w:spacing w:after="0"/>
              <w:rPr>
                <w:sz w:val="1"/>
                <w:szCs w:val="1"/>
                <w:color w:val="auto"/>
              </w:rPr>
            </w:pPr>
          </w:p>
        </w:tc>
      </w:tr>
      <w:tr>
        <w:trPr>
          <w:trHeight w:val="175"/>
        </w:trPr>
        <w:tc>
          <w:tcPr>
            <w:tcW w:w="5160" w:type="dxa"/>
            <w:vAlign w:val="bottom"/>
          </w:tcPr>
          <w:p>
            <w:pPr>
              <w:ind w:left="200"/>
              <w:spacing w:after="0" w:line="175" w:lineRule="exact"/>
              <w:rPr>
                <w:sz w:val="20"/>
                <w:szCs w:val="20"/>
                <w:color w:val="auto"/>
              </w:rPr>
            </w:pPr>
            <w:r>
              <w:rPr>
                <w:rFonts w:ascii="Arial" w:cs="Arial" w:eastAsia="Arial" w:hAnsi="Arial"/>
                <w:sz w:val="18"/>
                <w:szCs w:val="18"/>
                <w:color w:val="auto"/>
              </w:rPr>
              <w:t>Options and restricted stock not included in weighted average</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0"/>
              <w:spacing w:after="0" w:line="189" w:lineRule="exact"/>
              <w:rPr>
                <w:sz w:val="20"/>
                <w:szCs w:val="20"/>
                <w:color w:val="auto"/>
              </w:rPr>
            </w:pPr>
            <w:r>
              <w:rPr>
                <w:rFonts w:ascii="Arial" w:cs="Arial" w:eastAsia="Arial" w:hAnsi="Arial"/>
                <w:sz w:val="18"/>
                <w:szCs w:val="18"/>
                <w:color w:val="auto"/>
              </w:rPr>
              <w:t>number of shares outstanding—diluted (GAAP) (using</w:t>
            </w:r>
          </w:p>
        </w:tc>
        <w:tc>
          <w:tcPr>
            <w:tcW w:w="220" w:type="dxa"/>
            <w:vAlign w:val="bottom"/>
          </w:tcPr>
          <w:p>
            <w:pPr>
              <w:spacing w:after="0"/>
              <w:rPr>
                <w:sz w:val="16"/>
                <w:szCs w:val="16"/>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60" w:type="dxa"/>
            <w:vAlign w:val="bottom"/>
          </w:tcPr>
          <w:p>
            <w:pPr>
              <w:ind w:left="200"/>
              <w:spacing w:after="0"/>
              <w:rPr>
                <w:sz w:val="20"/>
                <w:szCs w:val="20"/>
                <w:color w:val="auto"/>
              </w:rPr>
            </w:pPr>
            <w:r>
              <w:rPr>
                <w:rFonts w:ascii="Arial" w:cs="Arial" w:eastAsia="Arial" w:hAnsi="Arial"/>
                <w:sz w:val="18"/>
                <w:szCs w:val="18"/>
                <w:color w:val="auto"/>
              </w:rPr>
              <w:t>treasury stock method)</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60" w:type="dxa"/>
            <w:vAlign w:val="bottom"/>
            <w:shd w:val="clear" w:color="auto" w:fill="CFF0FC"/>
          </w:tcPr>
          <w:p>
            <w:pPr>
              <w:ind w:left="200"/>
              <w:spacing w:after="0" w:line="168" w:lineRule="exact"/>
              <w:rPr>
                <w:sz w:val="20"/>
                <w:szCs w:val="20"/>
                <w:color w:val="auto"/>
              </w:rPr>
            </w:pPr>
            <w:r>
              <w:rPr>
                <w:rFonts w:ascii="Arial" w:cs="Arial" w:eastAsia="Arial" w:hAnsi="Arial"/>
                <w:sz w:val="18"/>
                <w:szCs w:val="18"/>
                <w:color w:val="auto"/>
              </w:rPr>
              <w:t>Adjusted weighted average number of shares outstanding—</w:t>
            </w:r>
          </w:p>
        </w:tc>
        <w:tc>
          <w:tcPr>
            <w:tcW w:w="22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152,357,307</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152,400,419</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152,375,212</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138,170,488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shd w:val="clear" w:color="auto" w:fill="CFF0FC"/>
          </w:tcPr>
          <w:p>
            <w:pPr>
              <w:ind w:left="200"/>
              <w:spacing w:after="0" w:line="190" w:lineRule="exact"/>
              <w:rPr>
                <w:sz w:val="20"/>
                <w:szCs w:val="20"/>
                <w:color w:val="auto"/>
              </w:rPr>
            </w:pPr>
            <w:r>
              <w:rPr>
                <w:rFonts w:ascii="Arial" w:cs="Arial" w:eastAsia="Arial" w:hAnsi="Arial"/>
                <w:sz w:val="18"/>
                <w:szCs w:val="18"/>
                <w:color w:val="auto"/>
              </w:rPr>
              <w:t>diluted (Non-GAAP)</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-1456690</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-1456690</wp:posOffset>
            </wp:positionV>
            <wp:extent cx="685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-1456690</wp:posOffset>
            </wp:positionV>
            <wp:extent cx="6858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80" w:hanging="512"/>
        <w:spacing w:after="0" w:line="270" w:lineRule="auto"/>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the loss on extinguishment of debt and non-cash interest expense related to the amortization of debt issuance costs for the 2021 February refinancing and repayment of the Company’s Successor First Lien Credit Facility (as defined below) and Successor Second Lien Credit Facility (as defined below), respectively. Beginning in 2022, this adjustment also includes the impact of the change in fair value of interest rate swaps. This adjustment, which represents the fair value gains or losses on the interest rate swaps, was added as a result of the increased interest rate volatility observed in 2022. The Company determined that the impact to the previous year, ($0.1) million and $0.8 million for the three and nine months ended September 30, 2021, respectively, was not significant and therefore, the previously reported amounts will not be recast.</w:t>
      </w:r>
    </w:p>
    <w:p>
      <w:pPr>
        <w:spacing w:after="0" w:line="2" w:lineRule="exact"/>
        <w:rPr>
          <w:rFonts w:ascii="Arial" w:cs="Arial" w:eastAsia="Arial" w:hAnsi="Arial"/>
          <w:sz w:val="13"/>
          <w:szCs w:val="13"/>
          <w:color w:val="auto"/>
        </w:rPr>
      </w:pPr>
    </w:p>
    <w:p>
      <w:pPr>
        <w:ind w:left="520" w:hanging="512"/>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 xml:space="preserve">Represents the depreciation and amortization expense related to intangible assets and developed technology assets recorded due to the application of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w:t>
      </w:r>
    </w:p>
    <w:p>
      <w:pPr>
        <w:spacing w:after="0" w:line="17" w:lineRule="exact"/>
        <w:rPr>
          <w:rFonts w:ascii="Arial" w:cs="Arial" w:eastAsia="Arial" w:hAnsi="Arial"/>
          <w:sz w:val="13"/>
          <w:szCs w:val="13"/>
          <w:color w:val="auto"/>
        </w:rPr>
      </w:pPr>
    </w:p>
    <w:p>
      <w:pPr>
        <w:ind w:left="520" w:right="120" w:hanging="512"/>
        <w:spacing w:after="0" w:line="245"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charges incurred related to acquisitions and similar transactions, primarily consisting of change in control-related costs, professional service fees, and other third-party costs. Additionally includes incremental professional service fees incurred related to the initial public offering and subsequent one-time compliance efforts. The three and nine months ended September 30, 2022 includes a transaction bonus expense related to one of the Company’s 2021 acquisitions.</w:t>
      </w:r>
    </w:p>
    <w:p>
      <w:pPr>
        <w:spacing w:after="0" w:line="1" w:lineRule="exact"/>
        <w:rPr>
          <w:rFonts w:ascii="Arial" w:cs="Arial" w:eastAsia="Arial" w:hAnsi="Arial"/>
          <w:sz w:val="14"/>
          <w:szCs w:val="14"/>
          <w:color w:val="auto"/>
        </w:rPr>
      </w:pPr>
    </w:p>
    <w:p>
      <w:pPr>
        <w:ind w:left="520" w:right="440" w:hanging="512"/>
        <w:spacing w:after="0" w:line="245"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charges from organizational restructuring and integration activities, non-cash, and other charges primarily related to legal exposures inherited from legacy acquisitions, foreign currency (gains) losses, and (gains) losses on the sale of assets.</w:t>
      </w:r>
    </w:p>
    <w:p>
      <w:pPr>
        <w:ind w:left="520" w:right="140" w:hanging="512"/>
        <w:spacing w:after="0" w:line="249"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 tax rates of approximately 24.6% and 24.9% have been used to compute Adjusted Net Income and Adjusted Diluted Earnings Per Share for the three and nine months ended September 30, 2022, respectively. Effective tax rates of approximately 24.2% and 25.9% have been used to compute Adjusted Net Income and Adjusted Diluted Earnings Per Share for the three and nine months ended September 30, 2021, respectively. As of December 31, 2021, we had net operating loss carryforwards of approximately $120.1 million for federal income tax purposes available to reduce future income subject to income taxes. As a result, the amount of actual cash taxes we may pay for federal income taxes differs significantly from the effective income tax rate computed in accordance with GAAP and from the normalized rate shown above.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Company’s primary liquidity requirements are for working capital, continued investments in software development and other capital expenditures, and other strategic investments. Income taxes are currently not a significant use of funds but after the benefits of our net operating loss carryforwards are fully recognized, could become a material use of funds, depending on our future profitability and future tax rates. The Company’s liquidity needs are met primarily through cash flows from operations, as well as funds available under our revolving credit facility and proceeds from our term loan borrowings. Our cash flows from operations include cash received from customers, less cash costs to provide services to our customers, which includes general and administrative costs and interest payments.</w:t>
      </w:r>
    </w:p>
    <w:p>
      <w:pPr>
        <w:spacing w:after="0" w:line="13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of September 30, 2022, we had $390.3 million in cash and cash equivalents and $100.0 million available under our revolving credit facility. As of September 30, 2022,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58"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share repurchase program.</w:t>
      </w:r>
    </w:p>
    <w:p>
      <w:pPr>
        <w:spacing w:after="0" w:line="13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November 8, 2022, the Company' Board of Directors authorized an increase to the total available amount under its Repurchase Program to $150.0 million and extended the program through December 31, 2023. Through November 4, 2022, the Company had made $21.6 million of purchases under the Repurchase Program.</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 February 2020, a new financing structure was established consisting of a new First Lien Credit Agreement (“Successor First Lien Agreement”) and a new Second Lien Credit Agreement (“Successor Second Lien Agreement”) (collectively, the “Successor Credit Agreements”). The Successor First Lien Agreement provided financing in the form of a $670.0 million term loan due January 31, 2027 (“Successor First Lien Credit Facility”) and a $75.0 million new revolving credit facility due January 31, 2025 (“Successor Revolver”). The Successor Second Lien Agreement provided financing in the form of a $145.0 million term loan due January 31, 2028 (“Successor Second Lien Credit Facility”).</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On February 1, 2021, we amended the Successor First Lien Agreement to fund $100.0 million of additional first lien term loans and reduce the applicable margins by 0.25%. The refinancing resulted in a loss on extinguishment of debt of $5.1 million, composed of the write-off of $4.5 million of unamortized deferred financing costs and $0.6 million of accrued interest and miscellaneous fees. In addition, we fully repaid the outstanding Successor Second Lien Agreement and recorded a loss on extinguishment of debt of $8.9 million, composed of the write-off of $7.3 million of unamortized deferred financing costs plus a $1.5 million prepayment premium, and $0.1 million of accrued interest and other miscellaneous fees.</w:t>
      </w:r>
    </w:p>
    <w:p>
      <w:pPr>
        <w:spacing w:after="0" w:line="13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connection with the IPO, the Company entered into an amendment to increase the borrowing capacity under the Successor Revolver from $75.0 million to $100.0 million and extend the maturity date from January 31, 2025 to July 31, 2026.</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Borrowings under the Successor First Lien Agreement bear interest at a rate per annum equal to an applicable margin plus, at our option, either (a) a base rate or (b) LIBOR, which is subject to a floor of 0.00% per annum. The applicable margins under the Successor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1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Successor First Lien Credit Facility amortizes in equal quarterly installments in aggregate annual amounts equal to 1.00% of the principal amount. The Successor Revolver has no amortization. The Successor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connection with the closing of the IPO, on June 30, 2021, the Company repaid $200.0 million of the Successor First Lien Credit Facility outstanding, of which $44.3 million was applied to all of the remaining quarterly amortizing principal payments due under the Successor First Lien Agreement. The remaining $564.7 million term loan is scheduled to mature on January 31, 2027. As a result of the prepayment, the Company recorded additional interest expense of $3.7 million associated with the accelerated amortization of the related deferred financing costs.</w:t>
      </w:r>
    </w:p>
    <w:p>
      <w:pPr>
        <w:spacing w:after="0" w:line="11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Successor First Lien Agreement is unconditionally guaranteed by Fastball Parent, Inc., a wholly-owned subsidiary of the Company and the direct parent of the borrower, and material wholly owned domestic restricted subsidiaries of Fastball Parent, Inc. The Successor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1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credit agreement contains customary affirmative covenants, negative covenants, and events of default (including upon a change of control). The credit agreement also includes a “springing” first lien net leverage ratio test, applicable only to the revolving credit facility, that requires such ratio to be no greater than 7.75:1.00 on the last day of any fiscal quarter if more than 35.0% of the revolving credit facility is utilized on such date.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Cash Flow Analysis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Cash Flows for the nine months ended September 30, 2022 compared to the nine months ended September 30,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cash flow activity for the periods presented:</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69"/>
        </w:trPr>
        <w:tc>
          <w:tcPr>
            <w:tcW w:w="69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r>
      <w:tr>
        <w:trPr>
          <w:trHeight w:val="20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142,842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83,860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(40,526 )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(24,992 )</w:t>
            </w: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64,372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Net cash provided by operating activities was $142.8 million for the nine months ended September 30, 2022, compared to $83.9 million for the nine months ended September 30, 2021. Net cash provided by operating activities for the nine months ended September 30, 2022 increased by $59.0 million compared to the nine months ended September 30, 2021. Cash flows from operating activities was positively impacted by the Company’s revenues growth from existing customers, new customer go-lives, recent acquisitions, and lower accounts receivable driven by increased cash collections from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Net cash used in investing activities was $40.5 million for the nine months ended September 30, 2022, compared to $25.0 million for the nine months ended September 30, 2021. Net cash used in investing activities for the nine months ended September 30, 2022 increased by $15.5 million compared to the nine months ended September 30, 2021. The cash flows used in investing activities for the nine months ended September 30, 2022 were impacted by the $19.1 million acquisition of Form I-9 Compliance, net of cash acquired. The remaining investing cash flows are driven primarily by capitalized software development costs and purchases of property and equipment, which increased in 2022 as the Company continued to make incremental investments in its technology platform.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58"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Net cash (used in) provided by financing activities was $(0.8) million for the nine months ended September 30, 2022, compared to $64.4 million for the nine months ended September 30, 2021. Cash flows from financing activities for the nine months ended September 30, 2022 were primarily driven by share-based compensation activity. These inflows were offset by cash outflows related to payments on capital lease obligations, deferred purchase of a software platform, and shares repurchased under the Company’s Repurchase Program. During the nine months ended September 30, 2022, 155,697 shares were repurchased under the program at a total cost of $2.2 million.</w:t>
      </w:r>
    </w:p>
    <w:p>
      <w:pPr>
        <w:spacing w:after="0" w:line="12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2021 was primarily driven by the Company's completion of its IPO on June 25, 2021. Cash inflows related to the IPO were $320.6 million, partially offset by the use of proceeds which consisted of a $200.0 million repayment of the Company’s Successor First Lien Credit Facility and $1.0 million of offering cost payments.</w:t>
      </w:r>
    </w:p>
    <w:p>
      <w:pPr>
        <w:spacing w:after="0" w:line="12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Net cash provided by financing activities for the six months ended September 30, 2021 was incrementally driven by the Company’s February 2021 debt refinancing which consisted of a refinancing of the Successor First Lien Credit Facility and the full repayment of the Successor Second Lien Credit Facility. Cash outflows related to this refinancing were $308.5 million, partially offset by cash inflows of $261.4 million. As part of the refinancing, the Company paid $1.3 million related to new debt issuance costs. The remaining outflows primarily consisted of amortizing principal payments due under the first lien term loan facility.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September 30, 2022, no material change had occurred in our market risks, compared with the disclosure in our Annual Report on Form 10-K filed with the SEC on March 23, 2022.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18"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the quarter covered by this report, there were no changes in our internal control over financial reporting that materially affected, or are reasonably likely to materially affect, our internal control over financial reporting.</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Information in response to this Item is included in “Part I — Item 1. — Note 12 — Commitments and Contingencies” and is incorporated by reference into Part II of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As of September 30, 2022, no material changes had occurred in our risk factors, compared with the disclosure in our Annual Report on Form 10-K filed with the SEC on March 23,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On June 25, 2021, we completed our IPO. All shares sold were registered pursuant to a registration statement on Form S-1 (File No. 333-256622), declared effective by the SEC on June 22, 2021.</w:t>
      </w:r>
    </w:p>
    <w:p>
      <w:pPr>
        <w:spacing w:after="0" w:line="13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Annual Report on Form 10-K filed with the SEC on March 23,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the Company’s purchase of its common stock during each month within the third quarter of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540" w:type="dxa"/>
            <w:vAlign w:val="bottom"/>
            <w:gridSpan w:val="2"/>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Average Price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May Yet Be Purchased</w:t>
            </w: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1560" w:type="dxa"/>
            <w:vAlign w:val="bottom"/>
          </w:tcPr>
          <w:p>
            <w:pPr>
              <w:jc w:val="right"/>
              <w:ind w:right="276"/>
              <w:spacing w:after="0" w:line="145" w:lineRule="exact"/>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80" w:type="dxa"/>
            <w:vAlign w:val="bottom"/>
            <w:vMerge w:val="restart"/>
          </w:tcPr>
          <w:p>
            <w:pPr>
              <w:jc w:val="right"/>
              <w:ind w:right="184"/>
              <w:spacing w:after="0"/>
              <w:rPr>
                <w:sz w:val="20"/>
                <w:szCs w:val="20"/>
                <w:color w:val="auto"/>
              </w:rPr>
            </w:pPr>
            <w:r>
              <w:rPr>
                <w:rFonts w:ascii="Arial" w:cs="Arial" w:eastAsia="Arial" w:hAnsi="Arial"/>
                <w:sz w:val="10"/>
                <w:szCs w:val="10"/>
                <w:b w:val="1"/>
                <w:bCs w:val="1"/>
                <w:color w:val="auto"/>
                <w:w w:val="81"/>
              </w:rPr>
              <w:t>(1)</w:t>
            </w:r>
          </w:p>
        </w:tc>
        <w:tc>
          <w:tcPr>
            <w:tcW w:w="100" w:type="dxa"/>
            <w:vAlign w:val="bottom"/>
          </w:tcPr>
          <w:p>
            <w:pPr>
              <w:spacing w:after="0"/>
              <w:rPr>
                <w:sz w:val="12"/>
                <w:szCs w:val="12"/>
                <w:color w:val="auto"/>
              </w:rPr>
            </w:pPr>
          </w:p>
        </w:tc>
        <w:tc>
          <w:tcPr>
            <w:tcW w:w="1520" w:type="dxa"/>
            <w:vAlign w:val="bottom"/>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right="178"/>
              <w:spacing w:after="0" w:line="14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5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Paid Per Share</w:t>
            </w:r>
          </w:p>
        </w:tc>
        <w:tc>
          <w:tcPr>
            <w:tcW w:w="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ind w:right="40"/>
              <w:spacing w:after="0" w:line="189" w:lineRule="exact"/>
              <w:rPr>
                <w:sz w:val="20"/>
                <w:szCs w:val="20"/>
                <w:color w:val="auto"/>
              </w:rPr>
            </w:pPr>
            <w:r>
              <w:rPr>
                <w:rFonts w:ascii="Arial" w:cs="Arial" w:eastAsia="Arial" w:hAnsi="Arial"/>
                <w:sz w:val="14"/>
                <w:szCs w:val="14"/>
                <w:b w:val="1"/>
                <w:bCs w:val="1"/>
                <w:color w:val="auto"/>
                <w:w w:val="89"/>
              </w:rPr>
              <w:t xml:space="preserve">Programs </w:t>
            </w:r>
            <w:r>
              <w:rPr>
                <w:rFonts w:ascii="Arial" w:cs="Arial" w:eastAsia="Arial" w:hAnsi="Arial"/>
                <w:sz w:val="19"/>
                <w:szCs w:val="19"/>
                <w:b w:val="1"/>
                <w:bCs w:val="1"/>
                <w:color w:val="auto"/>
                <w:w w:val="89"/>
                <w:vertAlign w:val="superscript"/>
              </w:rPr>
              <w:t>(2)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7/1/2022 - 7/31/2022</w:t>
            </w:r>
          </w:p>
        </w:tc>
        <w:tc>
          <w:tcPr>
            <w:tcW w:w="15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8/1/2022 - 8/31/2022</w:t>
            </w:r>
          </w:p>
        </w:tc>
        <w:tc>
          <w:tcPr>
            <w:tcW w:w="15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38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9/1/2022 - 9/30/2022</w:t>
            </w:r>
          </w:p>
        </w:tc>
        <w:tc>
          <w:tcPr>
            <w:tcW w:w="15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155,697</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155,697</w:t>
            </w:r>
          </w:p>
        </w:tc>
        <w:tc>
          <w:tcPr>
            <w:tcW w:w="2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47,752,436</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155,697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155,697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47,752,436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-153670</wp:posOffset>
            </wp:positionV>
            <wp:extent cx="1062990"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62990" cy="17145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-153670</wp:posOffset>
            </wp:positionV>
            <wp:extent cx="102870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0" cy="171450"/>
                    </a:xfrm>
                    <a:prstGeom prst="rect">
                      <a:avLst/>
                    </a:prstGeom>
                    <a:noFill/>
                  </pic:spPr>
                </pic:pic>
              </a:graphicData>
            </a:graphic>
          </wp:anchor>
        </w:drawing>
      </w:r>
    </w:p>
    <w:p>
      <w:pPr>
        <w:ind w:left="160" w:hanging="152"/>
        <w:spacing w:after="0"/>
        <w:tabs>
          <w:tab w:leader="none" w:pos="1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Does not include commissions paid to repurchase shares.</w:t>
      </w:r>
    </w:p>
    <w:p>
      <w:pPr>
        <w:spacing w:after="0" w:line="18" w:lineRule="exact"/>
        <w:rPr>
          <w:rFonts w:ascii="Arial" w:cs="Arial" w:eastAsia="Arial" w:hAnsi="Arial"/>
          <w:sz w:val="18"/>
          <w:szCs w:val="18"/>
          <w:color w:val="auto"/>
          <w:vertAlign w:val="superscript"/>
        </w:rPr>
      </w:pPr>
    </w:p>
    <w:p>
      <w:pPr>
        <w:ind w:left="140" w:hanging="132"/>
        <w:spacing w:after="0" w:line="222" w:lineRule="auto"/>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On August 2, 2022, the Company’s Board of Directors authorized the repurchase of up to $50.0 million of the Company’s common stock over the 12-month period ending August 2, 2023.</w:t>
      </w:r>
    </w:p>
    <w:p>
      <w:pPr>
        <w:spacing w:after="0" w:line="20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Stock repurchases may be effected through open market repurchases at prevailing market prices, including through the use of block trades and trading plans intended to qualify under Rule 10b5-1 under the Exchange Act, privately-negotiated transactions, through other transactions in accordance with applicable securities laws, or a combination of these methods on such terms and in such amounts as the Company deems appropriate.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plans to use its existing cash to fund repurchases made under the share repurchase program.</w:t>
      </w:r>
    </w:p>
    <w:p>
      <w:pPr>
        <w:spacing w:after="0" w:line="10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November 8, 2022, the Company' Board of Directors authorized an increase to the total available amount under its Repurchase Program to $150.0 million and extended the program through December 31, 2023. Through November 4, 2022, the Company had made $21.6 million of purchases under the Repurchase Program.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8"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80" w:type="dxa"/>
            <w:vAlign w:val="bottom"/>
            <w:gridSpan w:val="7"/>
            <w:vMerge w:val="restart"/>
          </w:tcPr>
          <w:p>
            <w:pPr>
              <w:ind w:left="15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80" w:type="dxa"/>
            <w:vAlign w:val="bottom"/>
            <w:tcBorders>
              <w:bottom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20"/>
              <w:spacing w:after="0" w:line="148"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gridSpan w:val="11"/>
          </w:tcPr>
          <w:p>
            <w:pPr>
              <w:spacing w:after="0" w:line="148" w:lineRule="exact"/>
              <w:rPr>
                <w:rFonts w:ascii="Arial" w:cs="Arial" w:eastAsia="Arial" w:hAnsi="Arial"/>
                <w:sz w:val="16"/>
                <w:szCs w:val="16"/>
                <w:color w:val="0000FF"/>
                <w:w w:val="95"/>
              </w:rPr>
            </w:pPr>
            <w:hyperlink r:id="rId240">
              <w:r>
                <w:rPr>
                  <w:rFonts w:ascii="Arial" w:cs="Arial" w:eastAsia="Arial" w:hAnsi="Arial"/>
                  <w:sz w:val="16"/>
                  <w:szCs w:val="16"/>
                  <w:color w:val="0000FF"/>
                  <w:w w:val="95"/>
                </w:rPr>
                <w:t>Amended and Restated Certificate of Incorporation of First Advantage Corporation (incorporated herein by reference to Exhibit 3.1 of First Advantage’s</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2"/>
              </w:rPr>
            </w:pPr>
            <w:hyperlink r:id="rId240">
              <w:r>
                <w:rPr>
                  <w:rFonts w:ascii="Arial" w:cs="Arial" w:eastAsia="Arial" w:hAnsi="Arial"/>
                  <w:sz w:val="16"/>
                  <w:szCs w:val="16"/>
                  <w:color w:val="0000FF"/>
                  <w:w w:val="92"/>
                </w:rPr>
                <w:t>Form 8-K filed on June 25, 2021).</w:t>
              </w:r>
            </w:hyperlink>
          </w:p>
        </w:tc>
        <w:tc>
          <w:tcPr>
            <w:tcW w:w="7720" w:type="dxa"/>
            <w:vAlign w:val="bottom"/>
            <w:tcBorders>
              <w:top w:val="single" w:sz="8" w:color="0000FF"/>
            </w:tcBorders>
            <w:gridSpan w:val="4"/>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11"/>
          </w:tcPr>
          <w:p>
            <w:pPr>
              <w:spacing w:after="0" w:line="169" w:lineRule="exact"/>
              <w:rPr>
                <w:rFonts w:ascii="Arial" w:cs="Arial" w:eastAsia="Arial" w:hAnsi="Arial"/>
                <w:sz w:val="16"/>
                <w:szCs w:val="16"/>
                <w:color w:val="0000FF"/>
                <w:w w:val="92"/>
              </w:rPr>
            </w:pPr>
            <w:hyperlink r:id="rId241">
              <w:r>
                <w:rPr>
                  <w:rFonts w:ascii="Arial" w:cs="Arial" w:eastAsia="Arial" w:hAnsi="Arial"/>
                  <w:sz w:val="16"/>
                  <w:szCs w:val="16"/>
                  <w:color w:val="0000FF"/>
                  <w:w w:val="92"/>
                </w:rPr>
                <w:t>Amended and Restated Bylaws of First Advantage Corporation (incorporated herein by reference to Exhibit 3.2 of First Advantage’s Form 8-K filed on June</w:t>
              </w:r>
            </w:hyperlink>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120" w:type="dxa"/>
            <w:vAlign w:val="bottom"/>
            <w:gridSpan w:val="2"/>
          </w:tcPr>
          <w:p>
            <w:pPr>
              <w:spacing w:after="0"/>
              <w:rPr>
                <w:sz w:val="12"/>
                <w:szCs w:val="12"/>
                <w:color w:val="auto"/>
              </w:rPr>
            </w:pPr>
          </w:p>
        </w:tc>
        <w:tc>
          <w:tcPr>
            <w:tcW w:w="6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8"/>
              </w:rPr>
            </w:pPr>
            <w:hyperlink r:id="rId241">
              <w:r>
                <w:rPr>
                  <w:rFonts w:ascii="Arial" w:cs="Arial" w:eastAsia="Arial" w:hAnsi="Arial"/>
                  <w:sz w:val="16"/>
                  <w:szCs w:val="16"/>
                  <w:color w:val="0000FF"/>
                  <w:w w:val="88"/>
                </w:rPr>
                <w:t>25, 2021).</w:t>
              </w:r>
            </w:hyperlink>
          </w:p>
        </w:tc>
        <w:tc>
          <w:tcPr>
            <w:tcW w:w="20" w:type="dxa"/>
            <w:vAlign w:val="bottom"/>
            <w:tcBorders>
              <w:top w:val="single" w:sz="8" w:color="0000FF"/>
              <w:bottom w:val="single" w:sz="8" w:color="0000EE"/>
            </w:tcBorders>
          </w:tcPr>
          <w:p>
            <w:pPr>
              <w:spacing w:after="0"/>
              <w:rPr>
                <w:sz w:val="12"/>
                <w:szCs w:val="12"/>
                <w:color w:val="auto"/>
              </w:rPr>
            </w:pPr>
          </w:p>
        </w:tc>
        <w:tc>
          <w:tcPr>
            <w:tcW w:w="154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67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11"/>
          </w:tcPr>
          <w:p>
            <w:pPr>
              <w:spacing w:after="0" w:line="169" w:lineRule="exact"/>
              <w:rPr>
                <w:sz w:val="20"/>
                <w:szCs w:val="20"/>
                <w:color w:val="auto"/>
              </w:rPr>
            </w:pPr>
            <w:r>
              <w:rPr>
                <w:rFonts w:ascii="Arial" w:cs="Arial" w:eastAsia="Arial" w:hAnsi="Arial"/>
                <w:sz w:val="16"/>
                <w:szCs w:val="16"/>
                <w:color w:val="0000FF"/>
                <w:w w:val="93"/>
              </w:rPr>
              <w:t>Certification of Principal Executive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Section 302 of the Sarbanes-Oxley Act of 2002.</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11"/>
          </w:tcPr>
          <w:p>
            <w:pPr>
              <w:spacing w:after="0" w:line="169" w:lineRule="exact"/>
              <w:rPr>
                <w:sz w:val="20"/>
                <w:szCs w:val="20"/>
                <w:color w:val="auto"/>
              </w:rPr>
            </w:pPr>
            <w:r>
              <w:rPr>
                <w:rFonts w:ascii="Arial" w:cs="Arial" w:eastAsia="Arial" w:hAnsi="Arial"/>
                <w:sz w:val="16"/>
                <w:szCs w:val="16"/>
                <w:color w:val="0000FF"/>
                <w:w w:val="94"/>
              </w:rPr>
              <w:t>Certification of Principal Financial Officer Pursuant to Rules 13a-14(a) and 15d-14(a) under the Securities Exchange Act of 1934, as Adopted Pursuant to</w:t>
            </w:r>
          </w:p>
        </w:tc>
        <w:tc>
          <w:tcPr>
            <w:tcW w:w="0" w:type="dxa"/>
            <w:vAlign w:val="bottom"/>
          </w:tcPr>
          <w:p>
            <w:pPr>
              <w:spacing w:after="0"/>
              <w:rPr>
                <w:sz w:val="1"/>
                <w:szCs w:val="1"/>
                <w:color w:val="auto"/>
              </w:rPr>
            </w:pPr>
          </w:p>
        </w:tc>
      </w:tr>
      <w:tr>
        <w:trPr>
          <w:trHeight w:val="142"/>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Section 302 of the Sarbanes-Oxley Act of 2002.</w:t>
            </w:r>
          </w:p>
        </w:tc>
        <w:tc>
          <w:tcPr>
            <w:tcW w:w="1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w w:val="92"/>
              </w:rPr>
              <w:t>Certification of Principal Executive Officer Pursuant to 18 U.S.C. Section 1350, as Adopted Pursuant to Section 906 of the Sarbanes-Oxley Act of 2002.</w:t>
            </w:r>
          </w:p>
        </w:tc>
        <w:tc>
          <w:tcPr>
            <w:tcW w:w="3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gridSpan w:val="11"/>
          </w:tcPr>
          <w:p>
            <w:pPr>
              <w:spacing w:after="0" w:line="169" w:lineRule="exact"/>
              <w:rPr>
                <w:sz w:val="20"/>
                <w:szCs w:val="20"/>
                <w:color w:val="auto"/>
              </w:rPr>
            </w:pPr>
            <w:r>
              <w:rPr>
                <w:rFonts w:ascii="Arial" w:cs="Arial" w:eastAsia="Arial" w:hAnsi="Arial"/>
                <w:sz w:val="16"/>
                <w:szCs w:val="16"/>
                <w:color w:val="0000FF"/>
                <w:w w:val="95"/>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line="179" w:lineRule="exact"/>
              <w:rPr>
                <w:sz w:val="20"/>
                <w:szCs w:val="20"/>
                <w:color w:val="auto"/>
              </w:rPr>
            </w:pPr>
            <w:r>
              <w:rPr>
                <w:rFonts w:ascii="Arial" w:cs="Arial" w:eastAsia="Arial" w:hAnsi="Arial"/>
                <w:sz w:val="16"/>
                <w:szCs w:val="16"/>
                <w:color w:val="auto"/>
              </w:rPr>
              <w:t>101.INS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EE"/>
            </w:tcBorders>
            <w:gridSpan w:val="5"/>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1"/>
          </w:tcPr>
          <w:p>
            <w:pPr>
              <w:spacing w:after="0" w:line="159" w:lineRule="exact"/>
              <w:rPr>
                <w:sz w:val="20"/>
                <w:szCs w:val="20"/>
                <w:color w:val="auto"/>
              </w:rPr>
            </w:pPr>
            <w:r>
              <w:rPr>
                <w:rFonts w:ascii="Arial" w:cs="Arial" w:eastAsia="Arial" w:hAnsi="Arial"/>
                <w:sz w:val="16"/>
                <w:szCs w:val="16"/>
                <w:color w:val="auto"/>
                <w:w w:val="93"/>
              </w:rPr>
              <w:t>Inline XBRL Instance Document – the instance document does not appear in the Interactive Data File because XBRL tags are embedded within the Inline</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XBRL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06"/>
        </w:trPr>
        <w:tc>
          <w:tcPr>
            <w:tcW w:w="92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512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5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8" w:name="page49"/>
    <w:bookmarkEnd w:id="48"/>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FIRST ADVANTAGE CORPORATION</w:t>
      </w:r>
    </w:p>
    <w:p>
      <w:pPr>
        <w:spacing w:after="0" w:line="198"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Scott Staples</w:t>
      </w:r>
    </w:p>
    <w:p>
      <w:pPr>
        <w:ind w:left="7760"/>
        <w:spacing w:after="0" w:line="219" w:lineRule="auto"/>
        <w:rPr>
          <w:sz w:val="20"/>
          <w:szCs w:val="20"/>
          <w:color w:val="auto"/>
        </w:rPr>
      </w:pPr>
      <w:r>
        <w:rPr>
          <w:rFonts w:ascii="Arial" w:cs="Arial" w:eastAsia="Arial" w:hAnsi="Arial"/>
          <w:sz w:val="18"/>
          <w:szCs w:val="18"/>
          <w:b w:val="1"/>
          <w:bCs w:val="1"/>
          <w:color w:val="auto"/>
        </w:rPr>
        <w:t>Chief Executive Officer</w:t>
      </w: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182"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spacing w:after="0" w:line="4" w:lineRule="exact"/>
        <w:rPr>
          <w:sz w:val="20"/>
          <w:szCs w:val="20"/>
          <w:color w:val="auto"/>
        </w:rPr>
      </w:pPr>
    </w:p>
    <w:p>
      <w:pPr>
        <w:ind w:left="6700"/>
        <w:spacing w:after="0"/>
        <w:rPr>
          <w:sz w:val="20"/>
          <w:szCs w:val="20"/>
          <w:color w:val="auto"/>
        </w:rPr>
      </w:pPr>
      <w:r>
        <w:rPr>
          <w:rFonts w:ascii="Arial" w:cs="Arial" w:eastAsia="Arial" w:hAnsi="Arial"/>
          <w:sz w:val="17"/>
          <w:szCs w:val="17"/>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19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PURSUANT TO 17 CFR 240.13a-14</w:t>
      </w:r>
    </w:p>
    <w:p>
      <w:pPr>
        <w:jc w:val="center"/>
        <w:spacing w:after="0" w:line="234"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Scott Staples, certify that:</w:t>
      </w:r>
    </w:p>
    <w:p>
      <w:pPr>
        <w:spacing w:after="0" w:line="320"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48" w:lineRule="exact"/>
        <w:rPr>
          <w:rFonts w:ascii="Arial" w:cs="Arial" w:eastAsia="Arial" w:hAnsi="Arial"/>
          <w:sz w:val="18"/>
          <w:szCs w:val="18"/>
          <w:color w:val="auto"/>
        </w:rPr>
      </w:pPr>
    </w:p>
    <w:p>
      <w:pPr>
        <w:ind w:left="1540" w:right="120" w:hanging="514"/>
        <w:spacing w:after="0" w:line="278" w:lineRule="auto"/>
        <w:tabs>
          <w:tab w:leader="none" w:pos="15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7"/>
          <w:szCs w:val="17"/>
          <w:color w:val="auto"/>
        </w:rPr>
      </w:pPr>
    </w:p>
    <w:p>
      <w:pPr>
        <w:ind w:left="1540" w:hanging="514"/>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56"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540" w:right="380" w:hanging="514"/>
        <w:spacing w:after="0" w:line="278" w:lineRule="auto"/>
        <w:tabs>
          <w:tab w:leader="none" w:pos="15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Scott Staples</w:t>
      </w:r>
    </w:p>
    <w:p>
      <w:pPr>
        <w:ind w:left="7760"/>
        <w:spacing w:after="0" w:line="219" w:lineRule="auto"/>
        <w:rPr>
          <w:sz w:val="20"/>
          <w:szCs w:val="20"/>
          <w:color w:val="auto"/>
        </w:rPr>
      </w:pPr>
      <w:r>
        <w:rPr>
          <w:rFonts w:ascii="Arial" w:cs="Arial" w:eastAsia="Arial" w:hAnsi="Arial"/>
          <w:sz w:val="18"/>
          <w:szCs w:val="18"/>
          <w:b w:val="1"/>
          <w:bCs w:val="1"/>
          <w:color w:val="auto"/>
        </w:rPr>
        <w:t>Chief Executive Officer</w:t>
      </w: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PURSUANT TO 17 CFR 240.13a-14</w:t>
      </w:r>
    </w:p>
    <w:p>
      <w:pPr>
        <w:jc w:val="center"/>
        <w:spacing w:after="0" w:line="234" w:lineRule="auto"/>
        <w:rPr>
          <w:sz w:val="20"/>
          <w:szCs w:val="20"/>
          <w:color w:val="auto"/>
        </w:rPr>
      </w:pPr>
      <w:r>
        <w:rPr>
          <w:rFonts w:ascii="Arial" w:cs="Arial" w:eastAsia="Arial" w:hAnsi="Arial"/>
          <w:sz w:val="18"/>
          <w:szCs w:val="18"/>
          <w:b w:val="1"/>
          <w:bCs w:val="1"/>
          <w:color w:val="auto"/>
        </w:rPr>
        <w:t>PROMULGATED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David L. Gamsey, certify that:</w:t>
      </w:r>
    </w:p>
    <w:p>
      <w:pPr>
        <w:spacing w:after="0" w:line="320"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Advantage Corporation;</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1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48" w:lineRule="exact"/>
        <w:rPr>
          <w:rFonts w:ascii="Arial" w:cs="Arial" w:eastAsia="Arial" w:hAnsi="Arial"/>
          <w:sz w:val="18"/>
          <w:szCs w:val="18"/>
          <w:color w:val="auto"/>
        </w:rPr>
      </w:pPr>
    </w:p>
    <w:p>
      <w:pPr>
        <w:ind w:left="1540" w:right="120" w:hanging="514"/>
        <w:spacing w:after="0" w:line="278"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7"/>
          <w:szCs w:val="17"/>
          <w:color w:val="auto"/>
        </w:rPr>
      </w:pPr>
    </w:p>
    <w:p>
      <w:pPr>
        <w:ind w:left="1540" w:hanging="514"/>
        <w:spacing w:after="0"/>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[Reserved];</w:t>
      </w:r>
    </w:p>
    <w:p>
      <w:pPr>
        <w:spacing w:after="0" w:line="103" w:lineRule="exact"/>
        <w:rPr>
          <w:rFonts w:ascii="Arial" w:cs="Arial" w:eastAsia="Arial" w:hAnsi="Arial"/>
          <w:sz w:val="18"/>
          <w:szCs w:val="18"/>
          <w:color w:val="auto"/>
        </w:rPr>
      </w:pPr>
    </w:p>
    <w:p>
      <w:pPr>
        <w:ind w:left="1540" w:hanging="514"/>
        <w:spacing w:after="0" w:line="256"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540" w:right="380" w:hanging="514"/>
        <w:spacing w:after="0" w:line="278"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7"/>
          <w:szCs w:val="17"/>
          <w:color w:val="auto"/>
        </w:rPr>
      </w:pPr>
    </w:p>
    <w:p>
      <w:pPr>
        <w:ind w:left="1020" w:right="80" w:hanging="503"/>
        <w:spacing w:after="0" w:line="324" w:lineRule="auto"/>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540" w:right="220" w:hanging="514"/>
        <w:spacing w:after="0" w:line="324" w:lineRule="auto"/>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31"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290"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Scott Staples</w:t>
      </w:r>
    </w:p>
    <w:p>
      <w:pPr>
        <w:ind w:left="7760"/>
        <w:spacing w:after="0" w:line="219" w:lineRule="auto"/>
        <w:rPr>
          <w:sz w:val="20"/>
          <w:szCs w:val="20"/>
          <w:color w:val="auto"/>
        </w:rPr>
      </w:pPr>
      <w:r>
        <w:rPr>
          <w:rFonts w:ascii="Arial" w:cs="Arial" w:eastAsia="Arial" w:hAnsi="Arial"/>
          <w:sz w:val="18"/>
          <w:szCs w:val="18"/>
          <w:b w:val="1"/>
          <w:bCs w:val="1"/>
          <w:color w:val="auto"/>
        </w:rPr>
        <w:t>Chief Executive Officer</w:t>
      </w:r>
    </w:p>
    <w:p>
      <w:pPr>
        <w:ind w:left="76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connection with the Quarterly Report on Form 10-Q of First Advantage Corporation (the “Company”) for the period ended September 30, 2022 as filed with the Securities and Exchange Commission on the date hereof (the “Report”), I certify, pursuant to 18 U.S.C. § 1350, as adopted pursuant to § 906 of the Sarbanes-Oxley Act of 2002, that, to the best of my knowledge:</w:t>
      </w:r>
    </w:p>
    <w:p>
      <w:pPr>
        <w:spacing w:after="0" w:line="290"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ind w:left="20"/>
        <w:spacing w:after="0"/>
        <w:tabs>
          <w:tab w:leader="none" w:pos="5660" w:val="left"/>
          <w:tab w:leader="none" w:pos="7900" w:val="left"/>
        </w:tabs>
        <w:rPr>
          <w:sz w:val="20"/>
          <w:szCs w:val="20"/>
          <w:color w:val="auto"/>
        </w:rPr>
      </w:pPr>
      <w:r>
        <w:rPr>
          <w:rFonts w:ascii="Arial" w:cs="Arial" w:eastAsia="Arial" w:hAnsi="Arial"/>
          <w:sz w:val="18"/>
          <w:szCs w:val="18"/>
          <w:color w:val="auto"/>
        </w:rPr>
        <w:t>Date: November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David L. Gamsey</w:t>
      </w:r>
    </w:p>
    <w:p>
      <w:pPr>
        <w:ind w:left="6700"/>
        <w:spacing w:after="0" w:line="231" w:lineRule="auto"/>
        <w:rPr>
          <w:sz w:val="20"/>
          <w:szCs w:val="20"/>
          <w:color w:val="auto"/>
        </w:rPr>
      </w:pPr>
      <w:r>
        <w:rPr>
          <w:rFonts w:ascii="Arial" w:cs="Arial" w:eastAsia="Arial" w:hAnsi="Arial"/>
          <w:sz w:val="18"/>
          <w:szCs w:val="18"/>
          <w:b w:val="1"/>
          <w:bCs w:val="1"/>
          <w:color w:val="auto"/>
        </w:rPr>
        <w:t>Executive Vice President &amp; Chief Financial Officer</w:t>
      </w:r>
    </w:p>
    <w:p>
      <w:pPr>
        <w:ind w:left="762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Letter"/>
      <w:start w:val="25"/>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40" Type="http://schemas.openxmlformats.org/officeDocument/2006/relationships/hyperlink" Target="https://www.sec.gov/Archives/edgar/data/1210677/000119312521200542/d12470dex31.htm" TargetMode="External"/><Relationship Id="rId241" Type="http://schemas.openxmlformats.org/officeDocument/2006/relationships/hyperlink" Target="https://www.sec.gov/Archives/edgar/data/1210677/000119312521200542/d1247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2022-11-08T16:15:36Z</dcterms:created>
  <dcterms:modified xsi:type="dcterms:W3CDTF">2022-11-08T16:15:36Z</dcterms:modified>
</cp:coreProperties>
</file>