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134120d424b7.htm"/>
      <w:bookmarkStart w:id="1" w:name="ksd134120d424b7"/>
      <w:bookmarkEnd w:id="0"/>
      <w:bookmarkEnd w:id="1"/>
      <w:r>
        <w:rPr>
          <w:rFonts w:ascii="Times New Roman" w:hAnsi="Times New Roman"/>
          <w:b/>
          <w:sz w:val="20"/>
        </w:rPr>
        <w:t>Filed Pursuant to Rule 424(b)(7)</w:t>
        <w:br/>
        <w:t xml:space="preserve">Registration No. 333-298190 </w:t>
      </w:r>
    </w:p>
    <w:p>
      <w:pPr>
        <w:pStyle w:val="TextBody"/>
        <w:bidi w:val="0"/>
        <w:spacing w:before="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August 10, 2026) </w:t>
      </w:r>
    </w:p>
    <w:p>
      <w:pPr>
        <w:pStyle w:val="TextBody"/>
        <w:bidi w:val="0"/>
        <w:spacing w:before="240" w:after="0"/>
        <w:jc w:val="center"/>
        <w:rPr>
          <w:rFonts w:ascii="Times New Roman" w:hAnsi="Times New Roman"/>
          <w:b/>
          <w:sz w:val="36"/>
        </w:rPr>
      </w:pPr>
      <w:r>
        <w:rPr>
          <w:rFonts w:ascii="Times New Roman" w:hAnsi="Times New Roman"/>
          <w:b/>
          <w:sz w:val="36"/>
        </w:rPr>
        <w:t xml:space="preserve">12,500,000 Shares </w:t>
      </w:r>
    </w:p>
    <w:p>
      <w:pPr>
        <w:pStyle w:val="TextBody"/>
        <w:bidi w:val="0"/>
        <w:spacing w:before="0" w:after="0"/>
        <w:jc w:val="left"/>
        <w:rPr/>
      </w:pPr>
      <w:r>
        <w:rPr/>
        <w:t> </w:t>
      </w:r>
    </w:p>
    <w:p>
      <w:pPr>
        <w:pStyle w:val="TextBody"/>
        <w:bidi w:val="0"/>
        <w:spacing w:before="0" w:after="0"/>
        <w:jc w:val="center"/>
        <w:rPr/>
      </w:pPr>
      <w:r>
        <w:rPr/>
        <w:drawing>
          <wp:inline distT="0" distB="0" distL="0" distR="0">
            <wp:extent cx="5364480" cy="85344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364480" cy="85344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FIRST ADVANTAGE CORPORATION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This is a public offering of 12,500,000 shares of common stock of First Advantage Corporation. The selling stockholder identified in this prospectus supplement is offering 12,500,000 shares of common stock. We are not selling any shares of common stock under this prospectus supplement and will not receive any proceeds from the sale of the shares by the selling stockholder.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Select Market (“Nasdaq”), under the symbol “FA.” On August 10, 2026, the closing sales price of our common stock as reported on Nasdaq was $23.59 per share.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common stock involves risks. Before making a decision to invest in our common stock, you should refer to the risk factors included in our periodic reports and in other information that we file with the Securities and Exchange Commission (the “SEC”) that are incorporated by reference herein or therein. See “</w:t>
      </w:r>
      <w:hyperlink w:anchor="supptx134120_4">
        <w:r>
          <w:rPr>
            <w:rStyle w:val="InternetLink"/>
            <w:rFonts w:ascii="Times New Roman" w:hAnsi="Times New Roman"/>
            <w:b/>
            <w:sz w:val="24"/>
          </w:rPr>
          <w:t>Risk Factors</w:t>
        </w:r>
      </w:hyperlink>
      <w:r>
        <w:rPr>
          <w:rFonts w:ascii="Times New Roman" w:hAnsi="Times New Roman"/>
          <w:b/>
          <w:sz w:val="24"/>
        </w:rPr>
        <w:t xml:space="preserve">” beginning on page S-4 of this 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(the “SEC”), nor any state securities commission has approved or disapproved of these securities or passed upon the adequacy or accuracy of this prospectus supplement. Any representation to the contrary is a criminal offense. </w:t>
      </w:r>
    </w:p>
    <w:p>
      <w:pPr>
        <w:pStyle w:val="TextBody"/>
        <w:bidi w:val="0"/>
        <w:spacing w:before="240" w:after="0"/>
        <w:jc w:val="left"/>
        <w:rPr>
          <w:rFonts w:ascii="Times New Roman" w:hAnsi="Times New Roman"/>
          <w:b/>
          <w:sz w:val="20"/>
        </w:rPr>
      </w:pPr>
      <w:r>
        <w:rPr>
          <w:rFonts w:ascii="Times New Roman" w:hAnsi="Times New Roman"/>
          <w:b/>
          <w:sz w:val="20"/>
        </w:rPr>
        <w:t xml:space="preserve">IF FIXED PRICE REOFFER: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543"/>
        <w:gridCol w:w="357"/>
        <w:gridCol w:w="140"/>
        <w:gridCol w:w="745"/>
        <w:gridCol w:w="60"/>
        <w:gridCol w:w="357"/>
        <w:gridCol w:w="140"/>
        <w:gridCol w:w="1350"/>
        <w:gridCol w:w="63"/>
      </w:tblGrid>
      <w:tr>
        <w:trPr/>
        <w:tc>
          <w:tcPr>
            <w:tcW w:w="4543" w:type="dxa"/>
            <w:tcBorders/>
            <w:vAlign w:val="center"/>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543"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885" w:type="dxa"/>
            <w:gridSpan w:val="2"/>
            <w:tcBorders>
              <w:bottom w:val="single" w:sz="8" w:space="0" w:color="000000"/>
            </w:tcBorders>
            <w:tcMar>
              <w:bottom w:w="28" w:type="dxa"/>
            </w:tcMar>
            <w:vAlign w:val="bottom"/>
          </w:tcPr>
          <w:p>
            <w:pPr>
              <w:pStyle w:val="TableContents"/>
              <w:bidi w:val="0"/>
              <w:spacing w:before="0" w:after="283"/>
              <w:jc w:val="center"/>
              <w:rPr/>
            </w:pPr>
            <w:r>
              <w:rPr>
                <w:b/>
              </w:rPr>
              <w:t>Per</w:t>
            </w:r>
            <w:r>
              <w:rPr/>
              <w:br/>
            </w:r>
            <w:r>
              <w:rPr>
                <w:b/>
              </w:rPr>
              <w:t>Share</w:t>
            </w:r>
          </w:p>
        </w:tc>
        <w:tc>
          <w:tcPr>
            <w:tcW w:w="60"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3" w:type="dxa"/>
            <w:tcBorders/>
            <w:vAlign w:val="bottom"/>
          </w:tcPr>
          <w:p>
            <w:pPr>
              <w:pStyle w:val="TableContents"/>
              <w:bidi w:val="0"/>
              <w:spacing w:before="0" w:after="283"/>
              <w:jc w:val="left"/>
              <w:rPr/>
            </w:pPr>
            <w:r>
              <w:rPr/>
              <w:t> </w:t>
            </w:r>
          </w:p>
        </w:tc>
      </w:tr>
      <w:tr>
        <w:trPr/>
        <w:tc>
          <w:tcPr>
            <w:tcW w:w="45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3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5" w:type="dxa"/>
            <w:tcBorders/>
            <w:shd w:fill="CCEEFF" w:val="clear"/>
            <w:vAlign w:val="bottom"/>
          </w:tcPr>
          <w:p>
            <w:pPr>
              <w:pStyle w:val="TableContents"/>
              <w:bidi w:val="0"/>
              <w:spacing w:before="0" w:after="283"/>
              <w:jc w:val="right"/>
              <w:rPr/>
            </w:pPr>
            <w:r>
              <w:rPr/>
              <w:t>22.20</w:t>
            </w:r>
          </w:p>
        </w:tc>
        <w:tc>
          <w:tcPr>
            <w:tcW w:w="60"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50" w:type="dxa"/>
            <w:tcBorders/>
            <w:shd w:fill="CCEEFF" w:val="clear"/>
            <w:vAlign w:val="bottom"/>
          </w:tcPr>
          <w:p>
            <w:pPr>
              <w:pStyle w:val="TableContents"/>
              <w:bidi w:val="0"/>
              <w:spacing w:before="0" w:after="283"/>
              <w:jc w:val="right"/>
              <w:rPr/>
            </w:pPr>
            <w:r>
              <w:rPr/>
              <w:t>277,500,000</w:t>
            </w:r>
          </w:p>
        </w:tc>
        <w:tc>
          <w:tcPr>
            <w:tcW w:w="63" w:type="dxa"/>
            <w:tcBorders/>
            <w:shd w:fill="CCEEFF" w:val="clear"/>
            <w:vAlign w:val="bottom"/>
          </w:tcPr>
          <w:p>
            <w:pPr>
              <w:pStyle w:val="TableContents"/>
              <w:bidi w:val="0"/>
              <w:spacing w:before="0" w:after="283"/>
              <w:jc w:val="left"/>
              <w:rPr/>
            </w:pPr>
            <w:r>
              <w:rPr/>
              <w:t> </w:t>
            </w:r>
          </w:p>
        </w:tc>
      </w:tr>
      <w:tr>
        <w:trPr/>
        <w:tc>
          <w:tcPr>
            <w:tcW w:w="4543"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w:t>
            </w:r>
          </w:p>
        </w:tc>
        <w:tc>
          <w:tcPr>
            <w:tcW w:w="3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5" w:type="dxa"/>
            <w:tcBorders/>
            <w:vAlign w:val="bottom"/>
          </w:tcPr>
          <w:p>
            <w:pPr>
              <w:pStyle w:val="TableContents"/>
              <w:bidi w:val="0"/>
              <w:spacing w:before="0" w:after="283"/>
              <w:jc w:val="right"/>
              <w:rPr/>
            </w:pPr>
            <w:r>
              <w:rPr/>
              <w:t>0.185</w:t>
            </w:r>
          </w:p>
        </w:tc>
        <w:tc>
          <w:tcPr>
            <w:tcW w:w="60"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50" w:type="dxa"/>
            <w:tcBorders/>
            <w:vAlign w:val="bottom"/>
          </w:tcPr>
          <w:p>
            <w:pPr>
              <w:pStyle w:val="TableContents"/>
              <w:bidi w:val="0"/>
              <w:spacing w:before="0" w:after="283"/>
              <w:jc w:val="right"/>
              <w:rPr/>
            </w:pPr>
            <w:r>
              <w:rPr/>
              <w:t>2,312,500</w:t>
            </w:r>
          </w:p>
        </w:tc>
        <w:tc>
          <w:tcPr>
            <w:tcW w:w="63" w:type="dxa"/>
            <w:tcBorders/>
            <w:vAlign w:val="bottom"/>
          </w:tcPr>
          <w:p>
            <w:pPr>
              <w:pStyle w:val="TableContents"/>
              <w:bidi w:val="0"/>
              <w:spacing w:before="0" w:after="283"/>
              <w:jc w:val="left"/>
              <w:rPr/>
            </w:pPr>
            <w:r>
              <w:rPr/>
              <w:t> </w:t>
            </w:r>
          </w:p>
        </w:tc>
      </w:tr>
      <w:tr>
        <w:trPr/>
        <w:tc>
          <w:tcPr>
            <w:tcW w:w="45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before expenses, to the selling stockholder(1)</w:t>
            </w:r>
          </w:p>
        </w:tc>
        <w:tc>
          <w:tcPr>
            <w:tcW w:w="3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5" w:type="dxa"/>
            <w:tcBorders/>
            <w:shd w:fill="CCEEFF" w:val="clear"/>
            <w:vAlign w:val="bottom"/>
          </w:tcPr>
          <w:p>
            <w:pPr>
              <w:pStyle w:val="TableContents"/>
              <w:bidi w:val="0"/>
              <w:spacing w:before="0" w:after="283"/>
              <w:jc w:val="right"/>
              <w:rPr/>
            </w:pPr>
            <w:r>
              <w:rPr/>
              <w:t>22.015</w:t>
            </w:r>
          </w:p>
        </w:tc>
        <w:tc>
          <w:tcPr>
            <w:tcW w:w="60"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50" w:type="dxa"/>
            <w:tcBorders/>
            <w:shd w:fill="CCEEFF" w:val="clear"/>
            <w:vAlign w:val="bottom"/>
          </w:tcPr>
          <w:p>
            <w:pPr>
              <w:pStyle w:val="TableContents"/>
              <w:bidi w:val="0"/>
              <w:spacing w:before="0" w:after="283"/>
              <w:jc w:val="right"/>
              <w:rPr/>
            </w:pPr>
            <w:r>
              <w:rPr/>
              <w:t>275,187,500</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 “Underwriting” for a description of the compensation payable to the underwriter.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underwriter expects to deliver the shares against payment in New York, New York on or about August 12,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8"/>
        </w:rPr>
      </w:pPr>
      <w:r>
        <w:rPr>
          <w:rFonts w:ascii="Times New Roman" w:hAnsi="Times New Roman"/>
          <w:b/>
          <w:sz w:val="28"/>
        </w:rPr>
        <w:t xml:space="preserve">J.P. Morgan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supplement is August 10,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12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40"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34120_1">
              <w:r>
                <w:rPr>
                  <w:rStyle w:val="InternetLink"/>
                  <w:rFonts w:ascii="Times New Roman" w:hAnsi="Times New Roman"/>
                  <w:sz w:val="20"/>
                </w:rPr>
                <w:t>INDUSTRY AND MARKET DATA</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S-iv</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34120_2">
              <w:r>
                <w:rPr>
                  <w:rStyle w:val="InternetLink"/>
                  <w:rFonts w:ascii="Times New Roman" w:hAnsi="Times New Roman"/>
                  <w:sz w:val="20"/>
                </w:rPr>
                <w:t>TRADEMARKS, SERVICE MARKS, AND TRADENAMES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S-v</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34120_3">
              <w:r>
                <w:rPr>
                  <w:rStyle w:val="InternetLink"/>
                  <w:rFonts w:ascii="Times New Roman" w:hAnsi="Times New Roman"/>
                  <w:sz w:val="20"/>
                </w:rPr>
                <w:t>PROSPECTUS SUPPLEMENT 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34120_4">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34120_5">
              <w:r>
                <w:rPr>
                  <w:rStyle w:val="InternetLink"/>
                  <w:rFonts w:ascii="Times New Roman" w:hAnsi="Times New Roman"/>
                  <w:sz w:val="20"/>
                </w:rPr>
                <w:t>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S-9</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34120_6">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S-12</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34120_7">
              <w:r>
                <w:rPr>
                  <w:rStyle w:val="InternetLink"/>
                  <w:rFonts w:ascii="Times New Roman" w:hAnsi="Times New Roman"/>
                  <w:sz w:val="20"/>
                </w:rPr>
                <w:t>SELLING STOCKHOLDER</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S-13</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34120_8">
              <w:r>
                <w:rPr>
                  <w:rStyle w:val="InternetLink"/>
                  <w:rFonts w:ascii="Times New Roman" w:hAnsi="Times New Roman"/>
                  <w:sz w:val="20"/>
                </w:rPr>
                <w:t>UNDERWRITING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S-14</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34120_9">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S-22</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34120_10">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S-22</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34120_11">
              <w:r>
                <w:rPr>
                  <w:rStyle w:val="InternetLink"/>
                  <w:rFonts w:ascii="Times New Roman" w:hAnsi="Times New Roman"/>
                  <w:sz w:val="20"/>
                </w:rPr>
                <w:t>WHERE YOU CAN FIND MORE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S-23</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34120_12">
              <w:r>
                <w:rPr>
                  <w:rStyle w:val="InternetLink"/>
                  <w:rFonts w:ascii="Times New Roman" w:hAnsi="Times New Roman"/>
                  <w:sz w:val="20"/>
                </w:rPr>
                <w:t>INFORMATION INCORPORATED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S-24</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34120_1">
              <w:r>
                <w:rPr>
                  <w:rStyle w:val="InternetLink"/>
                  <w:rFonts w:ascii="Times New Roman" w:hAnsi="Times New Roman"/>
                  <w:sz w:val="20"/>
                </w:rPr>
                <w:t>INDUSTRY AND MARKET DATA</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iii</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34120_2">
              <w:r>
                <w:rPr>
                  <w:rStyle w:val="InternetLink"/>
                  <w:rFonts w:ascii="Times New Roman" w:hAnsi="Times New Roman"/>
                  <w:sz w:val="20"/>
                </w:rPr>
                <w:t>TRADEMARKS, SERVICE MARKS, AND TRADENAMES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iv</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34120_3">
              <w:r>
                <w:rPr>
                  <w:rStyle w:val="InternetLink"/>
                  <w:rFonts w:ascii="Times New Roman" w:hAnsi="Times New Roman"/>
                  <w:sz w:val="20"/>
                </w:rPr>
                <w:t>PROSPECTUS SUMMARY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34120_4">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34120_5">
              <w:r>
                <w:rPr>
                  <w:rStyle w:val="InternetLink"/>
                  <w:rFonts w:ascii="Times New Roman" w:hAnsi="Times New Roman"/>
                  <w:sz w:val="20"/>
                </w:rPr>
                <w:t>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34120_6">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34120_7">
              <w:r>
                <w:rPr>
                  <w:rStyle w:val="InternetLink"/>
                  <w:rFonts w:ascii="Times New Roman" w:hAnsi="Times New Roman"/>
                  <w:sz w:val="20"/>
                </w:rPr>
                <w:t>SELLING STOCKHOLDER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34120_8">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34120_9">
              <w:r>
                <w:rPr>
                  <w:rStyle w:val="InternetLink"/>
                  <w:rFonts w:ascii="Times New Roman" w:hAnsi="Times New Roman"/>
                  <w:sz w:val="20"/>
                </w:rPr>
                <w:t>CERTAIN UNITED STATES FEDERAL INCOME TAX CONSEQUENCES TO NON-U.S. HOLDERS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34120_10">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34120_11">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34120_12">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34120_13">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34120_14">
              <w:r>
                <w:rPr>
                  <w:rStyle w:val="InternetLink"/>
                  <w:rFonts w:ascii="Times New Roman" w:hAnsi="Times New Roman"/>
                  <w:sz w:val="20"/>
                </w:rPr>
                <w:t>INFORMATION INCORPORATED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You should rely only on the information contained or incorporated by reference in this prospectus supplement and the accompanying prospectus or any free writing prospectus we may authorize to be delivered or made available to you. Neither we nor the selling stockholder or the underwriter have authorized anyone to provide you with information or to make any representations different from those contained or incorporated by reference in this prospectus supplement and the accompanying prospectus or any free writing prospectus prepared by us or on our behalf. Neither we nor the selling stockholder or the underwriter take any responsibility for, or can provide any assurance as to the reliability of, any information other than the information contained or incorporated by reference in this prospectus supplement and the accompanying prospectus or any free writing prospectus prepared by us or on our behalf. This prospectus supplement and the accompanying prospectus or any applicable free writing prospectus is an offer to sell only the shares of common stock offered hereby, but only under circumstances where it is lawful to do so. The selling stockholder and the underwriter are not offering to sell shares of our common stock in any jurisdiction where an offer or sale is not permitted. The information contained in or incorporated by reference in this prospectus supplement and the accompanying prospectus or any applicable free writing prospectus prepared by us or on our behalf is accurate only as of the date of this prospectus supplement, regardless of the time of delivery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of this prospectus supplement and the accompanying prospectus or any applicable free writing prospectus, as the case may be, or any sale of shares of our common stock. Our business, results of operations, and financial condition may have changed since such date. </w:t>
      </w:r>
    </w:p>
    <w:p>
      <w:pPr>
        <w:pStyle w:val="TextBody"/>
        <w:bidi w:val="0"/>
        <w:spacing w:before="240" w:after="0"/>
        <w:jc w:val="left"/>
        <w:rPr>
          <w:rFonts w:ascii="Times New Roman" w:hAnsi="Times New Roman"/>
          <w:sz w:val="20"/>
        </w:rPr>
      </w:pPr>
      <w:r>
        <w:rPr>
          <w:rFonts w:ascii="Times New Roman" w:hAnsi="Times New Roman"/>
          <w:sz w:val="20"/>
        </w:rPr>
        <w:t xml:space="preserve">For investors outside of the United States, neither we nor the selling stockholder or the underwriter have done anything that would permit an offering of shares of our common stock or the possession or distribution of this prospectus supplement and the accompanying prospectus or any applicable free writing prospectus, in any jurisdiction where action for that purpose is required, other than in the United States. You are required to inform yourselves about and to observe any restrictions relating to an offering of shares of common stock and the possession or distribution of this prospectus supplement and the accompanying prospectus or any applicable free writing prospectus outside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document has two parts, a prospectus supplement and an accompanying prospectus dated August 10, 2026. This prospectus supplement and the accompanying prospectus are part of a registration statement that we filed with the SEC, utilizing the SEC’s “shelf” registration process. The prospectus supplement, which describes certain matters relating to us and the specific terms of this offering of shares of our common stock, adds to and updates information contained in the accompanying prospectus and the documents incorporated by reference herein. Generally, when we refer to this document, we are referring to both parts of this document combined. Both this prospectus supplement and the accompanying prospectus include important information about us, our common stock, and other information you should know before investing in our common stock. To the extent the information contained in this prospectus supplement differs or varies from the information contained in the accompanying prospectus, you should rely on the information contained in this prospectus supplement. If the information contained in this prospectus supplement differs or varies from the information contained in a document we have incorporated by reference, you should rely on the information in the more recent document. </w:t>
      </w:r>
    </w:p>
    <w:p>
      <w:pPr>
        <w:pStyle w:val="TextBody"/>
        <w:bidi w:val="0"/>
        <w:spacing w:before="240" w:after="0"/>
        <w:jc w:val="left"/>
        <w:rPr>
          <w:rFonts w:ascii="Times New Roman" w:hAnsi="Times New Roman"/>
          <w:sz w:val="20"/>
        </w:rPr>
      </w:pPr>
      <w:r>
        <w:rPr>
          <w:rFonts w:ascii="Times New Roman" w:hAnsi="Times New Roman"/>
          <w:sz w:val="20"/>
        </w:rPr>
        <w:t xml:space="preserve">Before you invest in our common stock, you should read the registration statement of which this document forms a part and this document, including the documents incorporated by reference herein that are described under the heading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distribution of this prospectus supplement and the accompanying prospectus and the offering of the common stock in certain jurisdictions may be restricted by law. Neither the selling stockholder nor the underwriter are making an offer of the common stock in any jurisdiction where the offer is not permitted. Persons who come into possession of this prospectus supplement and the accompanying prospectus should inform themselves about and observe any such restrictions. This prospectus supplement and the accompanying prospectus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 </w:t>
      </w:r>
    </w:p>
    <w:p>
      <w:pPr>
        <w:pStyle w:val="TextBody"/>
        <w:bidi w:val="0"/>
        <w:spacing w:before="240" w:after="0"/>
        <w:jc w:val="left"/>
        <w:rPr>
          <w:rFonts w:ascii="Times New Roman" w:hAnsi="Times New Roman"/>
          <w:sz w:val="20"/>
        </w:rPr>
      </w:pPr>
      <w:r>
        <w:rPr>
          <w:rFonts w:ascii="Times New Roman" w:hAnsi="Times New Roman"/>
          <w:sz w:val="20"/>
        </w:rPr>
        <w:t xml:space="preserve">You should not consider any information in this prospectus supplement or the accompanying prospectus to be investment, legal, or tax advice. You should consult your own counsel, accountant, and other advisors for legal, tax, business, financial, and related advice regarding the purchase of the common stock. None of us, the selling stockholder, or the underwriter are making any representation to you regarding the legality of an investment in the common stock by you under applicable investment or similar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3" w:name="supptx134120_1"/>
      <w:bookmarkEnd w:id="3"/>
      <w:r>
        <w:rPr>
          <w:rFonts w:ascii="Times New Roman" w:hAnsi="Times New Roman"/>
          <w:b/>
          <w:sz w:val="20"/>
        </w:rPr>
        <w:t xml:space="preserve">INDUSTRY AND MARKET DATA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incorporates by reference, and any accompanying prospectus or free writing prospectus may contain information and statistics that we have obtained from various independent third- party sources, including independent industry publications, reports by market research firms, and other independent sources. Certain data and other information contained or incorporated by reference in this prospectus supplement, any accompanying prospectus or applicable free writing prospectus, including information with respect to our market position, are also based on management’s estimates and calculations, which are derived from our review and interpretation of internal surveys and third-party sources. Data regarding the industries in which we compete and our market position and market share within these industries are inherently imprecise, require the making of certain assumptions and are subject to significant business, economic and competitive uncertainties beyond our control, but we believe they generally indicate size, position and market share within these industries. Statements regarding the Company’s leading position are based on market share as calculated by revenue. While we believe such information is reliable, we have not independently verified any third-party information and our internal data has not been verified by any independent source. While we believe our internal company research and estimates are reliable, such research and estimates have not been verified by any independent source. In addition, assumptions and estimates of our and our industry’s future performance are necessarily subject to a high degree of uncertainty and risk due to a variety of factors, including those described in “Risk Factors” in this prospectus supplement and under similar headings in other documents that are incorporated by reference herein. These and other factors could cause our future performance to differ materially from our assumptions and estimates. See “Forward-Looking Statements.” As a result, you should be aware that market, ranking, and other similar industry data included in this prospectus supplement, and estimates and beliefs based on that data may not be reliable. None of us, the selling stockholder and the underwriter can guarantee the accuracy or completeness of any such information contained in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4" w:name="supptx134120_2"/>
      <w:bookmarkEnd w:id="4"/>
      <w:r>
        <w:rPr>
          <w:rFonts w:ascii="Times New Roman" w:hAnsi="Times New Roman"/>
          <w:b/>
          <w:sz w:val="20"/>
        </w:rPr>
        <w:t xml:space="preserve">TRADEMARKS, SERVICE MARKS, AND TRADENAMES </w:t>
      </w:r>
    </w:p>
    <w:p>
      <w:pPr>
        <w:pStyle w:val="TextBody"/>
        <w:bidi w:val="0"/>
        <w:spacing w:before="240" w:after="0"/>
        <w:jc w:val="left"/>
        <w:rPr>
          <w:rFonts w:ascii="Times New Roman" w:hAnsi="Times New Roman"/>
          <w:sz w:val="20"/>
        </w:rPr>
      </w:pPr>
      <w:r>
        <w:rPr>
          <w:rFonts w:ascii="Times New Roman" w:hAnsi="Times New Roman"/>
          <w:sz w:val="20"/>
        </w:rPr>
        <w:t xml:space="preserve">We own a number of registered and common law trademarks and pending applications for trademark registrations in the United States and other countries, including, for example: First Advantage, Profile Advantage, Enterprise Advantage, Insight Advantage, Verified!, Roadready, Sterling, Corporate Screening, among others. Unless otherwise indicated, all trademarks, tradenames, and service marks appearing in this prospectus supplement or incorporated by reference herein are proprietary to us, our affiliates, and/or licensors. This prospectus supplement and the documents incorporated by reference herein also contain trademarks, tradenames, and service marks of other companies, which are the property of their respective owners. Solely for convenience, the trademarks, tradenames, and service marks referred to in this prospectus supplement and in the information incorporated by reference herein may appear without the ® and  symbols, but such references are not intended to indicate, in any way, that we will not assert, to the fullest extent under applicable law, our rights or the rights of the applicable licensors to these trademarks, tradenames, and service marks. We do not intend our use or display of other parties’ trademarks, tradenames, or service marks to imply, and such use or display should not be construed to imply, a relationship with, or endorsement or sponsorship of us by, these other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S-v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bookmarkStart w:id="5" w:name="supptx134120_3"/>
      <w:bookmarkEnd w:id="5"/>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This summary highlights selected information contained elsewhere or incorporated by reference in this prospectus supplement or any accompanying prospectus and does not contain all of the information that you should consider before deciding to invest in our common stock. You should read the entire prospectus supplement, any accompanying prospectus, and the documents incorporated herein or therein carefully, including “Risk Factors” and our consolidated financial statements and related notes incorporated by reference into this prospectus supplement and the accompanying prospectus, before making an investment decision. This summary contains forward-looking statements that involve risks and uncertainties.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otherwise indicated or the context otherwise requires, references in this prospectus supplement to the “Company,” “First Advantage,” “we,” “us,” and “our” means the business of First Advantage Corporation and its subsidiaries.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First Advantage Corporation (“First Advantage” or the “Company”) is a global software and data company. We provide comprehensive, end-to-end identity solutions, criminal background screening, credential verifications, drug and health screening, and continuous risk monitoring. Combining AI-powered proprietary technology platforms with proprietary data, primary source data, and third-party data, we help organizations hire with confidence and manage risk across the entire employee lifecycle.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transform screening data into actionable intelligence—with benchmarking, insights, and continuous monitoring that help organizations make smarter workforce decisions.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With over 80,000 customers worldwide—including approximately two-thirds of the Fortune 100—we deliver fast, comprehensive, and reliable identity verification, screening, and monitoring solutions for employers, their candidates, and their employees. We conduct more than 200 million screens annually across over 200 countries and territories, supported by decades of experience and proprietary databases containing over 1 billion records.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Identity, trust, and the way people work are shifting faster than ever. Organizations face unprecedented challenges: generative artificial intelligence (“AI”) and deepfake enabled identity-fraud, increasing regulatory complexity, borderless, distributed workforces, gig-based employment models, high churn and rapid role-switching, hybrid hiring, and social media risks. In this environment, identity can no longer be verified once; it must be actively understood, verified at multiple points in the employee lifecycle, and intelligently managed. First Advantage is well positioned to be a leader in this transformation, advancing the industry from fragmented, point-in-time checks to regular and persistent identity and background check across the full employee lifecycle.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expertise and resources position us to grow market share by focusing on strategic industries and companies, increasing our share with existing customers, upselling and cross-selling products and solutions, and winning new customers. We engage multiple stakeholders within customer organizations, including Executive Management, Human Resources, Talent Acquisition, Compliance, Risk, Legal, Safety, and Vendor Management, who rely on our products and solutions.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verticalized go-to-market strategy delivers highly relevant products and solutions for targeted industry sectors, enabling us to build a diversified customer portfolio and effectively serve many of the largest, most sophisticated, and fastest-growing companies in the world. We have built a powerful, efficient customer-centric sales model, fueled by frequent customer engagement and deep subject-matter expertise in industry-specific compliance and regulatory requirements, which enables us to create meaningful, scalable products and solutions and drive consistent new business, upsell and cross-sell opportunities.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combination of our deep market expertise from our sales and support teams with the flexibility of our proprietary technology platforms enables us to deliver industry-relevant, highly specialized solutions to our customers in a scalable manner, driving growth and differentiating us from our competitors. This has allowed us to develop a highly trusted brand and long-standing relationships with our customers, as evidenced by our high customer satisfaction scores, average over 13-year tenure of our top 100 customers, and gross retention rate of approximately 96% as of December 31, 2025.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technology is highly configurable, scalable, and extensible, integrating with more than 100 third-party Human Capital Management (“HCM”) software platforms and Applicant Tracking Systems (“ATS”) to provide visibility and input into our customers’ human resources processes which informs our development of products and services for them. Our AI-powered platforms deliver automated process outputs including anomaly detection, analytical insights, and continuous monitoring reports, transforming screening data into actionable insights and benchmarking capabilities. We leverage our proprietary internal databases, which include over 1 billion US criminal, education, and work history records as of December 31, 2025, and an extensive, highly curated network of thousands of automated, integrated primary source and third-party data providers. With approximately 90% of U.S. criminal records screenings completed in one day, we deliver fast turnaround times without sacrificing quality or compliance.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remain focused on leveraging our deep industry expertise with advanced technologies to deliver comprehensive identity solutions, while driving exceptional customer value through continuous product innovation. Our roadmap is defined by perpetual evolution: introducing frequent updates and new features that anticipate and respond to customer needs and industry trends. Recent advancements include digital biometric identity verification with liveness detection, synthetic identity and deepfake detection, continuous criminal monitoring, mobile-first AI-enabled candidate experiences, AI-powered employment verifications (SmartHub), continuous driver monitoring (RoadReady), and instant oral drug testing. We combine cutting-edge technology with deep human insight to help organizations navigate an increasingly complex landscape. We are defining the future of identity at work and delivering the data, technology, and innovation that enable organizations to hire with confidence and manage risk at scale.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Sponsor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Silver Lake (“Silver Lake” or the “Sponsor”) is a global technology investment firm, with more than $110 billion in combined assets under management and committed capital and a team of professionals based in North America, Europe and Asia. Silver Lake’s portfolio companies collectively generate approximately $307 billion of revenue annually and employ approximately 433,000 people globally.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common stock began trading on Nasdaq under the symbol “FA” on June 23, 2021 and we consummated the IPO on June 25, 2021.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began our operations in 2003. First Advantage Corporation was incorporated in Delaware on November 15, 2019 in connection with the Silver Lake Transaction. Our principal offices are located at 1 Concourse Parkway NE, Suite 200, Atlanta, Georgia 30328. Our telephone number is (678)-868-4151. We maintain a website at www.fadv.com. The reference to our website is intended to be an inactive textual reference only. The information contained on, or that can be accessed through, our website is not part of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Issuer</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First Advantage Corporation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Common stock offered by the selling stockholder</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12,500,000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Distribution In-Kind</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In connection with the offering, the selling stockholder will distribute up to 4,200,000 shares of First Advantage’s common stock to its limited partners on or about the date of closing of the offering (the “Distribution”).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Common stock outstanding</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171,753,691 shares as of July 31,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Use of proceeds</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We will not receive any proceeds from the sale of shares of common stock pursuant to this prospectus supplement. The selling stockholder will receive all of the net proceeds of the sale of shares of common stock offered pursuant to this prospectus supplement and bear all commissions and discounts from the sale of our common stock by the selling stockholder. See “Principal and Selling Stockholder.”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Risk factors</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Investing in shares of our common stock involves a high degree of risk. Before making a decision to invest in our common stock, you should refer to the risk factors contained in or incorporated by reference under “Risk Factors” on page S-4 of this prospectus supplement and the accompanying prospectus and under similar headings in other documents that are incorporated by reference herein.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b/>
                <w:sz w:val="20"/>
              </w:rPr>
              <w:t>Trading symbol</w:t>
            </w:r>
            <w:r>
              <w:rPr>
                <w:rFonts w:ascii="Times New Roman" w:hAnsi="Times New Roman"/>
                <w:sz w:val="20"/>
              </w:rPr>
              <w:t xml:space="preserve"> </w:t>
            </w:r>
          </w:p>
        </w:tc>
        <w:tc>
          <w:tcPr>
            <w:tcW w:w="6330" w:type="dxa"/>
            <w:tcBorders/>
          </w:tcPr>
          <w:p>
            <w:pPr>
              <w:pStyle w:val="TableContents"/>
              <w:bidi w:val="0"/>
              <w:spacing w:before="0" w:after="283"/>
              <w:jc w:val="left"/>
              <w:rPr/>
            </w:pPr>
            <w:r>
              <w:rPr/>
              <w:t>“</w:t>
            </w:r>
            <w:r>
              <w:rPr/>
              <w:t xml:space="preserve">FA”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6" w:name="supptx134120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common stock involves risks. You should carefully consider the risks and uncertainties described in our most recent Annual Report on Form 10-K and our subsequent Quarterly Reports on Form 10-Q, which are incorporated by reference herein, as the same may be updated from time to time by our subsequent filings under the Securities Exchange Act of 1934, as amended (the “Exchange Act”). You should also carefully consider the other information contained in this prospectus supplement, as updated by our subsequent filings under the Exchange Act, and the risk factors and other information contained in any accompanying prospectus or free writing prospectus, before acquiring any shares of our common stock. These risks reflect our beliefs and opinions as to factors that could materially affect our business, results of operations, or financial condition, and cause the value of our common stock to decline, and are not the only risks and uncertainties facing us or related to an investment in our Company. The occurrence of any of the events described below could harm our business, financial condition, results of operations and growth prospects. Additional risks and uncertainties not currently known to us or that we currently deem immaterial also may impair our financial condition and business operations. References to past events are provided only as an example and are not intended to be a complete representation as to whether such factors have occurred in the past or their likelihood of occurring in the future. You should also carefully review the cautionary statements referred to under the section titled “Special Note Regarding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this Offering and Ownership of our 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Silver Lake controls us and its interests may conflict with yours in the future. </w:t>
      </w:r>
    </w:p>
    <w:p>
      <w:pPr>
        <w:pStyle w:val="TextBody"/>
        <w:bidi w:val="0"/>
        <w:spacing w:before="120" w:after="0"/>
        <w:jc w:val="left"/>
        <w:rPr>
          <w:rFonts w:ascii="Times New Roman" w:hAnsi="Times New Roman"/>
          <w:sz w:val="20"/>
        </w:rPr>
      </w:pPr>
      <w:r>
        <w:rPr>
          <w:rFonts w:ascii="Times New Roman" w:hAnsi="Times New Roman"/>
          <w:sz w:val="20"/>
        </w:rPr>
        <w:t xml:space="preserve">Silver Lake is expected to beneficially own 42.8% of our outstanding common stock after this offering and the Distribution. As a result, Silver Lake is able to effectively control the election and removal of our directors and thereby determine our corporate and management policies, including potential mergers or acquisitions, payment of dividends, asset sales, amendment of our certificate of incorporation or bylaws and other significant corporate transactions for so long as Silver Lake and its affiliates retain significant ownership of us. So long as Silver Lake continues to own a significant amount of our combined voting power, even if such amount is less than 50%, Silver Lake will continue to be able to strongly influence or effectively control our decisions and, so long as Silver Lake and its affiliates collectively own at least 5% of all outstanding shares of our stock entitled to vote generally in the election of directors, Silver Lake will be able to nominate individuals to our Board of Directors under our stockholders’ agreement. In addition, the stockholders’ agreement grants to Silver Lake and its affiliates and certain of their transferees certain governance rights for as long as Silver Lake and its affiliates and certain of their transferees maintain ownership of at least 25% of our outstanding common stock, including rights of approval over the entry into joint ventures or similar business alliances having a fair market value of more than $100 million, incurrence of debt for borrowed money in excess of $100 million, the increase or reduction in the size of our Board of Directors, initiation of any liquidation, dissolution, bankruptcy or other insolvency proceeding, the appointment or termination of our Chief Executive Officer, or any material change in the nature of our business. The interests of Silver Lake may not coincide with the interests of other holders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their business activities, Silver Lake and its affiliates may engage in activities where their interests conflict with our interests or those of our stockholders. Our certificate of incorporation provides that Silver Lake, any of its affiliates or any director who is not employed by us (including any non-employee director who serves as one of our officers in both his or her director and officer capacities) or his or her affiliates will not have any duty to refrain from engaging, directly or indirectly, in the same business activities or similar business activities or lines of business in which we operate. Silver Lake also may pursue acquisition opportunities that may be complementary to our business and, as a result, those acquisition opportunities may not be available to us. In addition, Silver Lake may have an interest in pursuing acquisitions, divestitures and other transactions that, in their judgment, could enhance its investment, even though such transactions might involve risks to you.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addition, Silver Lake and its affiliates are able to effectively control or significantly influence the outcome of all matters requiring stockholder approval, including a change of control or acquisition of the Company or a change in the composition of our Board of Directors. Further, under the stockholders’ agreement, so long as Silver Lake and its affiliates and certain of their transferees maintain ownership of at least 25% of our outstanding common stock, they will have approval rights of any change of control transaction, which could preclude any unsolicited acquisition of our shares. This concentration of voting control could delay or deter possible changes in control of the Company, deprive you of an opportunity to receive a premium for your shares of common stock as part of a sale of the Company and ultimately might affect the market price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stock price may be highly volatile or may decline regardless of our operating performance, and you may not be able to resell shares of our common stock at or above the price you paid or at all, and you could lose all or part of your investment as a result. </w:t>
      </w:r>
    </w:p>
    <w:p>
      <w:pPr>
        <w:pStyle w:val="TextBody"/>
        <w:bidi w:val="0"/>
        <w:spacing w:before="120" w:after="0"/>
        <w:jc w:val="left"/>
        <w:rPr>
          <w:rFonts w:ascii="Times New Roman" w:hAnsi="Times New Roman"/>
          <w:sz w:val="20"/>
        </w:rPr>
      </w:pPr>
      <w:r>
        <w:rPr>
          <w:rFonts w:ascii="Times New Roman" w:hAnsi="Times New Roman"/>
          <w:sz w:val="20"/>
        </w:rPr>
        <w:t xml:space="preserve">The trading price of our common stock may be highly volatile and may be adversely affected due to a number of factors, most of which we cannot control, including those listed elsewhere under this “Risk Factors” section, in the section entitled “Risk Factors” in our Annual Report on Form 10-K for the fiscal year ended December 31, 2025 and incorporated by reference herein, in addition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results of operations that vary from the expectations of securities analysts and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results of operations that vary from those of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expectations as to our future financial performance, including financial estimates and investment recommendations by securities analysts and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economic conditions for companies in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market valuations of, or earnings and other announcements by, companies in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declines in the market prices of stocks generally;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or departures of key management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strategic actions by us or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by us, our competitors, our suppliers or our distributors of significant contracts, price reductions, new products or technologies, acquisitions, dispositions, joint marketing relationships, joint ventures, other strategic relationships or capital commitments;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preference of our customers and our market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general economic or market conditions or trends in our industry or the economy as a whole;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business or regulatory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sales of our common stock or other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investor perceptions of the investment opportunity associated with our common stock relative to other investment alternatives;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public’s response to press releases or other public announcements by us or third parties, including our filings with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or proposed changes in laws or regulations or differing interpretations or enforcement thereof affecting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relating to litigation or governmental investigations;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guidance, if any, that we provide to the public, any changes in this guidance or our failure to meet this guidance;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development and sustainability of an active trading market for our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accounting principles;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events or factors, including those resulting from informational technology system failures and disruptions, cybersecurity incidents, geopolitical instability, natural disasters, war, acts of terrorism or responses to these events.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Furthermore, the stock market may experience extreme volatility that, in some cases, may be unrelated or disproportionate to the operating performance of particular companies. These broad market and industry fluctuations may adversely affect the market price of our common stock, regardless of our actual operating performance. In addition, price volatility may be greater if the public float and trading volume of our common stock is low. In the past, following periods of market volatility, stockholders have instituted securities class action litigation. If we were to become involved in securities litigation, it could have a substantial cost and divert resources and the attention of executive management from our business regardless of the outcome of such litigation.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do not intend to pay dividends for the foreseeable future. </w:t>
      </w:r>
    </w:p>
    <w:p>
      <w:pPr>
        <w:pStyle w:val="TextBody"/>
        <w:bidi w:val="0"/>
        <w:spacing w:before="120" w:after="0"/>
        <w:jc w:val="left"/>
        <w:rPr>
          <w:rFonts w:ascii="Times New Roman" w:hAnsi="Times New Roman"/>
          <w:sz w:val="20"/>
        </w:rPr>
      </w:pPr>
      <w:r>
        <w:rPr>
          <w:rFonts w:ascii="Times New Roman" w:hAnsi="Times New Roman"/>
          <w:sz w:val="20"/>
        </w:rPr>
        <w:t xml:space="preserve">We currently intend to retain any future earnings to finance the operation and expansion of our business and we do not expect to declare or pay any dividends in the foreseeable future. The declaration, amount and payment of any future dividends will be at the sole discretion of our board of directors, and will depend on, among other things, general and economic conditions, our results of operations and financial condition, our available cash and current and anticipated cash needs, capital requirements, contractual, legal, tax and regulatory restrictions and implications on the payment of dividends by us to our stockholders or by our subsidiaries to us, including restrictions under our credit agreement and other indebtedness we may incur, and such other factors as our board of directors may deem relevant. See the section entitled “Dividend Policy” included in our Annual Report on Form 10-K for the fiscal year ended December 31, 2025 and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As a result, you may not receive any return on an investment in our common stock unless you sell our common stock for a price greater than your purchase price. </w:t>
      </w:r>
    </w:p>
    <w:p>
      <w:pPr>
        <w:pStyle w:val="TextBody"/>
        <w:bidi w:val="0"/>
        <w:spacing w:before="360" w:after="0"/>
        <w:jc w:val="left"/>
        <w:rPr>
          <w:rFonts w:ascii="Times New Roman" w:hAnsi="Times New Roman"/>
          <w:b/>
          <w:i/>
          <w:sz w:val="20"/>
        </w:rPr>
      </w:pPr>
      <w:r>
        <w:rPr>
          <w:rFonts w:ascii="Times New Roman" w:hAnsi="Times New Roman"/>
          <w:b/>
          <w:i/>
          <w:sz w:val="20"/>
        </w:rPr>
        <w:t xml:space="preserve">First Advantage Corporation is a holding company with no operations of its own and, as such, it depends on its subsidiaries for cash to fund all of its operations and expenses, including future dividend payments, if any. </w:t>
      </w:r>
    </w:p>
    <w:p>
      <w:pPr>
        <w:pStyle w:val="TextBody"/>
        <w:bidi w:val="0"/>
        <w:spacing w:before="120" w:after="0"/>
        <w:jc w:val="left"/>
        <w:rPr>
          <w:rFonts w:ascii="Times New Roman" w:hAnsi="Times New Roman"/>
          <w:sz w:val="20"/>
        </w:rPr>
      </w:pPr>
      <w:r>
        <w:rPr>
          <w:rFonts w:ascii="Times New Roman" w:hAnsi="Times New Roman"/>
          <w:sz w:val="20"/>
        </w:rPr>
        <w:t xml:space="preserve">Our operations are conducted entirely through our subsidiaries and our ability to generate cash to meet our debt service obligations or to make future dividend payments, if any, is highly dependent on the earnings and the receipt of funds from our subsidiaries via dividends or intercompany loans. We currently do not intend to pay dividends on our common stock; however, to the extent that we determine in the future to pay dividends on our common stock, the agreements governing our indebtedness may restrict the ability of our subsidiaries to pay dividends or otherwise transfer assets to us. In addition, Delaware law may impose requirements that may restrict our ability to pay dividends to holders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may be diluted by the future issuance of additional common stock in connection with our incentive plans, acquisitions or otherwise. </w:t>
      </w:r>
    </w:p>
    <w:p>
      <w:pPr>
        <w:pStyle w:val="TextBody"/>
        <w:bidi w:val="0"/>
        <w:spacing w:before="120" w:after="0"/>
        <w:jc w:val="left"/>
        <w:rPr>
          <w:rFonts w:ascii="Times New Roman" w:hAnsi="Times New Roman"/>
          <w:sz w:val="20"/>
        </w:rPr>
      </w:pPr>
      <w:r>
        <w:rPr>
          <w:rFonts w:ascii="Times New Roman" w:hAnsi="Times New Roman"/>
          <w:sz w:val="20"/>
        </w:rPr>
        <w:t xml:space="preserve">As of July 31, 2026, we had approximately 828,246,309 shares of authorized but unissued common stock. Our amended and restated certificate of incorporation authorizes us to issue these shares of common stock and securities relating to common stock for the consideration and on the terms and conditions established by our board of directors in its sole discretion, whether in connection with acquisitions or otherwise. We have reserved shares for issuance under the 2021 Equity Plan and the ESPP. Any common stock that we issue, including under the 2021 Equity Plan or the ESPP or other equity incentive plans that we may adopt in the future, would dilute the percentage ownership held by the investors who purchase common stock. In the future, we may also issue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securities in connection with investments or acquisitions. The amount of shares of our common stock issued in connection with an investment or acquisition could constitute a material portion of our then-outstanding shares of our common stock. Any issuance of additional securities in connection with investments or acquisitions may result in additional dilution to you.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sales, or the perception of future sales, of our common stock, by us or our existing stockholders in the public market could cause the market price for our common stock to decline. </w:t>
      </w:r>
    </w:p>
    <w:p>
      <w:pPr>
        <w:pStyle w:val="TextBody"/>
        <w:bidi w:val="0"/>
        <w:spacing w:before="120" w:after="0"/>
        <w:jc w:val="left"/>
        <w:rPr>
          <w:rFonts w:ascii="Times New Roman" w:hAnsi="Times New Roman"/>
          <w:sz w:val="20"/>
        </w:rPr>
      </w:pPr>
      <w:r>
        <w:rPr>
          <w:rFonts w:ascii="Times New Roman" w:hAnsi="Times New Roman"/>
          <w:sz w:val="20"/>
        </w:rPr>
        <w:t xml:space="preserve">The sale of substantial amounts of shares of our common stock in the public market after this offering, or the perception that such sales could occur, could harm the prevailing market price of shares of our common stock. These sales, or the possibility that these sales may occur, also might make it more difficult for us to sell equity securities in the future at a time and at a price that we deem appropriate.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has signed a lock-up agreement in connection with this offering that, subject to certain exceptions, restrict the sale of the shares of our common stock and certain other securities held by it for a period ending 30 days from the date of this prospectus supplement except with the prior written consent of the underwriter. Upon the expiration of such lock-up agreements, all of the outstanding 73,555,240 shares held by the selling stockholder will be eligible for resale in a public market, subject to vesting in some cases and to volume, manner of sale, and other limitations under Rule 144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Shares held by Silver Lake and certain of our directors, officers and employees are eligible for resale, subject to volume, manner of sale and other limitations under Rule 144, and subject to transfer restrictions applicable to certain members of our management and Silver Lake who are party to our stockholders’ agreement. In addition, pursuant to our stockholders’ agreement, Silver Lake has the right, subject to certain conditions, to require us to register the sale of their shares of our common stock under the Securities Act of 1933 (as amended, the “Securities Act”). Certain of our stockholders will also have “piggyback” registration rights with respect to future registered offerings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If such registration rights are exercised, the market price of our shares of common stock could drop significantly. This could also make it more difficult for us to raise additional funds through future offerings of our shares of common stock or other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Anti-takeover provisions in our organizational documents could delay or prevent a 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of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provide for,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classified board of directors, as a result of which our board of directors is divided into three classes, with each class serving for staggered three-year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our board of directors to issue one or more series of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advance notice requirements for nominations of directors by stockholders and for stockholders to include matters to be considered at our annual meetings;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limitations on convening special stockholder meetings;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removal of directors only for cause and only upon the affirmative vote of the holders of at least 662/3% of the shares of common stock entitled to vote generally in the election of directors if Silver Lake and its affiliates cease to beneficially own at least 50% of shares of common stock entitled to vote generally in the election of directors;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certain provisions may be amended only by the affirmative vote of at least 662/3% of shares of common stock entitled to vote generally in the election of directors if Silver Lake and its affiliates cease to beneficially own at least 50% of shares of common stock entitled to vote generally in the election of directors.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anti-takeover provisions could make it more difficult for a third party to acquire us, even if the third party’s offer may be considered beneficial by many of our stockholders. As a result, our stockholders may be limited in their ability to obtain a premium for their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board of directors is authorized to issue and designate shares of our preferred stock in additional series without stockholder approval.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authorizes our board of directors, without the approval of our stockholders, to issue 250,000,000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amended and restated certificate of incorporation provides, subject to limited exceptions, that state and federal courts (as appropriate) located within the State of Delaware will be the sole and exclusive forum for certain stockholder litigation matters, which could limit our stockholders’ ability to obtain a favorable judicial forum for disputes with us or our directors, officers, employees or stockholders.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subject to limited exceptions, that unless we consent to the selection of an alternative forum, the state or federal courts (as appropriate) located within the State of Delaware shall, to the fullest extent permitted by law, be the sole and exclusive forum for any (i) derivative action or proceeding brought on behalf of our company, (ii) action asserting a claim of breach of a fiduciary duty owed by any director, officer, or other employee or stockholder of our company to the Company or our stockholders, creditors or other constituents, (iii) action asserting a claim against the Company or any director or officer of the Company arising pursuant to any provision of the Delaware General Corporation Law, or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 The choice of forum provision described in the preceding sentence does not apply to claims brought under the Securities Act or the Securities Exchange Act of 1934 (as amended, the “Exchange Act”), meaning that nothing in our amended and restated certificate of incorporation or amended and restated by-laws will preclude stockholders that assert claims under the Securities Act or the Exchange Act, from bringing such claims in state or federal court, subject to applicable law. Our exclusive forum provision shall not relieve the Company of its duties to comply with the federal securities laws and the rules and regulations thereunder, and our stockholders will not be deemed to have waived our compliance with these laws, rules and regulations. Further, stockholders may not waive their rights under the Exchange Act, including their right to bring suit. </w:t>
      </w:r>
    </w:p>
    <w:p>
      <w:pPr>
        <w:pStyle w:val="TextBody"/>
        <w:bidi w:val="0"/>
        <w:spacing w:before="240" w:after="0"/>
        <w:jc w:val="left"/>
        <w:rPr>
          <w:rFonts w:ascii="Times New Roman" w:hAnsi="Times New Roman"/>
          <w:sz w:val="20"/>
        </w:rPr>
      </w:pPr>
      <w:r>
        <w:rPr>
          <w:rFonts w:ascii="Times New Roman" w:hAnsi="Times New Roman"/>
          <w:sz w:val="20"/>
        </w:rPr>
        <w:t xml:space="preserve">Any person or entity purchasing or otherwise acquiring any interest in shares of our capital stock shall be deemed to have notice of and consented to the forum provisions in our amended and restated certificate of incorporation. 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7" w:name="supptx134120_5"/>
      <w:bookmarkEnd w:id="7"/>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includes and incorporates by reference forward-looking statements, within the meaning of the Private Securities Litigation Reform Act of 1995, that reflect our current views with respect to, among other things, our operations and financial performance. Forward-looking statements include all statements that are not historical facts. These forward-looking statements are included in or incorporated by reference into this prospectus supplement and relate to matters such as our industry, business strategy, goals and expectations concerning our market position, future operations, margins, profitability, capital expenditures, liquidity and capital resources and other financial and operating information. In some cases, you can identify these forward- looking statements by the use of words such as “anticipate,” “assume,” “believe,” “continue,” “could,” “estimate,” “expect,” “intend,” “may,” “plan,” “potential,” “predict,” “project,” “future,” “will,” “seek,” “foreseeable,” the negative version of these words, or similar terms and phrases.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subject to various risks, uncertainties, assumptions or changes in circumstances that are difficult to predict or quantify. Such risks and uncertainties include, but are not limited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Macroeconomic factors beyond our control, including the state of the economy, could impact demand and the fulfillment costs for our products and solutions.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operate in a highly regulated industry and are subject to numerous and evolving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Continued scrutiny of collection, use, and processing of personal data and data security could lead to increased restrictions, loss of revenue opportunity, greater costs of compliance, and lost efficiency.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be able to identify and successfully implement our growth strategies on a timely basis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Social, ethical, and legal issues relating to the use of new and evolving technologies, such as artificial intelligence and machine learning, in our offerings may result in reputational harm and liability.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damage to our reputation or our brand could adversely affect our business,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our customers reduce their operations, downsize their screening programs, or otherwise demand fewer of our products and solutions, our business could be adversely impacted.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operate in a penetrated and competitive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rely on third-party data and service providers. If they are unable to deliver or perform as expected, our ability to operate effectively may be impaired, and our business may be materially and adversely affected.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to government entities and higher-tier contractors to governmental customers involve unique competitive, procurement, budget, administrative and contractual risks, any of which could materially adversely impact our business,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Due to the sensitive and privacy-driven nature of our products and solutions, we could face liability and legal or regulatory proceedings, which could be costly and time-consuming to defend and may not be fully covered by insurance.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brand, and reputation may be harmed as a result of security breaches, cyber-attacks, employee or other internal misconduct, computer viruses, or the mishandling of personal data.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international business exposes us to a number of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 or perceived errors, failures, or bugs in our products could adversely affect our business, results of operations, financial condition, and growth prospects.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realize the expected benefits of our acquisition of Sterling Check Corp. (“Sterling”) could adversely affect our business and the value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be able to identify attractive acquisition targets and strategic partnerships or successfully complete such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comply with anti-corruption, economic and trade sanctions, and anti-money laundering laws and regulations could have an adverse effect on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Disruptions at our Operation Centers of Excellence and other operational sites could adversely impact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not guaranteed exclusivity or volumes in all of our contracts with our customers and our customers may experience major business changes that impact our current or future revenue streams.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Disruptions with our technology and network infrastructure, including our data centers, servers, and third-party cloud and internet providers, and our migration to the cloud, could have an adverse impact on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continue to integrate our platforms and solutions with that of human resource software providers or if our relationships with human resource software providers deteriorate, our business could be adversely affected.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risks relating to public opinion, which may be magnified by incidents or adverse publicity concerning our industry or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rely on third-party vendors to carry out certain portions of our operations. If they cannot deliver or perform as expected or if our relationships with them are terminated or otherwise change, our business operations and results of operations could be materially and adversely affected.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continued success depends in large part on the service of our key executives and our ability to find and retain qualified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obtain, maintain, protect and enforce our intellectual property and other proprietary information, or if we infringe, misappropriate or violate the intellectual property rights of others, the value of our brands and other intangible assets may be diminished, and our business may be adversely affected.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maintain, protect and enforce the confidentiality of our trade secrets, our business and competitive position would be harmed.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use of open-source software in our applications may expose us to additional risks and harm our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Seasonality may cause our operating results to fluctuate from quarter to quarter.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comply with the agreements relating to our outstanding indebtedness, including as a result of events beyond our control, could result in an event of default that could materially adversely affect our business, results of operations, and financial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Silver Lake controls us and its interests may conflict with yours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stock price may be highly volatile or may decline regardless of our operating performance, and you may not be able to resell shares of our common stock at or above the price you paid or at all, and you could lose all or part of your investment as a result.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do not intend to pay dividends for the foreseeable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manner and volume of repurchases of common stock pursuant to our share repurchase program.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interpretation of tax laws may have a material adverse effect on our business.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implementation cycles can be lengthy and variable, depend upon factors outside our control, and could cause us unexpected delays in generating revenues or result in lower than anticipated revenues.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indebtedness could adversely affect our ability to raise additional capital to fund our operations, limit our ability to react to changes in the economy or our industry, and prevent us from meeting our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require a significant amount of cash to service our debt, and our ability to generate cash depends on many factors beyond our control, and any failure to meet our debt service obligations could materially adversely affect our business, results of operations, and financial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debt instruments restrict our current and future operations, particularly our ability to respond to changes or take certain 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First Advantage Corporation is a holding company with no operations of its own and, as such, it depends on its subsidiaries for cash to fund all of its operations and expenses, including future dividend payments,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factors disclosed or incorporated by reference in this prospectus supplement.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factors should not be construed as exhaustive and should be read in conjunction with the other cautionary statements that are included in or incorporated by reference into this prospectus supplement. Should one or more of these risks or uncertainties materialize, or should any of our assumptions prove incorrect, our actual results may vary in material respects from those projected in these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Any forward-looking statements made by us in this prospectus supplement or incorporated by reference herein speaks only as of the date of this prospectus supplement or the document incorporated or deemed incorporated by reference herein and are expressly qualified in their entirety by the cautionary statements included in or incorporated by reference into this prospectus supplement. Factors or events that could cause our actual results to differ may emerge from time to time, and it is not possible for us to predict all of them. We may not actually achieve the plans, intentions or expectations disclosed in our forward- looking statements and you should not place undue reliance on our forward-looking statements. Our forward- looking statements do not reflect the potential impact of any future acquisitions, mergers, dispositions, joint ventures, investments or other strategic transactions we may make. We undertake no obligation to publicly update or review any forward-looking statement, whether as a result of new information, future developments or otherwise, except as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Investors and others should note that we routinely announce financial and other material information using our Investor Relations website (investors.fadv.com), SEC filings, press releases, public conference calls, and webcasts. We use these channels of distribution to communicate with our investors and members of the public about our company, our services, and other items of interest. Information contained on our website is not part of this prospectus supplement or our other filings with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8" w:name="supptx134120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will receive all of the net proceeds from the sale of shares of our common stock offered pursuant to this prospectus supplement. We will not receive any proceeds from the sale of shares being sold pursuant to this prospectus supplement. The selling stockholder will bear the underwriting commissions and discounts attributable to its sale of our common stock, and expenses incurred by the selling stockholder for brokerage, accounting, tax services, or any other expenses incurred by the selling stockholder, except we will bear the fees and expenses of one counsel for the selling stockholder. We will bear all other costs, fees, and expenses incurred in effecting the registration of the shares covered by this prospectus supplement, including, without limitation, all registration and filing fees, and fees and expenses of our counsel and one counsel for the selling stockholder and our independent registered public accountants.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9" w:name="supptx134120_7"/>
      <w:bookmarkEnd w:id="9"/>
      <w:r>
        <w:rPr>
          <w:rFonts w:ascii="Times New Roman" w:hAnsi="Times New Roman"/>
          <w:b/>
          <w:sz w:val="20"/>
        </w:rPr>
        <w:t xml:space="preserve">SELLING STOCKHOLDER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contains information about the beneficial ownership of our common stock as of July 31, 2026, (i) immediately prior to the consummation of this offering and (ii) as adjusted to reflect the sale of shares of our common stock offered by this prospectus supplement by the selling stockholder.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and percentage ownership are determined in accordance with the rules and regulations of the SEC. Under SEC rules, a person is deemed to be a “beneficial owner” of a security if that person has or shares voting power or investment power, which includes the power to dispose of or to direct the disposition of such security. A person is also deemed to be a beneficial owner of any securities of which that person has a right to acquire beneficial ownership within 60 days. Securities that can be so acquired are deemed to be outstanding for purposes of computing such person’s ownership percentage, but not for purposes of computing any other person’s percentage. Under these rules, more than one person may be deemed to be a beneficial owner of the same securities and a person may be deemed to be a beneficial owner of securities as to which such person has no economic interest. Except as indicated in the footnotes to the following table or pursuant to applicable community property laws, we believe, based on information furnished to us, that the stockholder named in the table has sole voting and investment power with respect to the shares set forth opposite its name. </w:t>
      </w:r>
    </w:p>
    <w:p>
      <w:pPr>
        <w:pStyle w:val="TextBody"/>
        <w:bidi w:val="0"/>
        <w:spacing w:before="240" w:after="0"/>
        <w:jc w:val="left"/>
        <w:rPr>
          <w:rFonts w:ascii="Times New Roman" w:hAnsi="Times New Roman"/>
          <w:sz w:val="20"/>
        </w:rPr>
      </w:pPr>
      <w:r>
        <w:rPr>
          <w:rFonts w:ascii="Times New Roman" w:hAnsi="Times New Roman"/>
          <w:sz w:val="20"/>
        </w:rPr>
        <w:t xml:space="preserve">Our calculation of the percentage of beneficial ownership prior to and after the offering is based on 171,753,691 shares of common stock outstanding as of July 31,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03"/>
        <w:gridCol w:w="83"/>
        <w:gridCol w:w="60"/>
        <w:gridCol w:w="1152"/>
        <w:gridCol w:w="60"/>
        <w:gridCol w:w="83"/>
        <w:gridCol w:w="141"/>
        <w:gridCol w:w="1050"/>
        <w:gridCol w:w="275"/>
        <w:gridCol w:w="83"/>
        <w:gridCol w:w="60"/>
        <w:gridCol w:w="1113"/>
        <w:gridCol w:w="60"/>
        <w:gridCol w:w="83"/>
        <w:gridCol w:w="66"/>
        <w:gridCol w:w="1093"/>
        <w:gridCol w:w="60"/>
        <w:gridCol w:w="83"/>
        <w:gridCol w:w="60"/>
        <w:gridCol w:w="1126"/>
        <w:gridCol w:w="358"/>
        <w:gridCol w:w="83"/>
        <w:gridCol w:w="141"/>
        <w:gridCol w:w="1050"/>
        <w:gridCol w:w="279"/>
      </w:tblGrid>
      <w:tr>
        <w:trPr/>
        <w:tc>
          <w:tcPr>
            <w:tcW w:w="1503"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1503"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2546" w:type="dxa"/>
            <w:gridSpan w:val="6"/>
            <w:tcBorders>
              <w:bottom w:val="single" w:sz="8" w:space="0" w:color="000000"/>
            </w:tcBorders>
            <w:tcMar>
              <w:bottom w:w="28" w:type="dxa"/>
            </w:tcMar>
            <w:vAlign w:val="bottom"/>
          </w:tcPr>
          <w:p>
            <w:pPr>
              <w:pStyle w:val="TableContents"/>
              <w:bidi w:val="0"/>
              <w:spacing w:before="0" w:after="283"/>
              <w:jc w:val="center"/>
              <w:rPr/>
            </w:pPr>
            <w:r>
              <w:rPr/>
              <w:t>Shares of Common Stock</w:t>
              <w:br/>
              <w:t>Beneficially Owned Prior to</w:t>
              <w:br/>
              <w:t>this Offering and the</w:t>
              <w:br/>
              <w:t>Distribution</w:t>
            </w:r>
          </w:p>
        </w:tc>
        <w:tc>
          <w:tcPr>
            <w:tcW w:w="275" w:type="dxa"/>
            <w:tcBorders/>
            <w:vAlign w:val="bottom"/>
          </w:tcPr>
          <w:p>
            <w:pPr>
              <w:pStyle w:val="TableContents"/>
              <w:bidi w:val="0"/>
              <w:spacing w:before="0" w:after="283"/>
              <w:jc w:val="left"/>
              <w:rPr/>
            </w:pPr>
            <w:r>
              <w:rPr/>
              <w:t> </w:t>
            </w:r>
          </w:p>
        </w:tc>
        <w:tc>
          <w:tcPr>
            <w:tcW w:w="83" w:type="dxa"/>
            <w:vMerge w:val="restart"/>
            <w:tcBorders/>
            <w:vAlign w:val="bottom"/>
          </w:tcPr>
          <w:p>
            <w:pPr>
              <w:pStyle w:val="TableContents"/>
              <w:bidi w:val="0"/>
              <w:spacing w:before="0" w:after="283"/>
              <w:jc w:val="left"/>
              <w:rPr/>
            </w:pPr>
            <w:r>
              <w:rPr/>
              <w:t> </w:t>
            </w:r>
          </w:p>
        </w:tc>
        <w:tc>
          <w:tcPr>
            <w:tcW w:w="1173"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t>Shares of</w:t>
              <w:br/>
              <w:t>Common</w:t>
              <w:br/>
              <w:t>Stock to be</w:t>
              <w:br/>
              <w:t>Sold in this</w:t>
              <w:br/>
              <w:t>Offering</w:t>
            </w:r>
          </w:p>
        </w:tc>
        <w:tc>
          <w:tcPr>
            <w:tcW w:w="60" w:type="dxa"/>
            <w:vMerge w:val="restart"/>
            <w:tcBorders/>
            <w:vAlign w:val="bottom"/>
          </w:tcPr>
          <w:p>
            <w:pPr>
              <w:pStyle w:val="TableContents"/>
              <w:bidi w:val="0"/>
              <w:spacing w:before="0" w:after="283"/>
              <w:jc w:val="left"/>
              <w:rPr/>
            </w:pPr>
            <w:r>
              <w:rPr/>
              <w:t> </w:t>
            </w:r>
          </w:p>
        </w:tc>
        <w:tc>
          <w:tcPr>
            <w:tcW w:w="83" w:type="dxa"/>
            <w:vMerge w:val="restart"/>
            <w:tcBorders/>
            <w:vAlign w:val="bottom"/>
          </w:tcPr>
          <w:p>
            <w:pPr>
              <w:pStyle w:val="TableContents"/>
              <w:bidi w:val="0"/>
              <w:spacing w:before="0" w:after="283"/>
              <w:jc w:val="left"/>
              <w:rPr/>
            </w:pPr>
            <w:r>
              <w:rPr/>
              <w:t> </w:t>
            </w:r>
          </w:p>
        </w:tc>
        <w:tc>
          <w:tcPr>
            <w:tcW w:w="1159"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t>Shares of</w:t>
              <w:br/>
              <w:t>Common</w:t>
              <w:br/>
              <w:t>Stock to be</w:t>
              <w:br/>
              <w:t>Distributed</w:t>
              <w:br/>
              <w:t>in the</w:t>
              <w:br/>
              <w:t>Distribution</w:t>
            </w:r>
          </w:p>
        </w:tc>
        <w:tc>
          <w:tcPr>
            <w:tcW w:w="60" w:type="dxa"/>
            <w:vMerge w:val="restart"/>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2818" w:type="dxa"/>
            <w:gridSpan w:val="6"/>
            <w:tcBorders>
              <w:bottom w:val="single" w:sz="8" w:space="0" w:color="000000"/>
            </w:tcBorders>
            <w:tcMar>
              <w:bottom w:w="28" w:type="dxa"/>
            </w:tcMar>
            <w:vAlign w:val="bottom"/>
          </w:tcPr>
          <w:p>
            <w:pPr>
              <w:pStyle w:val="TableContents"/>
              <w:bidi w:val="0"/>
              <w:spacing w:before="0" w:after="283"/>
              <w:jc w:val="center"/>
              <w:rPr/>
            </w:pPr>
            <w:r>
              <w:rPr/>
              <w:t>Shares of Common Stock</w:t>
              <w:br/>
              <w:t>Beneficially Owned After</w:t>
              <w:br/>
              <w:t>this Offering and the</w:t>
              <w:br/>
              <w:t>Distribution</w:t>
            </w:r>
          </w:p>
        </w:tc>
        <w:tc>
          <w:tcPr>
            <w:tcW w:w="279" w:type="dxa"/>
            <w:tcBorders/>
            <w:vAlign w:val="bottom"/>
          </w:tcPr>
          <w:p>
            <w:pPr>
              <w:pStyle w:val="TableContents"/>
              <w:bidi w:val="0"/>
              <w:spacing w:before="0" w:after="283"/>
              <w:jc w:val="left"/>
              <w:rPr/>
            </w:pPr>
            <w:r>
              <w:rPr/>
              <w:t> </w:t>
            </w:r>
          </w:p>
        </w:tc>
      </w:tr>
      <w:tr>
        <w:trPr/>
        <w:tc>
          <w:tcPr>
            <w:tcW w:w="1503"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Name</w:t>
            </w:r>
          </w:p>
        </w:tc>
        <w:tc>
          <w:tcPr>
            <w:tcW w:w="83" w:type="dxa"/>
            <w:tcBorders/>
            <w:vAlign w:val="bottom"/>
          </w:tcPr>
          <w:p>
            <w:pPr>
              <w:pStyle w:val="TableContents"/>
              <w:bidi w:val="0"/>
              <w:spacing w:before="0" w:after="283"/>
              <w:jc w:val="left"/>
              <w:rPr/>
            </w:pPr>
            <w:r>
              <w:rPr/>
              <w:t> </w:t>
            </w:r>
          </w:p>
        </w:tc>
        <w:tc>
          <w:tcPr>
            <w:tcW w:w="1212" w:type="dxa"/>
            <w:gridSpan w:val="2"/>
            <w:tcBorders>
              <w:bottom w:val="single" w:sz="8" w:space="0" w:color="000000"/>
            </w:tcBorders>
            <w:tcMar>
              <w:bottom w:w="28" w:type="dxa"/>
            </w:tcMar>
            <w:vAlign w:val="bottom"/>
          </w:tcPr>
          <w:p>
            <w:pPr>
              <w:pStyle w:val="TableContents"/>
              <w:bidi w:val="0"/>
              <w:spacing w:before="0" w:after="283"/>
              <w:jc w:val="center"/>
              <w:rPr/>
            </w:pPr>
            <w:r>
              <w:rPr/>
              <w:t>Number</w:t>
              <w:br/>
              <w:t>of Shares</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91" w:type="dxa"/>
            <w:gridSpan w:val="2"/>
            <w:tcBorders>
              <w:bottom w:val="single" w:sz="8" w:space="0" w:color="000000"/>
            </w:tcBorders>
            <w:tcMar>
              <w:bottom w:w="28" w:type="dxa"/>
            </w:tcMar>
            <w:vAlign w:val="bottom"/>
          </w:tcPr>
          <w:p>
            <w:pPr>
              <w:pStyle w:val="TableContents"/>
              <w:bidi w:val="0"/>
              <w:spacing w:before="0" w:after="283"/>
              <w:jc w:val="center"/>
              <w:rPr/>
            </w:pPr>
            <w:r>
              <w:rPr/>
              <w:t>Percent of</w:t>
              <w:br/>
              <w:t>Common</w:t>
              <w:br/>
              <w:t>Stock</w:t>
              <w:br/>
              <w:t>Outstanding</w:t>
            </w:r>
          </w:p>
        </w:tc>
        <w:tc>
          <w:tcPr>
            <w:tcW w:w="275" w:type="dxa"/>
            <w:tcBorders/>
            <w:vAlign w:val="bottom"/>
          </w:tcPr>
          <w:p>
            <w:pPr>
              <w:pStyle w:val="TableContents"/>
              <w:bidi w:val="0"/>
              <w:spacing w:before="0" w:after="283"/>
              <w:jc w:val="left"/>
              <w:rPr/>
            </w:pPr>
            <w:r>
              <w:rPr/>
              <w:t> </w:t>
            </w:r>
          </w:p>
        </w:tc>
        <w:tc>
          <w:tcPr>
            <w:tcW w:w="83" w:type="dxa"/>
            <w:vMerge w:val="continue"/>
            <w:tcBorders/>
            <w:vAlign w:val="bottom"/>
          </w:tcPr>
          <w:p>
            <w:pPr>
              <w:pStyle w:val="Normal"/>
              <w:bidi w:val="0"/>
              <w:jc w:val="left"/>
              <w:rPr/>
            </w:pPr>
            <w:r>
              <w:rPr/>
            </w:r>
          </w:p>
        </w:tc>
        <w:tc>
          <w:tcPr>
            <w:tcW w:w="1173"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83" w:type="dxa"/>
            <w:vMerge w:val="continue"/>
            <w:tcBorders>
              <w:bottom w:val="single" w:sz="8" w:space="0" w:color="000000"/>
            </w:tcBorders>
            <w:tcMar>
              <w:bottom w:w="28" w:type="dxa"/>
            </w:tcMar>
            <w:vAlign w:val="bottom"/>
          </w:tcPr>
          <w:p>
            <w:pPr>
              <w:pStyle w:val="Normal"/>
              <w:bidi w:val="0"/>
              <w:jc w:val="left"/>
              <w:rPr/>
            </w:pPr>
            <w:r>
              <w:rPr/>
            </w:r>
          </w:p>
        </w:tc>
        <w:tc>
          <w:tcPr>
            <w:tcW w:w="1159" w:type="dxa"/>
            <w:gridSpan w:val="2"/>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83" w:type="dxa"/>
            <w:tcBorders/>
            <w:vAlign w:val="bottom"/>
          </w:tcPr>
          <w:p>
            <w:pPr>
              <w:pStyle w:val="TableContents"/>
              <w:bidi w:val="0"/>
              <w:spacing w:before="0" w:after="283"/>
              <w:jc w:val="left"/>
              <w:rPr/>
            </w:pPr>
            <w:r>
              <w:rPr/>
              <w:t> </w:t>
            </w:r>
          </w:p>
        </w:tc>
        <w:tc>
          <w:tcPr>
            <w:tcW w:w="1186" w:type="dxa"/>
            <w:gridSpan w:val="2"/>
            <w:tcBorders>
              <w:bottom w:val="single" w:sz="8" w:space="0" w:color="000000"/>
            </w:tcBorders>
            <w:tcMar>
              <w:bottom w:w="28" w:type="dxa"/>
            </w:tcMar>
            <w:vAlign w:val="bottom"/>
          </w:tcPr>
          <w:p>
            <w:pPr>
              <w:pStyle w:val="TableContents"/>
              <w:bidi w:val="0"/>
              <w:spacing w:before="0" w:after="283"/>
              <w:jc w:val="center"/>
              <w:rPr/>
            </w:pPr>
            <w:r>
              <w:rPr/>
              <w:t>Number of</w:t>
              <w:br/>
              <w:t>Shares</w:t>
            </w:r>
          </w:p>
        </w:tc>
        <w:tc>
          <w:tcPr>
            <w:tcW w:w="358"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91" w:type="dxa"/>
            <w:gridSpan w:val="2"/>
            <w:tcBorders>
              <w:bottom w:val="single" w:sz="8" w:space="0" w:color="000000"/>
            </w:tcBorders>
            <w:tcMar>
              <w:bottom w:w="28" w:type="dxa"/>
            </w:tcMar>
            <w:vAlign w:val="bottom"/>
          </w:tcPr>
          <w:p>
            <w:pPr>
              <w:pStyle w:val="TableContents"/>
              <w:bidi w:val="0"/>
              <w:spacing w:before="0" w:after="283"/>
              <w:jc w:val="center"/>
              <w:rPr/>
            </w:pPr>
            <w:r>
              <w:rPr/>
              <w:t>Percent of</w:t>
              <w:br/>
              <w:t>Common</w:t>
              <w:br/>
              <w:t>Stock</w:t>
              <w:br/>
              <w:t>Outstanding</w:t>
            </w:r>
          </w:p>
        </w:tc>
        <w:tc>
          <w:tcPr>
            <w:tcW w:w="279" w:type="dxa"/>
            <w:tcBorders/>
            <w:vAlign w:val="bottom"/>
          </w:tcPr>
          <w:p>
            <w:pPr>
              <w:pStyle w:val="TableContents"/>
              <w:bidi w:val="0"/>
              <w:spacing w:before="0" w:after="283"/>
              <w:jc w:val="left"/>
              <w:rPr/>
            </w:pPr>
            <w:r>
              <w:rPr/>
              <w:t> </w:t>
            </w:r>
          </w:p>
        </w:tc>
      </w:tr>
      <w:tr>
        <w:trPr/>
        <w:tc>
          <w:tcPr>
            <w:tcW w:w="15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SLP Fastball Aggregator, L.P.(1)</w:t>
            </w:r>
          </w:p>
        </w:tc>
        <w:tc>
          <w:tcPr>
            <w:tcW w:w="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89,557,840</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52.1</w:t>
            </w:r>
          </w:p>
        </w:tc>
        <w:tc>
          <w:tcPr>
            <w:tcW w:w="27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12,500,000</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4,028,842</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73,555,240</w:t>
            </w:r>
          </w:p>
        </w:tc>
        <w:tc>
          <w:tcPr>
            <w:tcW w:w="358" w:type="dxa"/>
            <w:tcBorders/>
            <w:shd w:fill="CCEEFF" w:val="clear"/>
            <w:vAlign w:val="bottom"/>
          </w:tcPr>
          <w:p>
            <w:pPr>
              <w:pStyle w:val="TableContents"/>
              <w:bidi w:val="0"/>
              <w:spacing w:before="0" w:after="283"/>
              <w:jc w:val="left"/>
              <w:rPr/>
            </w:pPr>
            <w:r>
              <w:rPr/>
              <w:t>(2) </w:t>
            </w:r>
          </w:p>
        </w:tc>
        <w:tc>
          <w:tcPr>
            <w:tcW w:w="8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283"/>
              <w:jc w:val="right"/>
              <w:rPr/>
            </w:pPr>
            <w:r>
              <w:rPr/>
              <w:t>42.8</w:t>
            </w:r>
          </w:p>
        </w:tc>
        <w:tc>
          <w:tcPr>
            <w:tcW w:w="279"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shares held of record by SLP Fastball Aggregator, L.P. SLP V Aggregator GP, L.L.C. is the general partner of SLP Fastball Aggregator, L.P. Silver Lake Technology Associates V, L.P. is the managing member of SLP V Aggregator GP, L.L.C. SLTA V (GP), L.L.C. is the general partner of Silver Lake Technology Associates V, L.P. Silver Lake Group, L.L.C., is the managing member of SLTA V (GP), L.L.C. The managing members of Silver Lake Group, L.L.C. are Egon Durban, Kenneth Hao, Christian Lucas, Gregory Mondre, Joseph Osnoss, and Lee Wittlinger. The principal business address for each of the entities identified in this paragraph is c/o Silver Lake Group, L.L.C., 2775 Sand Hill Road, Suite 100 Menlo Park, CA 94025.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526,242 of the 4,028,842 shares of common stock that were distributed in the Distribution that remain held and beneficially owned by affiliates of the selling stockholder.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0" w:name="supptx134120_8"/>
      <w:bookmarkEnd w:id="10"/>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We and the selling stockholder named herein have entered into an underwriting agreement (the “Underwriting Agreement”) with the underwriter with respect to the shares of common stock subject to this offering. Subject to the terms and conditions in the Underwriting Agreement, the selling stockholder has agreed to sell to the underwriter, and the underwriter has agreed to purchase, 12,500,000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set forth in the Underwriting Agreement, the underwriter has agreed to purchase all of the shares sold under the Underwriting Agreement if any of these shares are purchased. </w:t>
      </w:r>
    </w:p>
    <w:p>
      <w:pPr>
        <w:pStyle w:val="TextBody"/>
        <w:bidi w:val="0"/>
        <w:spacing w:before="240" w:after="0"/>
        <w:jc w:val="left"/>
        <w:rPr>
          <w:rFonts w:ascii="Times New Roman" w:hAnsi="Times New Roman"/>
          <w:sz w:val="20"/>
        </w:rPr>
      </w:pPr>
      <w:r>
        <w:rPr>
          <w:rFonts w:ascii="Times New Roman" w:hAnsi="Times New Roman"/>
          <w:sz w:val="20"/>
        </w:rPr>
        <w:t xml:space="preserve">We and the selling stockholder have agreed to indemnify the underwriter against certain liabilities, including liabilities under the Securities Act, or to contribute to payments the underwriter may be required to make in respect of those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 is offering the shares, subject to prior sale, when, as and if issued to and accepted by it, subject to approval of legal matters by its counsel, including the validity of the shares, and other conditions contained in the Underwriting Agreement, such as the receipt by the underwriter of officer’s certificates and legal opinions. The underwriter reserves the right to withdraw, cancel or modify offers to the public and to reject orders in whole or in part. </w:t>
      </w:r>
    </w:p>
    <w:p>
      <w:pPr>
        <w:pStyle w:val="TextBody"/>
        <w:bidi w:val="0"/>
        <w:spacing w:before="360" w:after="0"/>
        <w:jc w:val="left"/>
        <w:rPr>
          <w:rFonts w:ascii="Times New Roman" w:hAnsi="Times New Roman"/>
          <w:b/>
          <w:sz w:val="20"/>
        </w:rPr>
      </w:pPr>
      <w:r>
        <w:rPr>
          <w:rFonts w:ascii="Times New Roman" w:hAnsi="Times New Roman"/>
          <w:b/>
          <w:sz w:val="20"/>
        </w:rPr>
        <w:t xml:space="preserve">Commissions and Discounts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shows the per share and total underwriting discounts and commissions to be paid to the underwriter by the selling stockholder. </w:t>
      </w:r>
    </w:p>
    <w:p>
      <w:pPr>
        <w:pStyle w:val="TextBody"/>
        <w:bidi w:val="0"/>
        <w:spacing w:before="480" w:after="0"/>
        <w:jc w:val="center"/>
        <w:rPr>
          <w:rFonts w:ascii="Times New Roman" w:hAnsi="Times New Roman"/>
          <w:b/>
          <w:sz w:val="20"/>
        </w:rPr>
      </w:pPr>
      <w:r>
        <w:rPr>
          <w:rFonts w:ascii="Times New Roman" w:hAnsi="Times New Roman"/>
          <w:b/>
          <w:sz w:val="20"/>
        </w:rPr>
        <w:t xml:space="preserve">Paid by the selling stockholder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250"/>
        <w:gridCol w:w="340"/>
        <w:gridCol w:w="178"/>
        <w:gridCol w:w="979"/>
        <w:gridCol w:w="60"/>
        <w:gridCol w:w="340"/>
        <w:gridCol w:w="151"/>
        <w:gridCol w:w="1390"/>
        <w:gridCol w:w="67"/>
      </w:tblGrid>
      <w:tr>
        <w:trPr/>
        <w:tc>
          <w:tcPr>
            <w:tcW w:w="4250" w:type="dxa"/>
            <w:tcBorders/>
            <w:vAlign w:val="center"/>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25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1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Share</w:t>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5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7" w:type="dxa"/>
            <w:tcBorders/>
            <w:vAlign w:val="bottom"/>
          </w:tcPr>
          <w:p>
            <w:pPr>
              <w:pStyle w:val="TableContents"/>
              <w:bidi w:val="0"/>
              <w:spacing w:before="0" w:after="283"/>
              <w:jc w:val="left"/>
              <w:rPr/>
            </w:pPr>
            <w:r>
              <w:rPr/>
              <w:t> </w:t>
            </w:r>
          </w:p>
        </w:tc>
      </w:tr>
      <w:tr>
        <w:trPr/>
        <w:tc>
          <w:tcPr>
            <w:tcW w:w="4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34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979" w:type="dxa"/>
            <w:tcBorders/>
            <w:shd w:fill="CCEEFF" w:val="clear"/>
            <w:vAlign w:val="bottom"/>
          </w:tcPr>
          <w:p>
            <w:pPr>
              <w:pStyle w:val="TableContents"/>
              <w:bidi w:val="0"/>
              <w:spacing w:before="0" w:after="283"/>
              <w:jc w:val="right"/>
              <w:rPr/>
            </w:pPr>
            <w:r>
              <w:rPr/>
              <w:t>22.20</w:t>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1390" w:type="dxa"/>
            <w:tcBorders/>
            <w:shd w:fill="CCEEFF" w:val="clear"/>
            <w:vAlign w:val="bottom"/>
          </w:tcPr>
          <w:p>
            <w:pPr>
              <w:pStyle w:val="TableContents"/>
              <w:bidi w:val="0"/>
              <w:spacing w:before="0" w:after="283"/>
              <w:jc w:val="right"/>
              <w:rPr/>
            </w:pPr>
            <w:r>
              <w:rPr/>
              <w:t>277,500,000</w:t>
            </w:r>
          </w:p>
        </w:tc>
        <w:tc>
          <w:tcPr>
            <w:tcW w:w="67" w:type="dxa"/>
            <w:tcBorders/>
            <w:shd w:fill="CCEEFF" w:val="clear"/>
            <w:vAlign w:val="bottom"/>
          </w:tcPr>
          <w:p>
            <w:pPr>
              <w:pStyle w:val="TableContents"/>
              <w:bidi w:val="0"/>
              <w:spacing w:before="0" w:after="283"/>
              <w:jc w:val="left"/>
              <w:rPr/>
            </w:pPr>
            <w:r>
              <w:rPr/>
              <w:t> </w:t>
            </w:r>
          </w:p>
        </w:tc>
      </w:tr>
      <w:tr>
        <w:trPr/>
        <w:tc>
          <w:tcPr>
            <w:tcW w:w="4250"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w:t>
            </w:r>
          </w:p>
        </w:tc>
        <w:tc>
          <w:tcPr>
            <w:tcW w:w="34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979" w:type="dxa"/>
            <w:tcBorders/>
            <w:vAlign w:val="bottom"/>
          </w:tcPr>
          <w:p>
            <w:pPr>
              <w:pStyle w:val="TableContents"/>
              <w:bidi w:val="0"/>
              <w:spacing w:before="0" w:after="283"/>
              <w:jc w:val="right"/>
              <w:rPr/>
            </w:pPr>
            <w:r>
              <w:rPr/>
              <w:t>0.185</w:t>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w:t>
            </w:r>
          </w:p>
        </w:tc>
        <w:tc>
          <w:tcPr>
            <w:tcW w:w="1390" w:type="dxa"/>
            <w:tcBorders/>
            <w:vAlign w:val="bottom"/>
          </w:tcPr>
          <w:p>
            <w:pPr>
              <w:pStyle w:val="TableContents"/>
              <w:bidi w:val="0"/>
              <w:spacing w:before="0" w:after="283"/>
              <w:jc w:val="right"/>
              <w:rPr/>
            </w:pPr>
            <w:r>
              <w:rPr/>
              <w:t>2,312,500</w:t>
            </w:r>
          </w:p>
        </w:tc>
        <w:tc>
          <w:tcPr>
            <w:tcW w:w="67" w:type="dxa"/>
            <w:tcBorders/>
            <w:vAlign w:val="bottom"/>
          </w:tcPr>
          <w:p>
            <w:pPr>
              <w:pStyle w:val="TableContents"/>
              <w:bidi w:val="0"/>
              <w:spacing w:before="0" w:after="283"/>
              <w:jc w:val="left"/>
              <w:rPr/>
            </w:pPr>
            <w:r>
              <w:rPr/>
              <w:t> </w:t>
            </w:r>
          </w:p>
        </w:tc>
      </w:tr>
      <w:tr>
        <w:trPr/>
        <w:tc>
          <w:tcPr>
            <w:tcW w:w="4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before expenses, to the selling stockholder</w:t>
            </w:r>
          </w:p>
        </w:tc>
        <w:tc>
          <w:tcPr>
            <w:tcW w:w="34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979" w:type="dxa"/>
            <w:tcBorders/>
            <w:shd w:fill="CCEEFF" w:val="clear"/>
            <w:vAlign w:val="bottom"/>
          </w:tcPr>
          <w:p>
            <w:pPr>
              <w:pStyle w:val="TableContents"/>
              <w:bidi w:val="0"/>
              <w:spacing w:before="0" w:after="283"/>
              <w:jc w:val="right"/>
              <w:rPr/>
            </w:pPr>
            <w:r>
              <w:rPr/>
              <w:t>22.015</w:t>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1390" w:type="dxa"/>
            <w:tcBorders/>
            <w:shd w:fill="CCEEFF" w:val="clear"/>
            <w:vAlign w:val="bottom"/>
          </w:tcPr>
          <w:p>
            <w:pPr>
              <w:pStyle w:val="TableContents"/>
              <w:bidi w:val="0"/>
              <w:spacing w:before="0" w:after="283"/>
              <w:jc w:val="right"/>
              <w:rPr/>
            </w:pPr>
            <w:r>
              <w:rPr/>
              <w:t>275,187,500</w:t>
            </w:r>
          </w:p>
        </w:tc>
        <w:tc>
          <w:tcPr>
            <w:tcW w:w="67"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Shares sold by the underwriter to the public will initially be offered at the public offering price set forth on the cover of this prospectus supplement. Any shares sold by the underwriter to securities dealers may be sold at a discount of up to $0.185 per share from the public offering price. After the initial offering of the shares, the underwriter may change the offering price and the other selling terms. The offering of the shares by the underwriter is subject to receipt and acceptance and subject to the underwriter’s right to reject any order in whole or in part. </w:t>
      </w:r>
    </w:p>
    <w:p>
      <w:pPr>
        <w:pStyle w:val="TextBody"/>
        <w:bidi w:val="0"/>
        <w:spacing w:before="240" w:after="0"/>
        <w:jc w:val="left"/>
        <w:rPr>
          <w:rFonts w:ascii="Times New Roman" w:hAnsi="Times New Roman"/>
          <w:sz w:val="20"/>
        </w:rPr>
      </w:pPr>
      <w:r>
        <w:rPr>
          <w:rFonts w:ascii="Times New Roman" w:hAnsi="Times New Roman"/>
          <w:sz w:val="20"/>
        </w:rPr>
        <w:t xml:space="preserve">The expenses of the offering, not including the underwriting discount, are estimated at $0.7 million and are payable by us. We have agreed to reimburse the underwriters for certain of their expenses in an amount up to $20,000. </w:t>
      </w:r>
    </w:p>
    <w:p>
      <w:pPr>
        <w:pStyle w:val="TextBody"/>
        <w:bidi w:val="0"/>
        <w:spacing w:before="360" w:after="0"/>
        <w:jc w:val="left"/>
        <w:rPr>
          <w:rFonts w:ascii="Times New Roman" w:hAnsi="Times New Roman"/>
          <w:b/>
          <w:sz w:val="20"/>
        </w:rPr>
      </w:pPr>
      <w:r>
        <w:rPr>
          <w:rFonts w:ascii="Times New Roman" w:hAnsi="Times New Roman"/>
          <w:b/>
          <w:sz w:val="20"/>
        </w:rPr>
        <w:t xml:space="preserve">No Sales of Similar Securities (Lock-Up Provision) </w:t>
      </w:r>
    </w:p>
    <w:p>
      <w:pPr>
        <w:pStyle w:val="TextBody"/>
        <w:bidi w:val="0"/>
        <w:spacing w:before="120" w:after="0"/>
        <w:jc w:val="left"/>
        <w:rPr>
          <w:rFonts w:ascii="Times New Roman" w:hAnsi="Times New Roman"/>
          <w:sz w:val="20"/>
        </w:rPr>
      </w:pPr>
      <w:r>
        <w:rPr>
          <w:rFonts w:ascii="Times New Roman" w:hAnsi="Times New Roman"/>
          <w:sz w:val="20"/>
        </w:rPr>
        <w:t xml:space="preserve">The selling stockholder has agreed with the underwriter, subject to certain exceptions, not to offer, sell, contract to sell, pledge, grant any option to purchase, lend or otherwise dispose of, or publicly disclose the intention to make any offer, sale, pledge or disposition of any shares of our common stock, or any options or warrants to purchase any shares of our common stock, or any securities convertible into, exchangeable for, or that represent the right to receive, shares of our common stock, engage in any hedging or other transaction or arrangement (including, without limitation, any short sale or the purchase or sale of, or entry into, any put or call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operation, or combination thereof, forward, swap or other derivative transaction or instrument) which is designed to or which could reasonably be expected to lead to or result in a sale, loan, pledge or other disposition or transfer of all or a portion of the economic consequences of ownership of our common stock or any securities convertible into or exercisable or exchangeable for shares of our common stock during the period from the date of this prospectus supplement continuing through the date 30 days after the date of this prospectus supplement (the “lock-up period”), except with the prior written consent of the underwriter. </w:t>
      </w:r>
    </w:p>
    <w:p>
      <w:pPr>
        <w:pStyle w:val="TextBody"/>
        <w:bidi w:val="0"/>
        <w:spacing w:before="240" w:after="0"/>
        <w:jc w:val="left"/>
        <w:rPr>
          <w:rFonts w:ascii="Times New Roman" w:hAnsi="Times New Roman"/>
          <w:sz w:val="20"/>
        </w:rPr>
      </w:pPr>
      <w:r>
        <w:rPr>
          <w:rFonts w:ascii="Times New Roman" w:hAnsi="Times New Roman"/>
          <w:sz w:val="20"/>
        </w:rPr>
        <w:t xml:space="preserve">The restrictions described in the paragraph above relating to the Company do not apply to: (i) the shares of common stock to be sold pursuant to this prospectus supplement, (ii) shares of common stock issued pursuant to employee benefit plans, qualified stock option plans or other employee compensation plans described in this prospectus supplement, (iii) shares of common stock issued upon the conversion or exchange of convertible or exchangeable securities outstanding as of the date of this prospectus supplement and described herein, (iv) any options or other awards (including without limitation, restricted stock or restricted stock units), or the shares of common stock issued with respect to, or upon the exercise or settlement of, such options and other awards, existing as of the closing of this offering or otherwise granted under the Company’s equity plans described in this prospectus supplement, (v) the filing of a registration statement on Form S-8, and the issuance of securities registered thereunder, relating to any benefit plans or arrangements disclosed in this prospectus supplement, (vi) the issuance of shares of common stock in connection with the acquisition of the assets of, or a majority of controlling portion of the equity of, or a business combination or a joint venture with, another entity in connection with such business combination or such acquisition by the Company or any of its subsidiaries of such entity, (vii) any issuance of shares of common stock (including without limitation, restricted stock or restricted stock awards) in connection with joint ventures, commercial relationships or other strategic transactions, provided that the aggregate number of shares issued or issuable pursuant to clauses (vi) and (vii) does not exceed 10% of the number of shares of common stock outstanding immediately after the offering of the common stock pursuant to this prospectus supplement and prior to such issuance, each recipient of any such securities shall execute and deliver to the representatives a lock-up agreement. </w:t>
      </w:r>
    </w:p>
    <w:p>
      <w:pPr>
        <w:pStyle w:val="TextBody"/>
        <w:bidi w:val="0"/>
        <w:spacing w:before="240" w:after="0"/>
        <w:jc w:val="left"/>
        <w:rPr>
          <w:rFonts w:ascii="Times New Roman" w:hAnsi="Times New Roman"/>
          <w:sz w:val="20"/>
        </w:rPr>
      </w:pPr>
      <w:r>
        <w:rPr>
          <w:rFonts w:ascii="Times New Roman" w:hAnsi="Times New Roman"/>
          <w:sz w:val="20"/>
        </w:rPr>
        <w:t xml:space="preserve">The restrictions described in the paragraph above relating to the selling stockholders shall be set forth in a lock-up agreement and do not apply to: (i) the pledge, hypothecation or other granting of a security interest in shares of common stock or securities convertible into or exchangeable for common stock to one or more lending institutions as collateral or security for any loan, advance or extension of credit and any transfer upon foreclosure upon such common stock or such securities; (ii) transactions relating to shares of common stock or other securities acquired in this offering or in the open market after the completion of this offering; (iii) bona fide gifts or for bona fide estate planning purposes; provided that it shall be a condition to any such transfer that the transferee agrees to be bound by the terms of a lock-up agreement (including, without limitation, the restrictions set forth in the preceding sentence); (iv) gifts, sales, distributions or other dispositions of shares of any class of the Company’s capital stock, in each case (A) that are made exclusively between and among the signatory to the lock-up agreement or members of the signatory’s family or other dependents, in the case of individuals, or (B) if the signatory is a corporation, partnership, limited liability company, trust or other business entity, (1) to another corporation, partnership, limited liability company, trust or other business entity that is an affiliate (as defined in Rule 405) of such signatory, or to any investment fund or other entity controlling, controlled by, managing or managed by or under common control with the signatory or affiliates of the signatory (including, for the avoidance of doubt, where the signatory is a partnership, to its general partner or a successor partnership or fund, or any other funds managed by such partnership), or (2) as part of a distribution, transfer or disposition to members, partners, shareholders or other equity holders of the signatory; provided that it shall be a condition to any such transfer that any transferee agrees to be bound by the terms of a lock-up agreement (including, without limitation, the restrictions set forth in the preceding sentence) to the same extent as if the transferee were a party hereto, and provided further that in the case of any transfer or distribution pursuant to clause (B), it shall be a condition to such transfer that no public filing, report or announcement shall be voluntarily made and if any filing under Section 16(a) of the Exchange Act, or other public filing, report or announcement reporting a reduction in beneficial ownership of shares of common stock in connection with such transfer or distribution shall be legally required during the lock-up period, such filing, report or announcement shall clearly indicate in the footnotes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thereto the nature and conditions of such transfer; (v) transfers by will or other testamentary document, or intestacy; (vi) if the signatory is a trust, transfers to the grantor or beneficiary of such trust; provided that it shall be a condition to any such transfer that the transferee agrees to be bound by the terms of a lock-up agreement (including, without limitation, the restrictions set forth in the preceding sentence) to the same extent as if the transferee were a party hereto; (vii) transfers to a nominee or custodian of a person or entity to whom a disposition or transfer would be permissible under clauses (iii) through (vi) above provided that it shall be a condition to any such transfer that the transferee agrees to be bound by the terms of a lock-up agreement (including, without limitation, the restrictions set forth in the preceding sentence) to the same extent as if the transferee were a party hereto; (viii) the cashless exercise or surrender of warrants, the conversion of preferred stock or the cashless exercise or surrender of stock options or settlement of restricted stock units or other equity awards granted pursuant to the Company’s stock option/incentive plans or otherwise outstanding on the date of this prospectus supplement; provided to the Company, that the restrictions shall apply to shares of common stock issued upon such exercise or conversion; (ix) transfers to the extent necessary to fund the exercise price of options held by the signatory and the payment of taxes due with respect to the exercise, vesting, or lapse of substantial risk of forfeiture or other similar taxable event, of restricted stock, restricted stock units, stock options or other rights to purchase or receive shares of common stock pursuant to the Company’s stock option/equity incentive plans disclosed in this prospectus supplement; (x) transfers to the Company or its subsidiaries upon death, disability or termination of employment of the signatory; (xi) tenders, sales or other transfers pursuant to a bona fide third-party tender offer, merger, consolidation or other similar transaction made to all holders of shares of common stock involving a “change of control” of the Company (provided that if such transaction is not consummated, shares of the relevant common stock shall remain subject to the restrictions set forth in a lock-up agreement); (xii) transfers pursuant to an order of a court or regulatory agency; provided that any filing under Section 16(a) of the Exchange Act in connection with such transfer shall indicate, to the extent permitted by such section and the related rules and regulations, that such transfer is pursuant to an order of a court or regulatory agency; (xiii) transfers to the Company pursuant to any call or put provisions of existing employment agreements and equity grant documents; provided that any filing under Section 16(a) of the Exchange Act in connection with such transfer shall indicate, to the extent permitted by such section and the related rules and regulations, the reason for such disposition and that such transfer was solely to the Company; (xiv) transfers of common stock or securities convertible into, or exchangeable or exercisable for, common stock pursuant to any contract, instruction or plan that satisfies all of the requirements of Rule 10b5-1 under the Exchange Act (a “Rule 10b5-1 Plan”), or the establishment of a Rule 10b5-1 Plan; provided, however, that no sales of common stock or securities convertible into, or exchangeable or exercisable for, common stock, shall be made pursuant to a Rule 10b5-1 Plan prior to the expiration of the lock-up period other than pursuant to a Rule 10b5-1 Plan in effect on the date hereof; provided further, that if any filing, report or announcement shall be legally required during the lock-up period to report such sales, such filing, report or announcement shall clearly indicate that such common stock or securities were transferred, sold or otherwise disposed of pursuant to such plan; (xv) any demands or requests for, exercises of any right with respect to, or taking of any action in preparation of, the registration by the Company under the Securities Act of shares of common stock, provided that no transfer of such shares registered pursuant to the exercise of any such right and no registration statement shall be filed under the Securities Act with respect to any such shares during the lock-up period and (xvi) the distribution of common stock by the signatory in one or more distributions in kind to the partners, members or equityholders of the signatory and/or its affiliates of up to 4,200,000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 in its discretion, may release the common stock and other securities subject to the lock-up agreement described above in whole or in part at any time subject to applicable notice requirements. </w:t>
      </w:r>
    </w:p>
    <w:p>
      <w:pPr>
        <w:pStyle w:val="TextBody"/>
        <w:bidi w:val="0"/>
        <w:spacing w:before="360" w:after="0"/>
        <w:jc w:val="left"/>
        <w:rPr>
          <w:rFonts w:ascii="Times New Roman" w:hAnsi="Times New Roman"/>
          <w:b/>
          <w:sz w:val="20"/>
        </w:rPr>
      </w:pPr>
      <w:r>
        <w:rPr>
          <w:rFonts w:ascii="Times New Roman" w:hAnsi="Times New Roman"/>
          <w:b/>
          <w:sz w:val="20"/>
        </w:rPr>
        <w:t xml:space="preserve">Nasdaq 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Nasdaq under the symbol “FA.”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Price Stabilization; Short Position </w:t>
      </w:r>
    </w:p>
    <w:p>
      <w:pPr>
        <w:pStyle w:val="TextBody"/>
        <w:bidi w:val="0"/>
        <w:spacing w:before="120" w:after="0"/>
        <w:jc w:val="left"/>
        <w:rPr>
          <w:rFonts w:ascii="Times New Roman" w:hAnsi="Times New Roman"/>
          <w:sz w:val="20"/>
        </w:rPr>
      </w:pPr>
      <w:r>
        <w:rPr>
          <w:rFonts w:ascii="Times New Roman" w:hAnsi="Times New Roman"/>
          <w:sz w:val="20"/>
        </w:rPr>
        <w:t xml:space="preserve">Until the distribution of the shares is completed, SEC rules may limit underwriter and selling group members from bidding for and purchasing our common stock. However, the underwriter may engage in transactions that stabilize the price of the common stock, such as bids or purchases to peg, fix or maintain that price.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offering, the underwriter may purchase and sell our common stock in the open market. These transactions may include short sales, purchases on the open market to cover positions created by short sales and stabilizing transactions. Short sales involve the sale by the underwriter of a greater number of shares than it is required to purchase in the offering. Covering transactions involve purchases of shares of common stock in the open market after the distribution has been completed in order to cover short positions. To close a short position, the underwriter must purchase shares of common stock in the open market after the distribution has been completed. A short position is more likely to be created if the underwriter is concerned that there may be downward pressure on the price of the shares of common stock in the open market after pricing that could adversely affect investors who purchase in the offering. Stabilizing transactions consist of various bids for or purchases of shares of common stock made by the underwriter in the open market prior to the completion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 may conduct these transactions on the Nasdaq, in the over-the-counter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underwriter make any representation or prediction as to the direction or magnitude of any effect that the transactions described above may have on the price of our common stock. In addition, neither we nor the underwriter make any representation that the underwriter will engage in these transactions or that these transactions, once commenced, will not be discontinued without notice. </w:t>
      </w:r>
    </w:p>
    <w:p>
      <w:pPr>
        <w:pStyle w:val="TextBody"/>
        <w:bidi w:val="0"/>
        <w:spacing w:before="360" w:after="0"/>
        <w:jc w:val="left"/>
        <w:rPr>
          <w:rFonts w:ascii="Times New Roman" w:hAnsi="Times New Roman"/>
          <w:b/>
          <w:sz w:val="20"/>
        </w:rPr>
      </w:pPr>
      <w:r>
        <w:rPr>
          <w:rFonts w:ascii="Times New Roman" w:hAnsi="Times New Roman"/>
          <w:b/>
          <w:sz w:val="20"/>
        </w:rPr>
        <w:t xml:space="preserve">Passive Market Making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this offering, the underwriter and selling group members may engage in passive market making transactions in the common stock on the Nasdaq in accordance with Rule 103 of Regulation M under the Exchange Act during a period before the commencement of offers or sales of common stock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 Passive market making may cause the price of our common stock to be higher than the price that otherwise would exist in the open market in the absence of those transactions. The underwriter and dealers are not required to engage in passive market making and may end passive market making activities at any time. </w:t>
      </w:r>
    </w:p>
    <w:p>
      <w:pPr>
        <w:pStyle w:val="TextBody"/>
        <w:bidi w:val="0"/>
        <w:spacing w:before="360" w:after="0"/>
        <w:jc w:val="left"/>
        <w:rPr>
          <w:rFonts w:ascii="Times New Roman" w:hAnsi="Times New Roman"/>
          <w:b/>
          <w:sz w:val="20"/>
        </w:rPr>
      </w:pPr>
      <w:r>
        <w:rPr>
          <w:rFonts w:ascii="Times New Roman" w:hAnsi="Times New Roman"/>
          <w:b/>
          <w:sz w:val="20"/>
        </w:rPr>
        <w:t xml:space="preserve">Electronic Distribution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offering, the underwriter or securities dealers may distribute prospectuses by electronic means, such as e-mail. </w:t>
      </w:r>
    </w:p>
    <w:p>
      <w:pPr>
        <w:pStyle w:val="TextBody"/>
        <w:bidi w:val="0"/>
        <w:spacing w:before="360" w:after="0"/>
        <w:jc w:val="left"/>
        <w:rPr>
          <w:rFonts w:ascii="Times New Roman" w:hAnsi="Times New Roman"/>
          <w:b/>
          <w:sz w:val="20"/>
        </w:rPr>
      </w:pPr>
      <w:r>
        <w:rPr>
          <w:rFonts w:ascii="Times New Roman" w:hAnsi="Times New Roman"/>
          <w:b/>
          <w:sz w:val="20"/>
        </w:rPr>
        <w:t xml:space="preserve">Other Relationships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 and its affiliates have engaged in, and may in the future engage in, investment banking and other commercial dealings in the ordinary course of business with us or our affiliates. They have received, or may in the future receive, customary fees and commissions for these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addition, in the ordinary course of their business activities, the underwriter and its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 and its affiliates may also make investment recommendations and/or publish or express independent research views in respect of such securities or financial instruments and may hold, or recommend to clients that they acquire, long and/or short positions in such securities and instruments.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the 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In relation to each Member State of the European Economic Area (each a “Relevant State”), no shares have been offered or will be offered pursuant to this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the shares may be offered to the public in that Relevant State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qualified investor as defined under Article 2 of the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Article 2 of the Prospectus Regulation), subject to obtaining the prior consent of the underwriter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1(4) of the Prospectus Regulation,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no such offer of the shares shall require the Company or the underwriter to publish a prospectus pursuant to Article 3 of the Prospectus Regulation, supplement a prospectus pursuant to Article 23 of the Prospectus Regulation or publish an Annex IX document pursuant to Article 1(4) of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the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the United Kingdom </w:t>
      </w:r>
    </w:p>
    <w:p>
      <w:pPr>
        <w:pStyle w:val="TextBody"/>
        <w:bidi w:val="0"/>
        <w:spacing w:before="120" w:after="0"/>
        <w:jc w:val="left"/>
        <w:rPr>
          <w:rFonts w:ascii="Times New Roman" w:hAnsi="Times New Roman"/>
          <w:sz w:val="20"/>
        </w:rPr>
      </w:pPr>
      <w:r>
        <w:rPr>
          <w:rFonts w:ascii="Times New Roman" w:hAnsi="Times New Roman"/>
          <w:sz w:val="20"/>
        </w:rPr>
        <w:t xml:space="preserve">No shares have been offered or will be offered pursuant to this offering to the public in the United Kingdom except that the shares may be offered to the public in the United Kingdom at any time: </w:t>
      </w:r>
    </w:p>
    <w:p>
      <w:pPr>
        <w:pStyle w:val="TextBody"/>
        <w:bidi w:val="0"/>
        <w:spacing w:before="120" w:after="0"/>
        <w:jc w:val="left"/>
        <w:rPr>
          <w:rFonts w:ascii="Times New Roman" w:hAnsi="Times New Roman"/>
          <w:sz w:val="20"/>
        </w:rPr>
      </w:pPr>
      <w:r>
        <w:rPr>
          <w:rFonts w:ascii="Times New Roman" w:hAnsi="Times New Roman"/>
          <w:sz w:val="20"/>
        </w:rPr>
        <w:t xml:space="preserve">(a) where (i) the offer is conditional on the admission of the shares to trading on the London Stock Exchange plc’s main market (in reliance on the exception in paragraph 6(a) of Schedule 1 of the POATR) or (ii) the shares being offered are at the time of the offer already admitted to trading on the London Stock Exchange plc’s main market (in reliance on the exception in paragraph 6(b) of Schedule 1 of the POATR); </w:t>
      </w:r>
    </w:p>
    <w:p>
      <w:pPr>
        <w:pStyle w:val="TextBody"/>
        <w:bidi w:val="0"/>
        <w:spacing w:before="120" w:after="0"/>
        <w:jc w:val="left"/>
        <w:rPr>
          <w:rFonts w:ascii="Times New Roman" w:hAnsi="Times New Roman"/>
          <w:sz w:val="20"/>
        </w:rPr>
      </w:pPr>
      <w:r>
        <w:rPr>
          <w:rFonts w:ascii="Times New Roman" w:hAnsi="Times New Roman"/>
          <w:sz w:val="20"/>
        </w:rPr>
        <w:t xml:space="preserve">(b) to any qualified investor as defined under paragraph 15 of Schedule 1 of the POATR; </w:t>
      </w:r>
    </w:p>
    <w:p>
      <w:pPr>
        <w:pStyle w:val="TextBody"/>
        <w:bidi w:val="0"/>
        <w:spacing w:before="120" w:after="0"/>
        <w:jc w:val="left"/>
        <w:rPr>
          <w:rFonts w:ascii="Times New Roman" w:hAnsi="Times New Roman"/>
          <w:sz w:val="20"/>
        </w:rPr>
      </w:pPr>
      <w:r>
        <w:rPr>
          <w:rFonts w:ascii="Times New Roman" w:hAnsi="Times New Roman"/>
          <w:sz w:val="20"/>
        </w:rPr>
        <w:t xml:space="preserve">(c) to fewer than 150 persons (other than qualified investors as defined under paragraph 15 of Schedule 1 of the POATR), subject to obtaining the prior consent of the underwriter for any such offer; or </w:t>
      </w:r>
    </w:p>
    <w:p>
      <w:pPr>
        <w:pStyle w:val="TextBody"/>
        <w:bidi w:val="0"/>
        <w:spacing w:before="120" w:after="0"/>
        <w:jc w:val="left"/>
        <w:rPr>
          <w:rFonts w:ascii="Times New Roman" w:hAnsi="Times New Roman"/>
          <w:sz w:val="20"/>
        </w:rPr>
      </w:pPr>
      <w:r>
        <w:rPr>
          <w:rFonts w:ascii="Times New Roman" w:hAnsi="Times New Roman"/>
          <w:sz w:val="20"/>
        </w:rPr>
        <w:t xml:space="preserve">(d) in any other circumstances falling within Part 1 of Schedule 1 of the POATR.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the shares in the United Kingdom means the communication to any person which presents sufficient information on: (a) the shares to be offered; and (b) the terms on which they are to be offered, to enable an investor to decide to buy or subscribe for the shares and the expression “POATR” means the Public Offers and Admissions to Trading Regulations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prospectus supplement is for distribution only to, and is only directed at, qualified investors (as defined under paragraph 15 of the POATR) who (i) are investment professionals falling within Article 19(5) of the Financial Services and Markets Act 2000 (Financial Promotion) Order 2005 (as amended, the “Financial Promotion Order”), (ii) are high net worth entities or other persons falling within Article 49(2)(a) to (d) of the Financial Promotion Order, (iii) are outside the United Kingdom or (iv) are persons to whom an invitation or inducement to engage in investment activity (within the meaning of section 21 of the Financial Services and Markets Act 2000) in connection with the issue or sale of any shares may otherwise lawfully be communicated or caused to be communicated (all such persons being referred to as “relevant persons”). This prospectus supplement is directed only at relevant persons and must not be acted on or relied on by persons who are not relevant persons. Any investment or investment activity to which this prospectus supplement relates is available only to relevant persons and will be engaged in only with relevant persons. Any person in the United Kingdom who is not a relevant person should not act or rely on this prospectus supplement or any of its contents.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Switzerland </w:t>
      </w:r>
    </w:p>
    <w:p>
      <w:pPr>
        <w:pStyle w:val="TextBody"/>
        <w:bidi w:val="0"/>
        <w:spacing w:before="120" w:after="0"/>
        <w:jc w:val="left"/>
        <w:rPr>
          <w:rFonts w:ascii="Times New Roman" w:hAnsi="Times New Roman"/>
          <w:sz w:val="20"/>
        </w:rPr>
      </w:pPr>
      <w:r>
        <w:rPr>
          <w:rFonts w:ascii="Times New Roman" w:hAnsi="Times New Roman"/>
          <w:sz w:val="20"/>
        </w:rPr>
        <w:t xml:space="preserve">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 </w:t>
      </w:r>
    </w:p>
    <w:p>
      <w:pPr>
        <w:pStyle w:val="TextBody"/>
        <w:bidi w:val="0"/>
        <w:spacing w:before="240" w:after="0"/>
        <w:jc w:val="left"/>
        <w:rPr>
          <w:rFonts w:ascii="Times New Roman" w:hAnsi="Times New Roman"/>
          <w:sz w:val="20"/>
        </w:rPr>
      </w:pPr>
      <w:r>
        <w:rPr>
          <w:rFonts w:ascii="Times New Roman" w:hAnsi="Times New Roman"/>
          <w:sz w:val="20"/>
        </w:rPr>
        <w:t xml:space="preserve">Neither this document nor any other offering or marketing material relating to the offering, the Company, or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the Dubai International Financial Centre (“DIFC”)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relates to an exempt offer which is not subject to any form of regulation or approval by the Dubai Financial Services Authority (the “DFSA”). The DFSA has not approved this prospectus supplement nor has any responsibility for reviewing or verifying any document or other documents in connection with this offering. Accordingly, the DFSA has not approved this prospectus supplement or any other associated documents nor taken any steps to verify the information set out in this prospectus supplement, and has no responsibility for it. </w:t>
      </w:r>
    </w:p>
    <w:p>
      <w:pPr>
        <w:pStyle w:val="TextBody"/>
        <w:bidi w:val="0"/>
        <w:spacing w:before="240" w:after="0"/>
        <w:jc w:val="left"/>
        <w:rPr>
          <w:rFonts w:ascii="Times New Roman" w:hAnsi="Times New Roman"/>
          <w:sz w:val="20"/>
        </w:rPr>
      </w:pPr>
      <w:r>
        <w:rPr>
          <w:rFonts w:ascii="Times New Roman" w:hAnsi="Times New Roman"/>
          <w:sz w:val="20"/>
        </w:rPr>
        <w:t xml:space="preserve">The shares have not been offered and will not be offered to any persons in the DIFC except on the basis that an offer is: </w:t>
      </w:r>
    </w:p>
    <w:p>
      <w:pPr>
        <w:pStyle w:val="TextBody"/>
        <w:bidi w:val="0"/>
        <w:spacing w:before="120" w:after="0"/>
        <w:jc w:val="left"/>
        <w:rPr>
          <w:rFonts w:ascii="Times New Roman" w:hAnsi="Times New Roman"/>
          <w:sz w:val="20"/>
        </w:rPr>
      </w:pPr>
      <w:r>
        <w:rPr>
          <w:rFonts w:ascii="Times New Roman" w:hAnsi="Times New Roman"/>
          <w:sz w:val="20"/>
        </w:rPr>
        <w:t xml:space="preserve">(i) an “Exempt Offer” in accordance with the Markets Rules (MKT) Module of the DFSA Rulebook; and </w:t>
      </w:r>
    </w:p>
    <w:p>
      <w:pPr>
        <w:pStyle w:val="TextBody"/>
        <w:bidi w:val="0"/>
        <w:spacing w:before="120" w:after="0"/>
        <w:jc w:val="left"/>
        <w:rPr>
          <w:rFonts w:ascii="Times New Roman" w:hAnsi="Times New Roman"/>
          <w:sz w:val="20"/>
        </w:rPr>
      </w:pPr>
      <w:r>
        <w:rPr>
          <w:rFonts w:ascii="Times New Roman" w:hAnsi="Times New Roman"/>
          <w:sz w:val="20"/>
        </w:rPr>
        <w:t xml:space="preserve">(ii) made only to persons who meet the “Deemed Professional Client” criteria set out in Rule 2.3.4 of the Conduct of Business (COB) module of the DFSA Rulebook, who are not natural persons.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Australia </w:t>
      </w:r>
    </w:p>
    <w:p>
      <w:pPr>
        <w:pStyle w:val="TextBody"/>
        <w:bidi w:val="0"/>
        <w:spacing w:before="120" w:after="0"/>
        <w:jc w:val="left"/>
        <w:rPr>
          <w:rFonts w:ascii="Times New Roman" w:hAnsi="Times New Roman"/>
          <w:sz w:val="20"/>
        </w:rPr>
      </w:pPr>
      <w:r>
        <w:rPr>
          <w:rFonts w:ascii="Times New Roman" w:hAnsi="Times New Roman"/>
          <w:sz w:val="20"/>
        </w:rPr>
        <w:t xml:space="preserve">No placement document, prospectus, product disclosure statement or other disclosure document has been lodged with the Australian Securities and Investments Commission (“ASIC”), in relation to the offering. 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Israel </w:t>
      </w:r>
    </w:p>
    <w:p>
      <w:pPr>
        <w:pStyle w:val="TextBody"/>
        <w:bidi w:val="0"/>
        <w:spacing w:before="120" w:after="0"/>
        <w:jc w:val="left"/>
        <w:rPr>
          <w:rFonts w:ascii="Times New Roman" w:hAnsi="Times New Roman"/>
          <w:sz w:val="20"/>
        </w:rPr>
      </w:pPr>
      <w:r>
        <w:rPr>
          <w:rFonts w:ascii="Times New Roman" w:hAnsi="Times New Roman"/>
          <w:sz w:val="20"/>
        </w:rPr>
        <w:t xml:space="preserve">In the State of Israel this prospectus supplement shall not be regarded as an offer to the public to purchase securities under the Israeli Securities Law, 5728 -1968, which requires a prospectus to be published and authorized by the Israel Securities Authority, if it complies with certain provisions of Section 15 of the Israeli Securities Law, 5728 - 1968,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5728 - 1968, subject to certain conditions (the “Qualified Investors”). The Qualified Investors shall not be taken into account in the count of the Addressed Investors and may be offered to purchase securities in addition to the 35 Addressed Investors. </w:t>
      </w:r>
    </w:p>
    <w:p>
      <w:pPr>
        <w:pStyle w:val="TextBody"/>
        <w:bidi w:val="0"/>
        <w:spacing w:before="240" w:after="0"/>
        <w:jc w:val="left"/>
        <w:rPr>
          <w:rFonts w:ascii="Times New Roman" w:hAnsi="Times New Roman"/>
          <w:sz w:val="20"/>
        </w:rPr>
      </w:pPr>
      <w:r>
        <w:rPr>
          <w:rFonts w:ascii="Times New Roman" w:hAnsi="Times New Roman"/>
          <w:sz w:val="20"/>
        </w:rPr>
        <w:t xml:space="preserve">We have not and will not take any action that would require us to publish a prospectus in accordance with and subject to the Israeli Securities Law, 5728 - 1968. We have not and will not distribute this prospectus supplement or make, distribute or direct an offer to subscribe for our securities to any person within the State of Israel, other than to Qualified Investors and up to 35 Addressed Investors. Qualified Investors may have to submit written evidence that they meet the definitions set out in of the First Addendum to the Israeli Securities Law, 5728 - 1968. In particular, we may request, as a condition to be offered securities, that Qualified Investors will each represent, warrant and certify to us and/or to anyone acting on our behalf: (i) that it is an investor falling within one of the categories listed in the First Addendum to the Israeli Securities Law, 5728 - 1968; (ii) which of the categories listed in the First Addendum to the Israeli Securities Law, 5728 - 1968 regarding Qualified Investors is applicable to it; (iii) that it will abide by all provisions set forth in the Israeli Securities Law, 5728 - 1968 and the regulations promulgated thereunder in connection with the offer to be issued securities; (iv) that the securities that it will be issued are, subject to exemptions available under the Israeli Securities Law, 5728 - 1968: (a) for its own account; (b) for investment purposes only; and (c) not issued with a view to resale within the State of Israel, other than in accordance with the provisions of the Israeli Securities Law, 5728 - 1968;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Notice to Prospective Investors in Japan </w:t>
      </w:r>
    </w:p>
    <w:p>
      <w:pPr>
        <w:pStyle w:val="TextBody"/>
        <w:bidi w:val="0"/>
        <w:spacing w:before="120" w:after="0"/>
        <w:jc w:val="left"/>
        <w:rPr>
          <w:rFonts w:ascii="Times New Roman" w:hAnsi="Times New Roman"/>
          <w:sz w:val="20"/>
        </w:rPr>
      </w:pPr>
      <w:r>
        <w:rPr>
          <w:rFonts w:ascii="Times New Roman" w:hAnsi="Times New Roman"/>
          <w:sz w:val="20"/>
        </w:rPr>
        <w:t xml:space="preserve">The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Singapore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has not been and will not be lodged or registered as a prospectus with the Monetary Authority of Singapore. Accordingly, this prospectus supplement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w:t>
      </w:r>
    </w:p>
    <w:p>
      <w:pPr>
        <w:pStyle w:val="TextBody"/>
        <w:bidi w:val="0"/>
        <w:spacing w:before="240" w:after="0"/>
        <w:jc w:val="left"/>
        <w:rPr>
          <w:rFonts w:ascii="Times New Roman" w:hAnsi="Times New Roman"/>
          <w:sz w:val="20"/>
        </w:rPr>
      </w:pPr>
      <w:r>
        <w:rPr>
          <w:rFonts w:ascii="Times New Roman" w:hAnsi="Times New Roman"/>
          <w:sz w:val="20"/>
        </w:rPr>
        <w:t xml:space="preserve">The shares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Canada </w:t>
      </w:r>
    </w:p>
    <w:p>
      <w:pPr>
        <w:pStyle w:val="TextBody"/>
        <w:bidi w:val="0"/>
        <w:spacing w:before="120" w:after="0"/>
        <w:jc w:val="left"/>
        <w:rPr>
          <w:rFonts w:ascii="Times New Roman" w:hAnsi="Times New Roman"/>
          <w:sz w:val="20"/>
        </w:rPr>
      </w:pPr>
      <w:r>
        <w:rPr>
          <w:rFonts w:ascii="Times New Roman" w:hAnsi="Times New Roman"/>
          <w:sz w:val="20"/>
        </w:rPr>
        <w:t>The shares may be sold only to purchasers purchasing, or deemed to be purchasing, as principal that are accredited investors, as defined in National Instrument 45-106 </w:t>
      </w:r>
      <w:r>
        <w:rPr>
          <w:rFonts w:ascii="Times New Roman" w:hAnsi="Times New Roman"/>
          <w:i/>
          <w:sz w:val="20"/>
        </w:rPr>
        <w:t>Prospectus Exemptions</w:t>
      </w:r>
      <w:r>
        <w:rPr>
          <w:rFonts w:ascii="Times New Roman" w:hAnsi="Times New Roman"/>
          <w:sz w:val="20"/>
        </w:rPr>
        <w:t> or subsection 73.3(1) of the </w:t>
      </w:r>
      <w:r>
        <w:rPr>
          <w:rFonts w:ascii="Times New Roman" w:hAnsi="Times New Roman"/>
          <w:i/>
          <w:sz w:val="20"/>
        </w:rPr>
        <w:t>Securities Act</w:t>
      </w:r>
      <w:r>
        <w:rPr>
          <w:rFonts w:ascii="Times New Roman" w:hAnsi="Times New Roman"/>
          <w:sz w:val="20"/>
        </w:rPr>
        <w:t> (Ontario), and are permitted clients, as defined in National Instrument 31-103 </w:t>
      </w:r>
      <w:r>
        <w:rPr>
          <w:rFonts w:ascii="Times New Roman" w:hAnsi="Times New Roman"/>
          <w:i/>
          <w:sz w:val="20"/>
        </w:rPr>
        <w:t>Registration Requirements, Exemptions and Ongoing Registrant Obligations</w:t>
      </w:r>
      <w:r>
        <w:rPr>
          <w:rFonts w:ascii="Times New Roman" w:hAnsi="Times New Roman"/>
          <w:sz w:val="20"/>
        </w:rPr>
        <w:t xml:space="preserve">. Any resale of the shares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(or, in the case of securities issued or guaranteed by the government of a non-Canadian jurisdiction, section 3A.4) of National Instrument 33-105 Underwriting Conflicts (“NI 33-105”), the underwriter is not required to comply with the disclosure requirements of NI 33-105 regarding underwriter conflicts of interest in connection with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1" w:name="supptx134120_9"/>
      <w:bookmarkEnd w:id="11"/>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shares of common stock offered by this prospectus supplement will be passed upon for us by Simpson Thacher &amp; Bartlett LLP, New York, New York. An investment vehicle comprised of several partners of Simpson Thacher &amp; Bartlett LLP, members of their families, related persons and others own interests representing less than 1% of the capital commitments of funds affiliated with Silver Lake. Certain legal matters in connection with the offering will be passed upon for the underwriter by Latham &amp; Watkins LLP. </w:t>
      </w:r>
    </w:p>
    <w:p>
      <w:pPr>
        <w:pStyle w:val="TextBody"/>
        <w:bidi w:val="0"/>
        <w:spacing w:before="480" w:after="0"/>
        <w:jc w:val="center"/>
        <w:rPr>
          <w:rFonts w:ascii="Times New Roman" w:hAnsi="Times New Roman"/>
          <w:b/>
          <w:sz w:val="20"/>
        </w:rPr>
      </w:pPr>
      <w:bookmarkStart w:id="12" w:name="supptx134120_10"/>
      <w:bookmarkEnd w:id="12"/>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First Advantage Corporation and subsidiaries incorporated by reference in this prospectus, and the effectiveness of First Advantage Corporation’s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3" w:name="supptx134120_11"/>
      <w:bookmarkEnd w:id="13"/>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a registration statement on Form S-3 under the Securities Act with respect to the common stock offered by this prospectus supplement with the SEC. This prospectus supplement and the accompanying prospectus are a part of the registration statement and does not contain all of the information set forth in the registration statement and its exhibits and schedules, portions of which have been omitted as permitted by the rules and regulations of the SEC. For further information about us and our common stock, you should refer to the registration statement and its exhibits and schedules. Statements contained in this prospectus supplement and the accompanying prospectus regarding the contents of any contract or other document referred to in those documents are not necessarily complete, and in each instance we refer you to the copy of the contract or other document filed as an exhibit to the registration statement or other document. Each of these statements is qualified in all respects by this reference.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the informational reporting requirements of the Exchange Act and, in accordance with the Exchange Act, we file annual, quarterly and current reports, proxy statements and other information with the SEC. Our filings with the SEC are available to the public on the SEC’s website at http://www.sec.gov. Those filings are also available to the public on, or accessible through, our website (www.fadv.com). The information we file with the SEC or contained on or accessible through our corporate website or any other website that we may maintain is not part of this prospectus supplement or the registration statement of which this prospectus supplement is a part. </w:t>
      </w:r>
    </w:p>
    <w:p>
      <w:pPr>
        <w:pStyle w:val="TextBody"/>
        <w:bidi w:val="0"/>
        <w:spacing w:before="240" w:after="0"/>
        <w:jc w:val="left"/>
        <w:rPr>
          <w:rFonts w:ascii="Times New Roman" w:hAnsi="Times New Roman"/>
          <w:sz w:val="20"/>
        </w:rPr>
      </w:pPr>
      <w:r>
        <w:rPr>
          <w:rFonts w:ascii="Times New Roman" w:hAnsi="Times New Roman"/>
          <w:sz w:val="20"/>
        </w:rPr>
        <w:t xml:space="preserve">We intend to make available to our common stockholders annual reports containing consolidated financial statements audited by an independent registered public accounting firm.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4" w:name="supptx134120_12"/>
      <w:bookmarkEnd w:id="14"/>
      <w:r>
        <w:rPr>
          <w:rFonts w:ascii="Times New Roman" w:hAnsi="Times New Roman"/>
          <w:b/>
          <w:sz w:val="20"/>
        </w:rPr>
        <w:t xml:space="preserve">INFORMATION INCORPORATED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rules of the SEC allow us to incorporate by reference information we file with the SEC. This means that we are disclosing important information to you by referring to other documents. The information incorporated by reference is considered to be part of this prospectus supplement. To the extent there are inconsistencies between the information contained in this prospectus supplement and the information contained in the documents filed with the SEC prior to the date of this prospectus supplement and incorporated by reference, the information in this prospectus supplement shall be deemed to supersede the information in such incorporated documents. We incorporate by reference the documents listed below (other than any portions thereof, which under the Exchange Act, and applicable SEC rules, are not deemed “filed” under the Exchange Act, unless expressly stated otherwise therein):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Form 10-Q for the quarterly periods ended </w:t>
            </w:r>
            <w:hyperlink r:id="rId4">
              <w:r>
                <w:rPr>
                  <w:rStyle w:val="InternetLink"/>
                  <w:rFonts w:ascii="Times New Roman" w:hAnsi="Times New Roman"/>
                  <w:sz w:val="20"/>
                </w:rPr>
                <w:t>March 31, 2026</w:t>
              </w:r>
            </w:hyperlink>
            <w:r>
              <w:rPr>
                <w:rFonts w:ascii="Times New Roman" w:hAnsi="Times New Roman"/>
                <w:sz w:val="20"/>
              </w:rPr>
              <w:t xml:space="preserve"> and </w:t>
            </w:r>
            <w:hyperlink r:id="rId5">
              <w:r>
                <w:rPr>
                  <w:rStyle w:val="InternetLink"/>
                  <w:rFonts w:ascii="Times New Roman" w:hAnsi="Times New Roman"/>
                  <w:sz w:val="20"/>
                </w:rPr>
                <w:t>June 30,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w:t>
            </w:r>
            <w:hyperlink r:id="rId6">
              <w:r>
                <w:rPr>
                  <w:rStyle w:val="InternetLink"/>
                  <w:rFonts w:ascii="Times New Roman" w:hAnsi="Times New Roman"/>
                  <w:sz w:val="20"/>
                </w:rPr>
                <w:t>Form 10-K</w:t>
              </w:r>
            </w:hyperlink>
            <w:r>
              <w:rPr>
                <w:rFonts w:ascii="Times New Roman" w:hAnsi="Times New Roman"/>
                <w:sz w:val="20"/>
              </w:rPr>
              <w:t xml:space="preserve"> for the fiscal year ended December  31, 2025 from our Definitive Proxy Statement on </w:t>
            </w:r>
            <w:hyperlink r:id="rId7">
              <w:r>
                <w:rPr>
                  <w:rStyle w:val="InternetLink"/>
                  <w:rFonts w:ascii="Times New Roman" w:hAnsi="Times New Roman"/>
                  <w:sz w:val="20"/>
                </w:rPr>
                <w:t>Schedule 14A</w:t>
              </w:r>
            </w:hyperlink>
            <w:r>
              <w:rPr>
                <w:rFonts w:ascii="Times New Roman" w:hAnsi="Times New Roman"/>
                <w:sz w:val="20"/>
              </w:rPr>
              <w:t xml:space="preserve"> filed on April 24,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8">
              <w:r>
                <w:rPr>
                  <w:rStyle w:val="InternetLink"/>
                  <w:rFonts w:ascii="Times New Roman" w:hAnsi="Times New Roman"/>
                  <w:sz w:val="20"/>
                </w:rPr>
                <w:t>January 30, 2026</w:t>
              </w:r>
            </w:hyperlink>
            <w:r>
              <w:rPr>
                <w:rFonts w:ascii="Times New Roman" w:hAnsi="Times New Roman"/>
                <w:sz w:val="20"/>
              </w:rPr>
              <w:t xml:space="preserve"> and </w:t>
            </w:r>
            <w:hyperlink r:id="rId9">
              <w:r>
                <w:rPr>
                  <w:rStyle w:val="InternetLink"/>
                  <w:rFonts w:ascii="Times New Roman" w:hAnsi="Times New Roman"/>
                  <w:sz w:val="20"/>
                </w:rPr>
                <w:t>June 8,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other documents filed by us under Sections 13(a), 13(c), 14 or 15(d) of the Exchange Act after the date of this prospectus supplement and before the termination of the offerings to which this prospectus supplement relates.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have incorporated by reference any statement or information in this prospectus supplement and we subsequently modify that statement or information with information contained in this prospectus supplement, the statement or information previously incorporated in this prospectus supplement is also modified or superseded in the same manner.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without charge to each person to whom a copy of this prospectus supplement has been delivered, a copy of any and all of these filings. You may request a copy of these filings by calling us at 678-868-4151 or writing to us at: </w:t>
      </w:r>
    </w:p>
    <w:p>
      <w:pPr>
        <w:pStyle w:val="TextBody"/>
        <w:bidi w:val="0"/>
        <w:spacing w:before="240" w:after="0"/>
        <w:jc w:val="center"/>
        <w:rPr>
          <w:rFonts w:ascii="Times New Roman" w:hAnsi="Times New Roman"/>
          <w:sz w:val="20"/>
        </w:rPr>
      </w:pPr>
      <w:r>
        <w:rPr>
          <w:rFonts w:ascii="Times New Roman" w:hAnsi="Times New Roman"/>
          <w:sz w:val="20"/>
        </w:rPr>
        <w:t xml:space="preserve">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First Advantage Corporation </w:t>
      </w:r>
    </w:p>
    <w:p>
      <w:pPr>
        <w:pStyle w:val="TextBody"/>
        <w:bidi w:val="0"/>
        <w:spacing w:before="0" w:after="0"/>
        <w:jc w:val="center"/>
        <w:rPr>
          <w:rFonts w:ascii="Times New Roman" w:hAnsi="Times New Roman"/>
          <w:sz w:val="20"/>
        </w:rPr>
      </w:pPr>
      <w:r>
        <w:rPr>
          <w:rFonts w:ascii="Times New Roman" w:hAnsi="Times New Roman"/>
          <w:sz w:val="20"/>
        </w:rPr>
        <w:t xml:space="preserve">1 Concourse Parkway NE, Suite 200 </w:t>
      </w:r>
    </w:p>
    <w:p>
      <w:pPr>
        <w:pStyle w:val="TextBody"/>
        <w:bidi w:val="0"/>
        <w:spacing w:before="0" w:after="0"/>
        <w:jc w:val="center"/>
        <w:rPr>
          <w:rFonts w:ascii="Times New Roman" w:hAnsi="Times New Roman"/>
          <w:sz w:val="20"/>
        </w:rPr>
      </w:pPr>
      <w:r>
        <w:rPr>
          <w:rFonts w:ascii="Times New Roman" w:hAnsi="Times New Roman"/>
          <w:sz w:val="20"/>
        </w:rPr>
        <w:t xml:space="preserve">Atlanta, GA 30328 </w:t>
      </w:r>
    </w:p>
    <w:p>
      <w:pPr>
        <w:pStyle w:val="TextBody"/>
        <w:bidi w:val="0"/>
        <w:spacing w:before="0" w:after="0"/>
        <w:jc w:val="center"/>
        <w:rPr>
          <w:rFonts w:ascii="Times New Roman" w:hAnsi="Times New Roman"/>
          <w:sz w:val="20"/>
        </w:rPr>
      </w:pPr>
      <w:r>
        <w:rPr>
          <w:rFonts w:ascii="Times New Roman" w:hAnsi="Times New Roman"/>
          <w:sz w:val="20"/>
        </w:rPr>
        <w:t xml:space="preserve">e-mail: investors@fadv.com </w:t>
      </w:r>
    </w:p>
    <w:p>
      <w:pPr>
        <w:pStyle w:val="TextBody"/>
        <w:bidi w:val="0"/>
        <w:spacing w:before="240" w:after="0"/>
        <w:jc w:val="left"/>
        <w:rPr>
          <w:rFonts w:ascii="Times New Roman" w:hAnsi="Times New Roman"/>
          <w:sz w:val="20"/>
        </w:rPr>
      </w:pPr>
      <w:r>
        <w:rPr>
          <w:rFonts w:ascii="Times New Roman" w:hAnsi="Times New Roman"/>
          <w:sz w:val="20"/>
        </w:rPr>
        <w:t xml:space="preserve">Exhibits to any documents incorporated by reference in this prospectus supplement will not be sent, however, unless those exhibits have been specifically referenced in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36"/>
        </w:rPr>
      </w:pPr>
      <w:r>
        <w:rPr>
          <w:rFonts w:ascii="Times New Roman" w:hAnsi="Times New Roman"/>
          <w:b/>
          <w:sz w:val="36"/>
        </w:rPr>
        <w:t xml:space="preserve">87,450,000 Shares </w:t>
      </w:r>
    </w:p>
    <w:p>
      <w:pPr>
        <w:pStyle w:val="TextBody"/>
        <w:bidi w:val="0"/>
        <w:spacing w:before="24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5623560" cy="8985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0"/>
                    <a:stretch>
                      <a:fillRect/>
                    </a:stretch>
                  </pic:blipFill>
                  <pic:spPr bwMode="auto">
                    <a:xfrm>
                      <a:off x="0" y="0"/>
                      <a:ext cx="5623560" cy="8985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FIRST ADVANTAGE CORPORATION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to the offer and sale from time to time of up to 87,450,000 shares of First Advantage Corporation common stock, par value $0.001 per share, by the selling stockholder identified in this prospectus or in supplements to this prospectus. See “Selling Stockholder.” The registration of the shares of common stock to which this prospectus relates does not require the selling stockholder to sell any of its shares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proceeds from the sale of our common stock by the selling stockholder, but we have agreed to pay certain registration expenses, other than underwriting discounts and commissions. The selling stockholder may from time to time offer and sell the shares held by it directly or through underwriters, agents or broker-dealers on terms to be determined at the time of sale, as described in more detail in this prospectus. For more information, see “Plan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Select Market (“Nasdaq”), under the symbol “FA.” On August 7, 2026, the closing sales price of our common stock as reported on Nasdaq was $24.01 per share.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common stock involves risks. Before making a decision to invest in our common stock, you should refer to the risk factors included in our periodic reports, in any applicable prospectus supplements relating to specific offerings and in other information that we file with the Securities and Exchange Commission (the “SEC”) that are incorporated by reference herein or therein. See “</w:t>
      </w:r>
      <w:hyperlink w:anchor="tx134120_4">
        <w:r>
          <w:rPr>
            <w:rStyle w:val="InternetLink"/>
            <w:rFonts w:ascii="Times New Roman" w:hAnsi="Times New Roman"/>
            <w:b/>
            <w:sz w:val="24"/>
          </w:rPr>
          <w:t>Risk Factors</w:t>
        </w:r>
      </w:hyperlink>
      <w:r>
        <w:rPr>
          <w:rFonts w:ascii="Times New Roman" w:hAnsi="Times New Roman"/>
          <w:b/>
          <w:sz w:val="24"/>
        </w:rPr>
        <w:t xml:space="preserve">” beginning on page 7 of this 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(the “SEC”), nor any state securities commission has approved or disapproved of these securities or passed upon the adequacy or accuracy of this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August 10,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5" w:name="toc1"/>
      <w:bookmarkEnd w:id="15"/>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34120_1">
              <w:r>
                <w:rPr>
                  <w:rStyle w:val="InternetLink"/>
                  <w:rFonts w:ascii="Times New Roman" w:hAnsi="Times New Roman"/>
                  <w:sz w:val="20"/>
                </w:rPr>
                <w:t>INDUSTRY AND MARKET DATA</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iii</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34120_2">
              <w:r>
                <w:rPr>
                  <w:rStyle w:val="InternetLink"/>
                  <w:rFonts w:ascii="Times New Roman" w:hAnsi="Times New Roman"/>
                  <w:sz w:val="20"/>
                </w:rPr>
                <w:t>TRADEMARKS, SERVICE MARKS, AND TRADENAMES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iv</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34120_3">
              <w:r>
                <w:rPr>
                  <w:rStyle w:val="InternetLink"/>
                  <w:rFonts w:ascii="Times New Roman" w:hAnsi="Times New Roman"/>
                  <w:sz w:val="20"/>
                </w:rPr>
                <w:t>PROSPECTUS SUMMARY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34120_4">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34120_5">
              <w:r>
                <w:rPr>
                  <w:rStyle w:val="InternetLink"/>
                  <w:rFonts w:ascii="Times New Roman" w:hAnsi="Times New Roman"/>
                  <w:sz w:val="20"/>
                </w:rPr>
                <w:t>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34120_6">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34120_7">
              <w:r>
                <w:rPr>
                  <w:rStyle w:val="InternetLink"/>
                  <w:rFonts w:ascii="Times New Roman" w:hAnsi="Times New Roman"/>
                  <w:sz w:val="20"/>
                </w:rPr>
                <w:t>SELLING STOCKHOLDER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34120_8">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34120_9">
              <w:r>
                <w:rPr>
                  <w:rStyle w:val="InternetLink"/>
                  <w:rFonts w:ascii="Times New Roman" w:hAnsi="Times New Roman"/>
                  <w:sz w:val="20"/>
                </w:rPr>
                <w:t>CERTAIN UNITED STATES FEDERAL INCOME TAX CONSEQUENCES TO NON-U.S. HOLDERS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34120_10">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34120_11">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34120_12">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34120_13">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34120_14">
              <w:r>
                <w:rPr>
                  <w:rStyle w:val="InternetLink"/>
                  <w:rFonts w:ascii="Times New Roman" w:hAnsi="Times New Roman"/>
                  <w:sz w:val="20"/>
                </w:rPr>
                <w:t>INFORMATION INCORPORATED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You should rely only on the information contained or incorporated by reference in this prospectus, any amendment or supplement to this prospectus, or any free writing prospectus we may authorize to be delivered or made available to you. Neither we nor the selling stockholder or the underwriters, if any, have authorized anyone to provide you with information or to make any representations different from those contained or incorporated by reference in this prospectus, any amendment or supplement to this prospectus, or any free writing prospectus prepared by us or on our behalf. Neither we nor the selling stockholder or the underwriters, if any, take any responsibility for, or can provide any assurance as to the reliability of, any information other than the information contained or incorporated by reference in this prospectus, any amendment or supplement to this prospectus, or any free writing prospectus prepared by us or on our behalf. This prospectus, any amendment or supplement to this prospectus, or any applicable free writing prospectus is an offer to sell only the shares of common stock offered hereby from time to time, but only under circumstances where it is lawful to do so. The selling stockholder is not offering to sell shares of our common stock in any jurisdiction where an offer or sale is not permitted. The information contained in or incorporated by reference in this prospectus is accurate only as of the date of this prospectus, regardless of the time of delivery of this prospectus, any amendment or supplement to this prospectus, or any applicable free writing prospectus, as the case may be, or any sale of shares of our common stock. Our business, results of operations, and financial condition may have changed since such date.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on Form S-3 that we have filed with the SEC using a “shelf” registration process. Under the shelf registration process, the selling stockholder may, from time to time, offer and sell the shares of common stock described in this prospectus and in any accompanying prospectus supplement in one or more transactions. This prospectus provides you with a general description of the shares of common stock the selling stockholder may offer. Each time the selling stockholder sells shares of our common stock using this prospectus, to the extent necessary, we will provide a prospectus supplement that will contain specific information about the terms of that offering, including the number of shares being offered, the manner of distribution, the identity of any underwriters or other counterparties, and other specific terms related to the offering. We may also authorize one or more free writing prospectuses to be provided to you that may contain material information relating to these offerings. The prospectus supplement may also add, update, or change information contained or incorporated by reference in this prospectus. To the extent that any statement made in an accompanying prospectus supplement or free writing prospectus is inconsistent with statements made in this prospectus, the statements made in this prospectus will be deemed modified or superseded by those made in the accompanying prospectus supplement or free writing prospectus, as the case may be. You should read both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prospectus and any prospectus supplement together, along with the information incorporated by reference herein or therein and any free writing prospectus prepared by us or on our behalf. </w:t>
      </w:r>
    </w:p>
    <w:p>
      <w:pPr>
        <w:pStyle w:val="TextBody"/>
        <w:bidi w:val="0"/>
        <w:spacing w:before="240" w:after="0"/>
        <w:jc w:val="left"/>
        <w:rPr>
          <w:rFonts w:ascii="Times New Roman" w:hAnsi="Times New Roman"/>
          <w:sz w:val="20"/>
        </w:rPr>
      </w:pPr>
      <w:r>
        <w:rPr>
          <w:rFonts w:ascii="Times New Roman" w:hAnsi="Times New Roman"/>
          <w:sz w:val="20"/>
        </w:rPr>
        <w:t xml:space="preserve">For investors outside of the United States, neither we nor the selling stockholder or the underwriters, if any, have done anything that would permit an offering of shares of our common stock or the possession or distribution of this prospectus, any amendment or supplement to this prospectus, or any applicable free writing prospectus, in any jurisdiction where action for that purpose is required, other than in the United States. You are required to inform yourselves about and to observe any restrictions relating to an offering of shares of common stock and the possession or distribution of this prospectus, any amendment or supplement to this prospectus, or any applicable free writing prospectus outside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6" w:name="tx134120_1"/>
      <w:bookmarkEnd w:id="16"/>
      <w:r>
        <w:rPr>
          <w:rFonts w:ascii="Times New Roman" w:hAnsi="Times New Roman"/>
          <w:b/>
          <w:sz w:val="20"/>
        </w:rPr>
        <w:t xml:space="preserve">INDUSTRY AND MARKET DATA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incorporates by reference, and any prospectus supplement or free writing prospectus may contain information and statistics that we have obtained from various independent third- party sources, including independent industry publications, reports by market research firms, and other independent sources. Certain data and other information contained or incorporated by reference in this prospectus, any prospectus supplement or applicable free writing prospectus, including information with respect to our market position, are also based on management’s estimates and calculations, which are derived from our review and interpretation of internal surveys and third-party sources. Data regarding the industries in which we compete and our market position and market share within these industries are inherently imprecise, require the making of certain assumptions and are subject to significant business, economic and competitive uncertainties beyond our control, but we believe they generally indicate size, position and market share within these industries. Statements regarding the Company’s leading position are based on market share as calculated by revenue. While we believe such information is reliable, we have not independently verified any third-party information and our internal data has not been verified by any independent source. While we believe our internal company research and estimates are reliable, such research and estimates have not been verified by any independent source. In addition, assumptions and estimates of our and our industry’s future performance are necessarily subject to a high degree of uncertainty and risk due to a variety of factors, including those described in “Risk Factors” in this prospectus, and under similar headings in other documents that are incorporated by reference herein. These and other factors could cause our future performance to differ materially from our assumptions and estimates. See “Forward-Looking Statements.” As a result, you should be aware that market, ranking, and other similar industry data included in this prospectus, and estimates and beliefs based on that data may not be reliable. None of us, the selling stockholder and any underwriters can guarantee the accuracy or completeness of any such information contained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7" w:name="tx134120_2"/>
      <w:bookmarkEnd w:id="17"/>
      <w:r>
        <w:rPr>
          <w:rFonts w:ascii="Times New Roman" w:hAnsi="Times New Roman"/>
          <w:b/>
          <w:sz w:val="20"/>
        </w:rPr>
        <w:t xml:space="preserve">TRADEMARKS, SERVICE MARKS, AND TRADENAMES </w:t>
      </w:r>
    </w:p>
    <w:p>
      <w:pPr>
        <w:pStyle w:val="TextBody"/>
        <w:bidi w:val="0"/>
        <w:spacing w:before="240" w:after="0"/>
        <w:jc w:val="left"/>
        <w:rPr>
          <w:rFonts w:ascii="Times New Roman" w:hAnsi="Times New Roman"/>
          <w:sz w:val="20"/>
        </w:rPr>
      </w:pPr>
      <w:r>
        <w:rPr>
          <w:rFonts w:ascii="Times New Roman" w:hAnsi="Times New Roman"/>
          <w:sz w:val="20"/>
        </w:rPr>
        <w:t xml:space="preserve">We own a number of registered and common law trademarks and pending applications for trademark registrations in the United States and other countries, including, for example: First Advantage, Profile Advantage, Enterprise Advantage, Insight Advantage, Verified!, Roadready, Sterling, Corporate Screening, among others. Unless otherwise indicated, all trademarks, tradenames, and service marks appearing in this prospectus or incorporated by reference herein are proprietary to us, our affiliates, and/or licensors. This prospectus and the documents incorporated by reference herein also contain trademarks, tradenames, and service marks of other companies, which are the property of their respective owners. Solely for convenience, the trademarks, tradenames, and service marks referred to in this prospectus and in the information incorporated by reference herein may appear without the ® and  symbols, but such references are not intended to indicate, in any way, that we will not assert, to the fullest extent under applicable law, our rights or the rights of the applicable licensors to these trademarks, tradenames, and service marks. We do not intend our use or display of other parties’ trademarks, tradenames, or service marks to imply, and such use or display should not be construed to imply, a relationship with, or endorsement or sponsorship of us by, these other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bookmarkStart w:id="18" w:name="tx134120_3"/>
      <w:bookmarkEnd w:id="18"/>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This summary highlights selected information contained elsewhere or incorporated by reference in this prospectus or any prospectus supplement and does not contain all of the information that you should consider before deciding to invest in our common stock. You should read the entire prospectus, any applicable prospectus supplement, and the documents incorporated herein or therein carefully, including “Risk Factors” and our consolidated financial statements and related notes incorporated by reference into this prospectus, before making an investment decision. This summary contains forward-looking statements that involve risks and uncertainties.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otherwise indicated or the context otherwise requires, references in this prospectus to the “Company,” “First Advantage,” “we,” “us,” and “our” means the business of First Advantage Corporation and its subsidiaries.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First Advantage Corporation (“First Advantage” or the “Company”) is a global software and data company. We provide comprehensive, end-to-end identity solutions, criminal background screening, credential verifications, drug and health screening, and continuous risk monitoring. Combining AI-powered proprietary technology platforms with proprietary data, primary source data, and third-party data, we help organizations hire with confidence and manage risk across the entire employee lifecycle.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transform screening data into actionable intelligence—with benchmarking, insights, and continuous monitoring that help organizations make smarter workforce decisions.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With over 80,000 customers worldwide—including approximately two-thirds of the Fortune 100—we deliver fast, comprehensive, and reliable identity verification, screening, and monitoring solutions for employers, their candidates, and their employees. We conduct more than 200 million screens annually across over 200 countries and territories, supported by decades of experience and proprietary databases containing over 1 billion records.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Identity, trust, and the way people work are shifting faster than ever. Organizations face unprecedented challenges: generative artificial intelligence (“AI”) and deepfake enabled identity-fraud, increasing regulatory complexity, borderless, distributed workforces, gig-based employment models, high churn and rapid role-switching, hybrid hiring, and social media risks. In this environment, identity can no longer be verified once; it must be actively understood, verified at multiple points in the employee lifecycle, and intelligently managed. First Advantage is well positioned to be a leader in this transformation, advancing the industry from fragmented, point-in-time checks to regular and persistent identity and background checks across the full employee lifecycle.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expertise and resources position us to grow market share by focusing on strategic industries and companies, increasing our share with existing customers, upselling and cross-selling products and solutions, and winning new customers. We engage multiple stakeholders within customer organizations, including Executive Management, Human Resources, Talent Acquisition, Compliance, Risk, Legal, Safety, and Vendor Management, who rely on our products and solutions.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verticalized go-to-market strategy delivers highly relevant products and solutions for targeted industry sectors, enabling us to build a diversified customer portfolio and effectively serve many of the largest, most sophisticated, and fastest-growing companies in the world. We have built a powerful, efficient customer-centric sales model, fueled by frequent customer engagement and deep subject-matter expertise in industry-specific compliance and regulatory requirements, which enables us to create meaningful, scalable products and solutions and drive consistent new business, upsell and cross-sell opportunities.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combination of our deep market expertise from our sales and support teams with the flexibility of our proprietary technology platforms enables us to deliver industry-relevant, highly specialized solutions to our customers in a scalable manner, driving growth and differentiating us from our competitors. This has allowed us to develop a highly trusted brand and long-standing relationships with our customers, as evidenced by our high customer satisfaction scores, average over 13-year tenure of our top 100 customers, and gross retention rate of approximately 96% as of December 31, 2025.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technology is highly configurable, scalable, and extensible, integrating with more than 100 third-party Human Capital Management (“HCM”) software platforms and Applicant Tracking Systems (“ATS”) to provide visibility and input into our customers’ human resources processes which informs our development of products and services for them. Our AI-powered platforms deliver automated process outputs including anomaly detection, analytical insights, and continuous monitoring reports, transforming screening data into actionable insights and benchmarking capabilities. We leverage our proprietary internal databases, which include over 1 billion US criminal, education, and work history records as of December 31, 2025, and an extensive, highly curated network of thousands of automated, integrated primary source and third-party data providers. With approximately 90% of U.S. criminal record screenings completed in one day, we deliver fast turnaround times without sacrificing quality or compliance.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remain focused on leveraging our deep industry expertise with advanced technologies to deliver comprehensive identity solutions, while driving exceptional customer value through continuous product innovation. Our roadmap is defined by perpetual evolution: introducing frequent updates and new features that anticipate and respond to customer needs and industry trends. Recent advancements include digital biometric identity verification with liveness detection, synthetic identity and deepfake detection, continuous criminal monitoring, mobile-first AI-enabled candidate experiences, AI-powered employment verifications (SmartHub), continuous driver monitoring (RoadReady), and instant oral drug testing. We combine cutting-edge technology with deep human insight to help organizations navigate an increasingly complex landscape. We are defining the future of identity at work and delivering the data, technology, and innovation that enable organizations to hire with confidence and manage risk at scale.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Risks Related to Our Business and this Offering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Investing in our stock involves a high degree of risk. You should carefully consider the risks described in “Risk Factors” elsewhere in this prospectus, in our Annual Report on Form 10-K for the fiscal year ended December 31, 2025 (“Annual Report on Form 10-K”), and our subsequent Quarterly Reports on Form 10-Q, which are incorporated by reference herein, before making a decision to invest in our common stock. If any of these risks actually occurs, our business, results of operations, and financial condition may be materially adversely affected. In such case, the trading price of our common stock may decline and you may lose part or all of your investment. Below is a summary of some of the principal risks we face: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Macroeconomic factors beyond our control, including the state of the economy, could impact demand and the fulfillment costs for our products and solutions.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operate in a highly regulated industry and are subject to numerous and evolving laws and regulations.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Continued scrutiny of collection, use, and processing of personal data and data security could lead to increased restrictions, loss of revenue opportunity, greater costs of compliance, and lost efficiency.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be able to identify and successfully implement our growth strategies on a timely basis or at all.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Social, ethical, and legal issues relating to the use of new and evolving technologies, such as artificial intelligence and machine learning, in our offerings may result in reputational harm and liability.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damage to our reputation or our brand could adversely affect our business, financial condition, and results of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our customers reduce their operations, downsize their screening programs, or otherwise demand fewer of our products and solutions, our business could be adversely impacted.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operate in a penetrated and competitive market.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rely on third-party data and service providers. If they are unable to deliver or perform as expected, our ability to operate effectively may be impaired, and our business may be materially and adversely affected.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to government entities and higher-tier contractors to governmental customers involve unique competitive, procurement, budget, administrative and contractual risks, any of which could materially adversely impact our business, financial condition and results of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Due to the sensitive and privacy-driven nature of our products and solutions, we could face liability and legal or regulatory proceedings, which could be costly and time-consuming to defend and may not be fully covered by insurance.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brand, and reputation may be harmed as a result of security breaches, cyber-attacks, employee or other internal misconduct, computer viruses, or the mishandling of personal data.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international business exposes us to a number of risks.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 or perceived errors, failures, or bugs in our products could adversely affect our business, results of operations, financial condition, and growth prospects.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realize the expected benefits of our acquisition of Sterling Check Corp. (“Sterling”) could adversely affect our business and the value of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be able to identify attractive acquisition targets and strategic partnerships or successfully complete such transactions.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comply with anti-corruption, economic and trade sanctions, and anti-money laundering laws and regulations could have an adverse effect on our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Disruptions at our Operation Centers of Excellence and other operational sites could adversely impact our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not guaranteed exclusivity or volumes in all of our contracts with our customers and our customers may experience major business changes that impact our current or future revenue streams.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Disruptions with our technology and network infrastructure, including our data centers, servers, and third-party cloud and internet providers, and our migration to the cloud, could have an adverse impact on our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continue to integrate our platforms and solutions with that of human resource software providers or if our relationships with human resource software providers deteriorate, our business could be adversely affected.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risks relating to public opinion, which may be magnified by incidents or adverse publicity concerning our industry or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rely on third-party vendors to carry out certain portions of our operations. If they cannot deliver or perform as expected or if our relationships with them are terminated or otherwise change, our business operations and results of operations could be materially and adversely affected.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continued success depends in large part on the service of our key executives and our ability to find and retain qualified employees.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obtain, maintain, protect and enforce our intellectual property and other proprietary information, or if we infringe, misappropriate or violate the intellectual property rights of others, the value of our brands and other intangible assets may be diminished, and our business may be adversely affected.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maintain, protect and enforce the confidentiality of our trade secrets, our business and competitive position would be harmed.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use of open-source software in our applications may expose us to additional risks and harm our intellectual property rights.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Seasonality may cause our operating results to fluctuate from quarter to quarter.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comply with the agreements relating to our outstanding indebtedness, including as a result of events beyond our control, could result in an event of default that could materially adversely affect our business, results of operations, and financial condition.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Silver Lake controls us and its interests may conflict with yours in the future.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stock price may be highly volatile or may decline regardless of our operating performance, and you may not be able to resell shares of our common stock at or above the price you paid or at all, and you could lose all or part of your investment as a result.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do not intend to pay dividends for the foreseeable future.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interpretation of tax laws may have a material adverse effect on our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implementation cycles can be lengthy and variable, depend upon factors outside our control, and could cause us unexpected delays in generating revenues or result in lower than anticipated revenues.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indebtedness could adversely affect our ability to raise additional capital to fund our operations, limit our ability to react to changes in the economy or our industry, and prevent us from meeting our obligations.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require a significant amount of cash to service our debt, and our ability to generate cash depends on many factors beyond our control, and any failure to meet our debt service obligations could materially adversely affect our business, results of operations, and financial condition.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debt instruments restrict our current and future operations, particularly our ability to respond to changes or take certain actions.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First Advantage Corporation is a holding company with no operations of its own and, as such, it depends on its subsidiaries for cash to fund all of its operations and expenses, including future dividend payments, if any.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Sponsor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Silver Lake (“Silver Lake” or the “Sponsor”) is a global technology investment firm, with more than $110 billion in combined assets under management and committed capital and a team of professionals based in North America, Europe and Asia. Silver Lake’s portfolio companies collectively generate approximately $307 billion of revenue annually and employ approximately 433,000 people globally.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common stock began trading on Nasdaq under the symbol “FA” on June 23, 2021 and we consummated the IPO on June 25, 2021.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We began our operations in 2003. First Advantage Corporation was incorporated in Delaware on November 15, 2019 in connection with the Silver Lake Transaction. Our principal offices are located at 1 Concourse Parkway NE, Suite 200, Atlanta, Georgia 30328. Our telephone number is (678) 868-4151. We maintain a website at www.fadv.com. The reference to our website is intended to be an inactive textual reference only. The information contained on, or that can be accessed through, our website is not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Issuer </w:t>
            </w:r>
          </w:p>
        </w:tc>
        <w:tc>
          <w:tcPr>
            <w:tcW w:w="6329" w:type="dxa"/>
            <w:tcBorders/>
          </w:tcPr>
          <w:p>
            <w:pPr>
              <w:pStyle w:val="TableContents"/>
              <w:bidi w:val="0"/>
              <w:spacing w:before="0" w:after="283"/>
              <w:jc w:val="left"/>
              <w:rPr/>
            </w:pPr>
            <w:r>
              <w:rPr/>
              <w:t xml:space="preserve">First Advantage Corporation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Common stock offered by the selling stockholder </w:t>
            </w:r>
          </w:p>
        </w:tc>
        <w:tc>
          <w:tcPr>
            <w:tcW w:w="6327" w:type="dxa"/>
            <w:tcBorders/>
          </w:tcPr>
          <w:p>
            <w:pPr>
              <w:pStyle w:val="TableContents"/>
              <w:bidi w:val="0"/>
              <w:spacing w:before="0" w:after="283"/>
              <w:jc w:val="left"/>
              <w:rPr/>
            </w:pPr>
            <w:r>
              <w:rPr/>
              <w:t xml:space="preserve">Up to 87,450,000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Common stock outstanding </w:t>
            </w:r>
          </w:p>
        </w:tc>
        <w:tc>
          <w:tcPr>
            <w:tcW w:w="6327" w:type="dxa"/>
            <w:tcBorders/>
          </w:tcPr>
          <w:p>
            <w:pPr>
              <w:pStyle w:val="TableContents"/>
              <w:bidi w:val="0"/>
              <w:spacing w:before="0" w:after="283"/>
              <w:jc w:val="left"/>
              <w:rPr/>
            </w:pPr>
            <w:r>
              <w:rPr/>
              <w:t xml:space="preserve">171,753,691 shares as of July 31,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Use of proceeds </w:t>
            </w:r>
          </w:p>
        </w:tc>
        <w:tc>
          <w:tcPr>
            <w:tcW w:w="6328" w:type="dxa"/>
            <w:tcBorders/>
          </w:tcPr>
          <w:p>
            <w:pPr>
              <w:pStyle w:val="TableContents"/>
              <w:bidi w:val="0"/>
              <w:spacing w:before="0" w:after="283"/>
              <w:jc w:val="left"/>
              <w:rPr/>
            </w:pPr>
            <w:r>
              <w:rPr/>
              <w:t xml:space="preserve">We will not receive any proceeds from the sale of shares of common stock offered from time to time pursuant to this prospectus. The selling stockholder will receive all of the net proceeds of the sale of shares of common stock offered from time to time pursuant to this prospectus and bear all commissions and discounts from the sale of our common stock by the selling stockholder. See “Principal and Selling Stockholder.”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Risk factors </w:t>
            </w:r>
          </w:p>
        </w:tc>
        <w:tc>
          <w:tcPr>
            <w:tcW w:w="6328" w:type="dxa"/>
            <w:tcBorders/>
          </w:tcPr>
          <w:p>
            <w:pPr>
              <w:pStyle w:val="TableContents"/>
              <w:bidi w:val="0"/>
              <w:spacing w:before="0" w:after="283"/>
              <w:jc w:val="left"/>
              <w:rPr/>
            </w:pPr>
            <w:r>
              <w:rPr/>
              <w:t xml:space="preserve">Investing in shares of our common stock involves a high degree of risk. Before making a decision to invest in our common stock, you should refer to the risk factors contained in or incorporated by reference under “Risk Factors” on page 7 of this prospectus and under similar headings in other documents that are incorporated by reference herein.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Trading symbol </w:t>
            </w:r>
          </w:p>
        </w:tc>
        <w:tc>
          <w:tcPr>
            <w:tcW w:w="6330" w:type="dxa"/>
            <w:tcBorders/>
          </w:tcPr>
          <w:p>
            <w:pPr>
              <w:pStyle w:val="TableContents"/>
              <w:bidi w:val="0"/>
              <w:spacing w:before="0" w:after="283"/>
              <w:jc w:val="left"/>
              <w:rPr/>
            </w:pPr>
            <w:r>
              <w:rPr/>
              <w:t>“</w:t>
            </w:r>
            <w:r>
              <w:rPr/>
              <w:t xml:space="preserve">FA”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9" w:name="tx134120_4"/>
      <w:bookmarkEnd w:id="19"/>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common stock involves risks. You should carefully consider the risks and uncertainties described in our most recent Annual Report on Form 10-K and our subsequent Quarterly Reports on Form 10-Q, which are incorporated by reference herein, as the same may be updated from time to time by our subsequent filings under the Securities Exchange Act of 1934, as amended (the “Exchange Act”). You should also carefully consider the other information contained in this prospectus, as updated by our subsequent filings under the Exchange Act, and the risk factors and other information contained in any applicable prospectus supplement or free writing prospectus, before acquiring any shares of our common stock. These risks reflect our beliefs and opinions as to factors that could materially affect our business, results of operations, or financial condition, and cause the value of our common stock to decline, and are not the only risks and uncertainties facing us or related to an investment in our Company. The occurrence of any of the events described below could harm our business, financial condition, results of operations and growth prospects. Additional risks and uncertainties not currently known to us or that we currently deem immaterial also may impair our financial condition and business operations. References to past events are provided only as an example and are not intended to be a complete representation as to whether such factors have occurred in the past or their likelihood of occurring in the future. You should also carefully review the cautionary statements referred to under the section titled “Special Note Regarding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0" w:name="tx134120_5"/>
      <w:bookmarkEnd w:id="20"/>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includes and incorporates by reference forward-looking statements, within the meaning of the Private Securities Litigation Reform Act of 1995, that reflect our current views with respect to, among other things, our operations and financial performance. Forward-looking statements include all statements that are not historical facts. These forward-looking statements are included in or incorporated by reference into this prospectus and relate to matters such as our industry, business strategy, goals and expectations concerning our market position, future operations, margins, profitability, capital expenditures, liquidity and capital resources and other financial and operating information. In some cases, you can identify these forward- looking statements by the use of words such as “anticipate,” “assume,” “believe,” “continue,” “could,” “estimate,” “expect,” “intend,” “may,” “plan,” “potential,” “predict,” “project,” “future,” “will,” “seek,” “foreseeable,” the negative version of these words, or similar terms and phrases.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subject to various risks, uncertainties, assumptions or changes in circumstances that are difficult to predict or quantify. Such risks and uncertainties include, but are not limited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Macroeconomic factors beyond our control, including the state of the economy, could impact demand and the fulfillment costs for our products and solutions.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operate in a highly regulated industry and are subject to numerous and evolving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Continued scrutiny of collection, use, and processing of personal data and data security could lead to increased restrictions, loss of revenue opportunity, greater costs of compliance, and lost efficiency.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be able to identify and successfully implement our growth strategies on a timely basis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Social, ethical, and legal issues relating to the use of new and evolving technologies, such as artificial intelligence and machine learning, in our offerings may result in reputational harm and liability.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damage to our reputation or our brand could adversely affect our business,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our customers reduce their operations, downsize their screening programs, or otherwise demand fewer of our products and solutions, our business could be adversely impacted.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operate in a penetrated and competitive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rely on third-party data and service providers. If they are unable to deliver or perform as expected, our ability to operate effectively may be impaired, and our business may be materially and adversely affected.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to government entities and higher-tier contractors to governmental customers involve unique competitive, procurement, budget, administrative and contractual risks, any of which could materially adversely impact our business,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Due to the sensitive and privacy-driven nature of our products and solutions, we could face liability and legal or regulatory proceedings, which could be costly and time-consuming to defend and may not be fully covered by insurance.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brand, and reputation may be harmed as a result of security breaches, cyber-attacks, employee or other internal misconduct, computer viruses, or the mishandling of personal data.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international business exposes us to a number of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 or perceived errors, failures, or bugs in our products could adversely affect our business, results of operations, financial condition, and growth prospects.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realize the expected benefits of our acquisition of Sterling Check Corp. (“Sterling”) could adversely affect our business and the value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be able to identify attractive acquisition targets and strategic partnerships or successfully complete such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comply with anti-corruption, economic and trade sanctions, and anti-money laundering laws and regulations could have an adverse effect on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Disruptions at our Operation Centers of Excellence and other operational sites could adversely impact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not guaranteed exclusivity or volumes in all of our contracts with our customers and our customers may experience major business changes that impact our current or future revenue streams.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Disruptions with our technology and network infrastructure, including our data centers, servers, and third-party cloud and internet providers, and our migration to the cloud, could have an adverse impact on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continue to integrate our platforms and solutions with that of human resource software providers or if our relationships with human resource software providers deteriorate, our business could be adversely affected.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risks relating to public opinion, which may be magnified by incidents or adverse publicity concerning our industry or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rely on third-party vendors to carry out certain portions of our operations. If they cannot deliver or perform as expected or if our relationships with them are terminated or otherwise change, our business operations and results of operations could be materially and adversely affected.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continued success depends in large part on the service of our key executives and our ability to find and retain qualified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obtain, maintain, protect and enforce our intellectual property and other proprietary information, or if we infringe, misappropriate or violate the intellectual property rights of others, the value of our brands and other intangible assets may be diminished, and our business may be adversely affected.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maintain, protect and enforce the confidentiality of our trade secrets, our business and competitive position would be harmed.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use of open-source software in our applications may expose us to additional risks and harm our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Seasonality may cause our operating results to fluctuate from quarter to quarter.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comply with the agreements relating to our outstanding indebtedness, including as a result of events beyond our control, could result in an event of default that could materially adversely affect our business, results of operations, and financial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Silver Lake controls us and its interests may conflict with yours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stock price may be highly volatile or may decline regardless of our operating performance, and you may not be able to resell shares of our common stock at or above the price you paid or at all, and you could lose all or part of your investment as a result.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do not intend to pay dividends for the foreseeable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manner and volume of repurchases of common stock pursuant to our share repurchase program.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interpretation of tax laws may have a material adverse effect on our business.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implementation cycles can be lengthy and variable, depend upon factors outside our control, and could cause us unexpected delays in generating revenues or result in lower than anticipated revenues.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indebtedness could adversely affect our ability to raise additional capital to fund our operations, limit our ability to react to changes in the economy or our industry, and prevent us from meeting our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require a significant amount of cash to service our debt, and our ability to generate cash depends on many factors beyond our control, and any failure to meet our debt service obligations could materially adversely affect our business, results of operations, and financial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debt instruments restrict our current and future operations, particularly our ability to respond to changes or take certain 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First Advantage Corporation is a holding company with no operations of its own and, as such, it depends on its subsidiaries for cash to fund all of its operations and expenses, including future dividend payments,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factors disclosed or incorporated by reference in this 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factors should not be construed as exhaustive and should be read in conjunction with the other cautionary statements that are included in or incorporated by reference into this prospectus. Should one or more of these risks or uncertainties materialize, or should any of our assumptions prove incorrect, our actual results may vary in material respects from those projected in these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Any forward-looking statements made by us in this prospectus or incorporated by reference herein speaks only as of the date of this prospectus or the document incorporated or deemed incorporated by reference herein and are expressly qualified in their entirety by the cautionary statements included in or incorporated by reference into this prospectus. Factors or events that could cause our actual results to differ may emerge from time to time, and it is not possible for us to predict all of them. We may not actually achieve the plans, intentions or expectations disclosed in our forward- looking statements and you should not place undue reliance on our forward-looking statements. Our forward- looking statements do not reflect the potential impact of any future acquisitions, mergers, dispositions, joint ventures, investments or other strategic transactions we may make. We undertake no obligation to publicly update or review any forward-looking statement, whether as a result of new information, future developments or otherwise, except as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Investors and others should note that we routinely announce financial and other material information using our Investor Relations website (investors.fadv.com), SEC filings, press releases, public conference calls, and webcasts. We use these channels of distribution to communicate with our investors and members of the public about our company, our services, and other items of interest. Information contained on our website is not part of this prospectus or our other filings with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1" w:name="tx134120_6"/>
      <w:bookmarkEnd w:id="21"/>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will receive all of the net proceeds from the sale of shares of our common stock offered from time to time pursuant to this prospectus. We will not receive any proceeds from the sale of shares being sold from time to time pursuant to this prospectus. The selling stockholder will bear the underwriting commissions and discounts attributable to its sale of our common stock, and expenses incurred by the selling stockholder for brokerage, accounting, tax services, or any other expenses incurred by the selling stockholder, except we will bear the fees and expenses of one counsel for the selling stockholder. We will bear all other costs, fees, and expenses incurred in effecting the registration of the shares covered by this prospectus, including, without limitation, all registration and filing fees, and fees and expenses of our counsel and one counsel for the selling stockholder and our independent registered public accountants.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2" w:name="tx134120_7"/>
      <w:bookmarkEnd w:id="22"/>
      <w:r>
        <w:rPr>
          <w:rFonts w:ascii="Times New Roman" w:hAnsi="Times New Roman"/>
          <w:b/>
          <w:sz w:val="20"/>
        </w:rPr>
        <w:t xml:space="preserve">SELLING STOCKHOLDER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covers 87,450,000 shares of our common stock that may be offered for resale by the selling stockholder. For more information about our relationship with the selling stockholder and its affiliates, see the section entitled “Transactions Related to Directors, Equity Holders, and Executive Officers” in our Definitive Proxy Statement on Schedule 14A filed on April 24, 2026, which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contains information about the beneficial ownership of our common stock as of July 31, 2026, with respect to the selling stockholder and the shares of our common stock beneficially owned by the selling stockholder that may from time to time be offered or sold pursuant to this prospectus. Beneficial ownership and percentage ownership are determined in accordance with the rules and regulations of the SEC. Under SEC rules, a person is deemed to be a “beneficial owner” of a security if that person has or shares voting power or investment power, which includes the power to dispose of or to direct the disposition of such security. A person is also deemed to be a beneficial owner of any securities of which that person has a right to acquire beneficial ownership within 60 days. Securities that can be so acquired are deemed to be outstanding for purposes of computing such person’s ownership percentage, but not for purposes of computing any other person’s percentage. Under these rules, more than one person may be deemed to be a beneficial owner of the same securities and a person may be deemed to be a beneficial owner of securities as to which such person has no economic interest. Except as indicated in the footnotes to the following table or pursuant to applicable community property laws, we believe, based on information furnished to us, that each stockholder named in the table has sole voting and investment power with respect to the shares set forth opposite such stockholder’s name. </w:t>
      </w:r>
    </w:p>
    <w:p>
      <w:pPr>
        <w:pStyle w:val="TextBody"/>
        <w:bidi w:val="0"/>
        <w:spacing w:before="240" w:after="0"/>
        <w:jc w:val="left"/>
        <w:rPr>
          <w:rFonts w:ascii="Times New Roman" w:hAnsi="Times New Roman"/>
          <w:sz w:val="20"/>
        </w:rPr>
      </w:pPr>
      <w:r>
        <w:rPr>
          <w:rFonts w:ascii="Times New Roman" w:hAnsi="Times New Roman"/>
          <w:sz w:val="20"/>
        </w:rPr>
        <w:t xml:space="preserve">Information concerning the selling stockholder may change from time to time, and any such changed information will be set forth in supplements to this prospectus or a post-effective amendment to the registration statement to which this prospectus is a part, as may be appropriate. The selling stockholder may offer all, some or none of its shares of common stock. We cannot advise you as to whether the selling stockholder will in fact sell any or all of such shares of common stock. In addition, the selling stockholder may have sold or transferred, in transactions pursuant to this prospectus or otherwise, some or all of its shares since the date as of which the information is presented in the table below. </w:t>
      </w:r>
    </w:p>
    <w:p>
      <w:pPr>
        <w:pStyle w:val="TextBody"/>
        <w:bidi w:val="0"/>
        <w:spacing w:before="240" w:after="0"/>
        <w:jc w:val="left"/>
        <w:rPr>
          <w:rFonts w:ascii="Times New Roman" w:hAnsi="Times New Roman"/>
          <w:sz w:val="20"/>
        </w:rPr>
      </w:pPr>
      <w:r>
        <w:rPr>
          <w:rFonts w:ascii="Times New Roman" w:hAnsi="Times New Roman"/>
          <w:sz w:val="20"/>
        </w:rPr>
        <w:t xml:space="preserve">Our calculation of the percentage of beneficial ownership prior to and after the offering is based on 171,753,691 shares of common stock outstanding as of July 31, 2026. </w:t>
      </w:r>
    </w:p>
    <w:p>
      <w:pPr>
        <w:pStyle w:val="TextBody"/>
        <w:bidi w:val="0"/>
        <w:spacing w:before="0" w:after="0"/>
        <w:jc w:val="left"/>
        <w:rPr/>
      </w:pPr>
      <w:r>
        <w:rPr/>
        <w:t> </w:t>
      </w:r>
    </w:p>
    <w:tbl>
      <w:tblPr>
        <w:tblW w:w="13340" w:type="dxa"/>
        <w:jc w:val="center"/>
        <w:tblInd w:w="0" w:type="dxa"/>
        <w:tblLayout w:type="fixed"/>
        <w:tblCellMar>
          <w:top w:w="0" w:type="dxa"/>
          <w:left w:w="0" w:type="dxa"/>
          <w:bottom w:w="0" w:type="dxa"/>
          <w:right w:w="0" w:type="dxa"/>
        </w:tblCellMar>
      </w:tblPr>
      <w:tblGrid>
        <w:gridCol w:w="2045"/>
        <w:gridCol w:w="60"/>
        <w:gridCol w:w="123"/>
        <w:gridCol w:w="2255"/>
        <w:gridCol w:w="123"/>
        <w:gridCol w:w="123"/>
        <w:gridCol w:w="230"/>
        <w:gridCol w:w="1695"/>
        <w:gridCol w:w="275"/>
        <w:gridCol w:w="60"/>
        <w:gridCol w:w="95"/>
        <w:gridCol w:w="1755"/>
        <w:gridCol w:w="60"/>
        <w:gridCol w:w="60"/>
        <w:gridCol w:w="134"/>
        <w:gridCol w:w="2199"/>
        <w:gridCol w:w="134"/>
        <w:gridCol w:w="134"/>
        <w:gridCol w:w="179"/>
        <w:gridCol w:w="1326"/>
        <w:gridCol w:w="275"/>
      </w:tblGrid>
      <w:tr>
        <w:trPr/>
        <w:tc>
          <w:tcPr>
            <w:tcW w:w="20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0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49" w:type="dxa"/>
            <w:gridSpan w:val="6"/>
            <w:tcBorders>
              <w:bottom w:val="single" w:sz="8" w:space="0" w:color="000000"/>
            </w:tcBorders>
            <w:tcMar>
              <w:bottom w:w="28" w:type="dxa"/>
            </w:tcMar>
            <w:vAlign w:val="bottom"/>
          </w:tcPr>
          <w:p>
            <w:pPr>
              <w:pStyle w:val="TableContents"/>
              <w:bidi w:val="0"/>
              <w:spacing w:before="0" w:after="283"/>
              <w:jc w:val="center"/>
              <w:rPr/>
            </w:pPr>
            <w:r>
              <w:rPr/>
              <w:t>Shares of Common Stock Beneficially</w:t>
              <w:br/>
              <w:t>Owned</w:t>
            </w:r>
          </w:p>
        </w:tc>
        <w:tc>
          <w:tcPr>
            <w:tcW w:w="275"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85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t>Shares of Common</w:t>
              <w:br/>
              <w:t>Stock that May be</w:t>
              <w:br/>
              <w:t>Offered for Resale</w:t>
            </w:r>
          </w:p>
        </w:tc>
        <w:tc>
          <w:tcPr>
            <w:tcW w:w="60" w:type="dxa"/>
            <w:vMerge w:val="restart"/>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6" w:type="dxa"/>
            <w:gridSpan w:val="6"/>
            <w:tcBorders>
              <w:bottom w:val="single" w:sz="8" w:space="0" w:color="000000"/>
            </w:tcBorders>
            <w:tcMar>
              <w:bottom w:w="28" w:type="dxa"/>
            </w:tcMar>
            <w:vAlign w:val="bottom"/>
          </w:tcPr>
          <w:p>
            <w:pPr>
              <w:pStyle w:val="TableContents"/>
              <w:bidi w:val="0"/>
              <w:spacing w:before="0" w:after="283"/>
              <w:jc w:val="center"/>
              <w:rPr/>
            </w:pPr>
            <w:r>
              <w:rPr/>
              <w:t>Shares of Common Stock Beneficially</w:t>
              <w:br/>
              <w:t>Owned After the Sale of the Maximum</w:t>
              <w:br/>
              <w:t>Number of Shares of Common Stock</w:t>
            </w:r>
          </w:p>
        </w:tc>
        <w:tc>
          <w:tcPr>
            <w:tcW w:w="275" w:type="dxa"/>
            <w:tcBorders/>
            <w:vAlign w:val="bottom"/>
          </w:tcPr>
          <w:p>
            <w:pPr>
              <w:pStyle w:val="TableContents"/>
              <w:bidi w:val="0"/>
              <w:spacing w:before="0" w:after="283"/>
              <w:jc w:val="left"/>
              <w:rPr/>
            </w:pPr>
            <w:r>
              <w:rPr/>
              <w:t> </w:t>
            </w:r>
          </w:p>
        </w:tc>
      </w:tr>
      <w:tr>
        <w:trPr/>
        <w:tc>
          <w:tcPr>
            <w:tcW w:w="2045"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Name</w:t>
            </w:r>
          </w:p>
        </w:tc>
        <w:tc>
          <w:tcPr>
            <w:tcW w:w="60" w:type="dxa"/>
            <w:tcBorders/>
            <w:vAlign w:val="bottom"/>
          </w:tcPr>
          <w:p>
            <w:pPr>
              <w:pStyle w:val="TableContents"/>
              <w:bidi w:val="0"/>
              <w:spacing w:before="0" w:after="283"/>
              <w:jc w:val="left"/>
              <w:rPr/>
            </w:pPr>
            <w:r>
              <w:rPr/>
              <w:t> </w:t>
            </w:r>
          </w:p>
        </w:tc>
        <w:tc>
          <w:tcPr>
            <w:tcW w:w="2378" w:type="dxa"/>
            <w:gridSpan w:val="2"/>
            <w:tcBorders>
              <w:bottom w:val="single" w:sz="8" w:space="0" w:color="000000"/>
            </w:tcBorders>
            <w:tcMar>
              <w:bottom w:w="28" w:type="dxa"/>
            </w:tcMar>
            <w:vAlign w:val="bottom"/>
          </w:tcPr>
          <w:p>
            <w:pPr>
              <w:pStyle w:val="TableContents"/>
              <w:bidi w:val="0"/>
              <w:spacing w:before="0" w:after="283"/>
              <w:jc w:val="center"/>
              <w:rPr/>
            </w:pPr>
            <w:r>
              <w:rPr/>
              <w:t>Number of</w:t>
              <w:br/>
              <w:t>Shares</w:t>
            </w:r>
          </w:p>
        </w:tc>
        <w:tc>
          <w:tcPr>
            <w:tcW w:w="12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925" w:type="dxa"/>
            <w:gridSpan w:val="2"/>
            <w:tcBorders>
              <w:bottom w:val="single" w:sz="8" w:space="0" w:color="000000"/>
            </w:tcBorders>
            <w:tcMar>
              <w:bottom w:w="28" w:type="dxa"/>
            </w:tcMar>
            <w:vAlign w:val="bottom"/>
          </w:tcPr>
          <w:p>
            <w:pPr>
              <w:pStyle w:val="TableContents"/>
              <w:bidi w:val="0"/>
              <w:spacing w:before="0" w:after="283"/>
              <w:jc w:val="center"/>
              <w:rPr/>
            </w:pPr>
            <w:r>
              <w:rPr/>
              <w:t>Percent of Common</w:t>
              <w:br/>
              <w:t>Stock Outstanding</w:t>
            </w:r>
          </w:p>
        </w:tc>
        <w:tc>
          <w:tcPr>
            <w:tcW w:w="275"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850"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333" w:type="dxa"/>
            <w:gridSpan w:val="2"/>
            <w:tcBorders>
              <w:bottom w:val="single" w:sz="8" w:space="0" w:color="000000"/>
            </w:tcBorders>
            <w:tcMar>
              <w:bottom w:w="28" w:type="dxa"/>
            </w:tcMar>
            <w:vAlign w:val="bottom"/>
          </w:tcPr>
          <w:p>
            <w:pPr>
              <w:pStyle w:val="TableContents"/>
              <w:bidi w:val="0"/>
              <w:spacing w:before="0" w:after="283"/>
              <w:jc w:val="center"/>
              <w:rPr/>
            </w:pPr>
            <w:r>
              <w:rPr/>
              <w:t>Number of Shares</w:t>
            </w:r>
          </w:p>
        </w:tc>
        <w:tc>
          <w:tcPr>
            <w:tcW w:w="134"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bottom"/>
          </w:tcPr>
          <w:p>
            <w:pPr>
              <w:pStyle w:val="TableContents"/>
              <w:bidi w:val="0"/>
              <w:spacing w:before="0" w:after="283"/>
              <w:jc w:val="center"/>
              <w:rPr/>
            </w:pPr>
            <w:r>
              <w:rPr/>
              <w:t>Percent of</w:t>
              <w:br/>
              <w:t>Common Stock</w:t>
              <w:br/>
              <w:t>Outstanding</w:t>
            </w:r>
          </w:p>
        </w:tc>
        <w:tc>
          <w:tcPr>
            <w:tcW w:w="275" w:type="dxa"/>
            <w:tcBorders/>
            <w:vAlign w:val="bottom"/>
          </w:tcPr>
          <w:p>
            <w:pPr>
              <w:pStyle w:val="TableContents"/>
              <w:bidi w:val="0"/>
              <w:spacing w:before="0" w:after="283"/>
              <w:jc w:val="left"/>
              <w:rPr/>
            </w:pPr>
            <w:r>
              <w:rPr/>
              <w:t> </w:t>
            </w:r>
          </w:p>
        </w:tc>
      </w:tr>
      <w:tr>
        <w:trPr/>
        <w:tc>
          <w:tcPr>
            <w:tcW w:w="20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SLP Fastball Aggregator, L.P.(1)</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2255" w:type="dxa"/>
            <w:tcBorders/>
            <w:shd w:fill="CCEEFF" w:val="clear"/>
            <w:vAlign w:val="bottom"/>
          </w:tcPr>
          <w:p>
            <w:pPr>
              <w:pStyle w:val="TableContents"/>
              <w:bidi w:val="0"/>
              <w:spacing w:before="0" w:after="283"/>
              <w:jc w:val="right"/>
              <w:rPr/>
            </w:pPr>
            <w:r>
              <w:rPr/>
              <w:t>89,557,840</w:t>
            </w:r>
          </w:p>
        </w:tc>
        <w:tc>
          <w:tcPr>
            <w:tcW w:w="123"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695" w:type="dxa"/>
            <w:tcBorders/>
            <w:shd w:fill="CCEEFF" w:val="clear"/>
            <w:vAlign w:val="bottom"/>
          </w:tcPr>
          <w:p>
            <w:pPr>
              <w:pStyle w:val="TableContents"/>
              <w:bidi w:val="0"/>
              <w:spacing w:before="0" w:after="283"/>
              <w:jc w:val="right"/>
              <w:rPr/>
            </w:pPr>
            <w:r>
              <w:rPr/>
              <w:t>52.1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755" w:type="dxa"/>
            <w:tcBorders/>
            <w:shd w:fill="CCEEFF" w:val="clear"/>
            <w:vAlign w:val="bottom"/>
          </w:tcPr>
          <w:p>
            <w:pPr>
              <w:pStyle w:val="TableContents"/>
              <w:bidi w:val="0"/>
              <w:spacing w:before="0" w:after="283"/>
              <w:jc w:val="right"/>
              <w:rPr/>
            </w:pPr>
            <w:r>
              <w:rPr/>
              <w:t>87,450,000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2199" w:type="dxa"/>
            <w:tcBorders/>
            <w:shd w:fill="CCEEFF" w:val="clear"/>
            <w:vAlign w:val="bottom"/>
          </w:tcPr>
          <w:p>
            <w:pPr>
              <w:pStyle w:val="TableContents"/>
              <w:bidi w:val="0"/>
              <w:spacing w:before="0" w:after="283"/>
              <w:jc w:val="right"/>
              <w:rPr/>
            </w:pPr>
            <w:r>
              <w:rPr/>
              <w:t>2,107,840</w:t>
            </w:r>
          </w:p>
        </w:tc>
        <w:tc>
          <w:tcPr>
            <w:tcW w:w="134"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326" w:type="dxa"/>
            <w:tcBorders/>
            <w:shd w:fill="CCEEFF" w:val="clear"/>
            <w:vAlign w:val="bottom"/>
          </w:tcPr>
          <w:p>
            <w:pPr>
              <w:pStyle w:val="TableContents"/>
              <w:bidi w:val="0"/>
              <w:spacing w:before="0" w:after="283"/>
              <w:jc w:val="right"/>
              <w:rPr/>
            </w:pPr>
            <w:r>
              <w:rPr/>
              <w:t>1.23</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shares held of record by SLP Fastball Aggregator, L.P. SLP V Aggregator GP, L.L.C. is the general partner of SLP Fastball Aggregator, L.P. Silver Lake Technology Associates V, L.P. is the managing member of SLP V Aggregator GP, L.L.C. SLTA V (GP), L.L.C. is the general partner of Silver Lake Technology Associates V, L.P. Silver Lake Group, L.L.C., is the managing member of SLTA V (GP), L.L.C. The managing members of Silver Lake Group, L.L.C. are Egon Durban, Kenneth Hao, Christian Lucas, Gregory Mondre, Joseph Osnoss, and Lee Wittlinger. The principal business address for each of the entities identified in this paragraph is c/o Silver Lake Group, L.L.C., 2775 Sand Hill Road, Suite 100 Menlo Park, CA 94025.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3" w:name="tx134120_8"/>
      <w:bookmarkEnd w:id="23"/>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description of the material terms of, and is qualified in its entirety by, our amended and restated certificate of incorporation and amended and restated bylaws, which are filed as exhibits to the registration statement of which this prospectus is a part. </w:t>
      </w:r>
    </w:p>
    <w:p>
      <w:pPr>
        <w:pStyle w:val="TextBody"/>
        <w:bidi w:val="0"/>
        <w:spacing w:before="240" w:after="0"/>
        <w:jc w:val="left"/>
        <w:rPr>
          <w:rFonts w:ascii="Times New Roman" w:hAnsi="Times New Roman"/>
          <w:sz w:val="20"/>
        </w:rPr>
      </w:pPr>
      <w:r>
        <w:rPr>
          <w:rFonts w:ascii="Times New Roman" w:hAnsi="Times New Roman"/>
          <w:sz w:val="20"/>
        </w:rPr>
        <w:t xml:space="preserve">Our purpose is to engage in any lawful act or activity for which corporations may now or hereafter be organized under the DGCL. Our authorized capital stock consists of 1,000,000,000 shares of common stock, par value $0.001 per share, and 250,000,000 shares of preferred stock, par value $0.001 per share. No shares of preferred stock are outstanding and no shares of preferred stock will be issued or outstanding immediately after the offering contemplated by this prospectus. Unless our board of directors determines otherwise, we will issue all shares of our capital stock in uncertificated form.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Holders of our common stock are entitled to one vote for each share held of record on all matters on which stockholders are entitled to vote generally, including the election or removal of directors, subject to certain limitations. The holders of our common stock do not have cumulative voting rights in the election of directors. Upon our liquidation, dissolution or winding up and after payment in full of all amounts required to be paid to creditors and to the holders of preferred stock having liquidation preferences, if any, the holders of our common stock will be entitled to receive our remaining assets available for distribution on a pro rata basis. Holders of our common stock do not have preemptive, subscription, redemption or conversion rights. The common stock will not be subject to further calls or assessment by us. There will be no redemption or sinking fund provisions applicable to the common stock. All shares of our common stock that will be outstanding at the time of the completion of the offering will be fully paid and non-assessable. The rights, powers, preferences and privileges of holders of our common stock will be subject to those of the holders of any shares of our preferred stock we may authorize and issue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authorizes our board of directors to establish one or more series of preferred stock (including convertible preferred stock). Unless required by law or by Nasdaq, the authorized shares of preferred stock are available for issuance without further action by you. Our board of directors will be able to determine, with respect to any series of preferred stock, the terms and rights of that series,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the series, which our board of directors may, except where otherwise provided in the preferred stock designation, increase (but not above the total number of authorized shares of the class) or decrease (but not below the number of shares then outstanding);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3)</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dividends, if any, will be cumulative or non-cumulative and the dividend rate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4)</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at which dividends, if any,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5)</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rights and price or prices, if any, for shares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6)</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amounts of any sinking fund provided for the purchase or redemption of shares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7)</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payable on shares of the series in the event of any voluntary or involuntary liquidation, dissolution or winding-up of the affairs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8)</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shares of the series will be convertible into shares of any other class or series, or any other security, of the Company or any other corporation and, if so, the specification of the other class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series or other security, the conversion price or prices or rate or rates, any rate adjustments, the date or dates as of which the shares will be convertible and all other terms and conditions upon which the conversion may be made;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9)</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the issuance of shares of the same series or of any other class or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10)</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voting rights, if any, of the holders of the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issue a series of preferred stock that could, depending on the terms of the series, impede or discourage an acquisition attempt or other transaction that some, or a majority, of the holders of our common stock might believe to be in their best interests or in which the holders of our common stock might receive a premium for their common stock over the market price of the common stock. In addition, the issuance of preferred stock may adversely affect the holders of our common stock by restricting dividends on the common stock, diluting the voting power of the common stock or subordinating the liquidation rights of the common stock. As a result of these or other factors, the issuance of preferred stock may have an adverse impact on the market price of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the board of directors. The capital of the corporation is typically calculated to be (and cannot be less than) the aggregate par value of all issued shares of capital stock. Net assets equal the fair value of the total assets minus total liabilities. The DGCL also provides that dividends may not be paid out of net profits if, after the payment of the dividend, capital is less than the capital represented by the outstanding stock of all classes having a preference upon the distribution of assets. </w:t>
      </w:r>
    </w:p>
    <w:p>
      <w:pPr>
        <w:pStyle w:val="TextBody"/>
        <w:bidi w:val="0"/>
        <w:spacing w:before="240" w:after="0"/>
        <w:jc w:val="left"/>
        <w:rPr>
          <w:rFonts w:ascii="Times New Roman" w:hAnsi="Times New Roman"/>
          <w:sz w:val="20"/>
        </w:rPr>
      </w:pPr>
      <w:r>
        <w:rPr>
          <w:rFonts w:ascii="Times New Roman" w:hAnsi="Times New Roman"/>
          <w:sz w:val="20"/>
        </w:rPr>
        <w:t xml:space="preserve">Declaration and payment of any dividend will be subject to the discretion of our board of directors. The time and amount of dividends will be dependent upon our financial condition, operations, cash requirements and availability, debt repayment obligations, capital expenditure needs and restrictions in our debt instruments, industry trends, the provisions of Delaware law affecting the payment of dividends to stockholders and any other factors our board of directors may consider relevant.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Our Amended and Restated Certificate of Incorporation and Amended and Restated Bylaws and Certain Provisions of Delaware Law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amended and restated bylaws, and the DGCL, which are summarized in the following paragraphs, contain provisions that are intended to enhance the likelihood of continuity and stability in the composition of our board of directors. These provisions are intended to avoid costly takeover battles, reduce our vulnerability to a hostile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is in its best interest, including those attempts that might result in a premium over the prevailing market price for the shares of common stock held by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Authorized but Unissued Capital Stock </w:t>
      </w:r>
    </w:p>
    <w:p>
      <w:pPr>
        <w:pStyle w:val="TextBody"/>
        <w:bidi w:val="0"/>
        <w:spacing w:before="120" w:after="0"/>
        <w:jc w:val="left"/>
        <w:rPr>
          <w:rFonts w:ascii="Times New Roman" w:hAnsi="Times New Roman"/>
          <w:sz w:val="20"/>
        </w:rPr>
      </w:pPr>
      <w:r>
        <w:rPr>
          <w:rFonts w:ascii="Times New Roman" w:hAnsi="Times New Roman"/>
          <w:sz w:val="20"/>
        </w:rPr>
        <w:t xml:space="preserve">Delaware law does not require stockholder approval for any issuance of authorized shares. However, the listing requirements of Nasdaq, which would apply if and so long as our common stock remains listed on Nasdaq, require stockholder approval of certain issuances equal to or exceeding 20% of the then-outstanding voting power or then-outstanding number of shares of common stock. These additional shares may be used for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variety of corporate purposes, including future public offerings to raise additional capital or to facilitate acquisitions.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may issue shares of preferred stock on terms calculated to discourage, delay or prevent a change of control of the Company or the removal of our management. Moreover, our authorized but unissued shares of preferred stock will be available for future issuances without stockholder approval and could be utilized for a variety of corporate purposes, including future offerings to raise additional capital, acquisitions or employee benefit plans. </w:t>
      </w:r>
    </w:p>
    <w:p>
      <w:pPr>
        <w:pStyle w:val="TextBody"/>
        <w:bidi w:val="0"/>
        <w:spacing w:before="240" w:after="0"/>
        <w:jc w:val="left"/>
        <w:rPr>
          <w:rFonts w:ascii="Times New Roman" w:hAnsi="Times New Roman"/>
          <w:sz w:val="20"/>
        </w:rPr>
      </w:pPr>
      <w:r>
        <w:rPr>
          <w:rFonts w:ascii="Times New Roman" w:hAnsi="Times New Roman"/>
          <w:sz w:val="20"/>
        </w:rPr>
        <w:t xml:space="preserve">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the Company by means of a merger, tender offer, proxy contest or otherwise, and thereby protect the continuity of our management and possibly deprive our stockholders of opportunities to sell their shares of common stock at prices higher than prevailing market prices.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Classified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our board of directors be divided into three classes of directors, with the classes to be as nearly equal in number as possible, and with the directors serving three-year terms. As a result, approximately one-third of our board of directors is elected each year. The classification of directors has the effect of making it more difficult for stockholders to change the composition of our board of directors. Our amended and restated certificate of incorporation and amended and restated bylaws provide that, subject to any rights of holders of preferred stock to elect additional directors under specified circumstances, the number of directors will be fixed from time to time exclusively pursuant to a resolution adopted by the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Business Combinations </w:t>
      </w:r>
    </w:p>
    <w:p>
      <w:pPr>
        <w:pStyle w:val="TextBody"/>
        <w:bidi w:val="0"/>
        <w:spacing w:before="120" w:after="0"/>
        <w:jc w:val="left"/>
        <w:rPr>
          <w:rFonts w:ascii="Times New Roman" w:hAnsi="Times New Roman"/>
          <w:sz w:val="20"/>
        </w:rPr>
      </w:pPr>
      <w:r>
        <w:rPr>
          <w:rFonts w:ascii="Times New Roman" w:hAnsi="Times New Roman"/>
          <w:sz w:val="20"/>
        </w:rPr>
        <w:t xml:space="preserve">We have opted out of Section 203 of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such time, our board of directors approved either the business combination or the transaction which resulted in the stockholder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consummation of the transaction that resulted in the stockholder becoming an interested stockholder, the interested stockholder owned at least 85% of our voting stock outstanding at the time the transaction commenced, excluding certain shares;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or subsequent to that time, the business combination is approved by our board of directors and authorized at an annual or special meeting of stockholders, and not by written consent, by the affirmative vote of holders of at least 66 2⁄3% of the outstanding voting stock that is not owned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voting stock. For purposes of this section only, “voting stock” has the meaning given to it in Section 203 of the DGCL. </w:t>
      </w:r>
    </w:p>
    <w:p>
      <w:pPr>
        <w:pStyle w:val="TextBody"/>
        <w:bidi w:val="0"/>
        <w:spacing w:before="240" w:after="0"/>
        <w:jc w:val="left"/>
        <w:rPr>
          <w:rFonts w:ascii="Times New Roman" w:hAnsi="Times New Roman"/>
          <w:sz w:val="20"/>
        </w:rPr>
      </w:pPr>
      <w:r>
        <w:rPr>
          <w:rFonts w:ascii="Times New Roman" w:hAnsi="Times New Roman"/>
          <w:sz w:val="20"/>
        </w:rPr>
        <w:t xml:space="preserve">Under certain circumstances, this provision makes it more difficult for a person who would be an “interested stockholder” to effect various business combinations with a corporation for a three-year period. This provision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may encourage companies interested in acquiring the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certificate of incorporation provides that the Sponsor and its affiliates and any of their respective direct or indirect transferees and any group as to which such persons are a party do not constitute “interested stockholders” for purposes of this provision.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Removal of Directors; Vacancies </w:t>
      </w:r>
    </w:p>
    <w:p>
      <w:pPr>
        <w:pStyle w:val="TextBody"/>
        <w:bidi w:val="0"/>
        <w:spacing w:before="120" w:after="0"/>
        <w:jc w:val="left"/>
        <w:rPr>
          <w:rFonts w:ascii="Times New Roman" w:hAnsi="Times New Roman"/>
          <w:sz w:val="20"/>
        </w:rPr>
      </w:pPr>
      <w:r>
        <w:rPr>
          <w:rFonts w:ascii="Times New Roman" w:hAnsi="Times New Roman"/>
          <w:sz w:val="20"/>
        </w:rPr>
        <w:t xml:space="preserve">Under the DGCL, unless otherwise provided in our amended and restated certificate of incorporation, directors serving on a classified board may be removed by the stockholders only for cause. Our amended and restated certificate of incorporation and amended and restated bylaws provide that directors may be removed with or without cause upon the affirmative vote of a majority in voting power of all outstanding shares of stock entitled to vote generally in the election of directors, voting together as a single class;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at any time when the Sponsor and its affiliates beneficially own, in the aggregate, less than 50% of the voting power of then outstanding shares of stock entitled to vote generally in the election of directors, directors may only be removed for cause and only by the affirmative vote of holders of at least 66 2⁄3% in voting power of all the then-outstanding shares of stock entitled to vote generally in the election of directors, voting together as a single class.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amended and restated certificate of incorporation and our amended and restated bylaws also provide that, subject to the rights granted to one or more series of preferred stock then outstanding or the rights granted to the Sponsor under the stockholders’ agreement, any vacancies on our board of directors will be filled only by the affirmative vote of a majority of the remaining directors, even if less than a quorum, by a sole remaining director or by the stockholders;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at any time when the Sponsor and its affiliates beneficially own, in the aggregate, less than 50% of the voting power of then outstanding shares of stock entitled to vote generally in the election of directors, any newly created directorship on the board of directors that results from an increase in the number of directors and any vacancy occurring on the board of directors may only be filled by a majority of the directors then in office, even if less than a quorum, or by a sole remaining director (and not by the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Cumulative Voting </w:t>
      </w:r>
    </w:p>
    <w:p>
      <w:pPr>
        <w:pStyle w:val="TextBody"/>
        <w:bidi w:val="0"/>
        <w:spacing w:before="120" w:after="0"/>
        <w:jc w:val="left"/>
        <w:rPr>
          <w:rFonts w:ascii="Times New Roman" w:hAnsi="Times New Roman"/>
          <w:sz w:val="20"/>
        </w:rPr>
      </w:pPr>
      <w:r>
        <w:rPr>
          <w:rFonts w:ascii="Times New Roman" w:hAnsi="Times New Roman"/>
          <w:sz w:val="20"/>
        </w:rPr>
        <w:t xml:space="preserve">Under Delaware law, the right to vote cumulatively does not exist unless the certificate of incorporation specifically authorizes cumulative voting. Our amended and restated certificate of incorporation does not authorize cumulative voting. Therefore, stockholders holding a majority in voting power of the shares of our stock entitled to vote generally in the election of directors are able to elect all our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Special Stockholder Meetings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special meetings of our stockholders may be called at any time only by or at the direction of the board of directors or the chairman of the board of directors;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Sponsor and its affiliates are permitted to call special meetings of our stockholders for so long as they hold, in the aggregate, at least 50% of the voting power of then outstanding shares of stock entitled to vote generally in the election of directors. In addition, the notice procedures with respect to special stockholder meetings do not apply to our Sponsor while the stockholders’ agreement is in effect. Our amended and restated bylaws prohibit the conduct of any business at a special meeting other than as specified in the notice for such meeting. These provisions may have the effect of deferring, delaying or discouraging hostile takeovers, or changes in control or management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Requirements for Advance Notification of Director Nominations and Stockholder Proposals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establishes advance notice procedures with respect to stockholder proposals and the nomination of candidates for election as directors, other than nominations made as provided in the stockholders’ agreement nor by or at the direction of the board of directors or a committee of the board of directors. In order for any matter to be “properly brought” before a meeting, a stockholder has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also specifies requirements as to the form and content of a stockholder’s notice. Our amended and restated bylaws allows the chairman of the meeting at a meeting of the stockholders to adopt rules and regulations for the conduct of meetings which may have the effect of precluding the conduct of certain business at a meeting if the rules and regulations are not followed. These notice requirements do not apply to the Sponsor and its affiliates for as long as the stockholders’ agreement remains in effect. These provisions may defer, delay or discourage a potential acquiror from conducting a solicitation of proxies to elect the acquiror’s own slate of directors or otherwise attempting to influence or obtain control of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Stockholder Action by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precludes stockholder action by written consent once the Sponsor and its affiliates beneficially own, in the aggregate, less than 50% of the voting power of all outstanding shares of stock entitled to vote generally in the election of directors; provided, however, that any action required or permitted to be taken by the holders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Supermajority Provisions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and amended and restated bylaws provide that the board of directors is expressly authorized to make, alter, amend, rescind or repeal, in whole or in part, our amended and restated bylaws without a stockholder vote in any matter not inconsistent with the laws of the State of Delaware or our amended and restated certificate of incorporation. For as long as the Sponsor and its affiliates beneficially own, in the aggregate, at least 50% of the voting power of then outstanding shares of stock entitled to vote generally in the election of directors, any amendment, alteration, rescission or repeal of our amended and restated bylaws by our stockholders will require the affirmative vote of a majority in voting power of the outstanding shares of our stock entitled to vote on such amendment, alteration, change, addition, rescission or repeal and voting together as a single class. At any time when the Sponsor and its affiliates beneficially own, in the aggregate, less than 50% of the voting power of all outstanding shares of stock entitled to vote generally in the election of directors, any amendment, alteration, rescission or repeal of our amended and restated bylaws by our stockholders will require the affirmative vote of the holders of at least 66 2⁄3% in voting power of all the then-outstanding shares of stock entitled to vote generally in the election of directors, voting together as a single class. </w:t>
      </w:r>
    </w:p>
    <w:p>
      <w:pPr>
        <w:pStyle w:val="TextBody"/>
        <w:bidi w:val="0"/>
        <w:spacing w:before="240" w:after="0"/>
        <w:jc w:val="left"/>
        <w:rPr>
          <w:rFonts w:ascii="Times New Roman" w:hAnsi="Times New Roman"/>
          <w:sz w:val="20"/>
        </w:rPr>
      </w:pPr>
      <w:r>
        <w:rPr>
          <w:rFonts w:ascii="Times New Roman" w:hAnsi="Times New Roman"/>
          <w:sz w:val="20"/>
        </w:rPr>
        <w:t xml:space="preserve">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Our amended and restated certificate of incorporation provides that once the Sponsor and its affiliates beneficially own, in the aggregate, less than 50% of the voting power of all outstanding shares of stock entitled to vote generally in the election of directors, the following provisions in our amended and restated certificate of incorporation may be amended, altered, repealed or rescinded only by the affirmative vote of the holders of at least 66 2⁄3% in the voting power of all outstanding shares of stock entitled to vote generally in the election of directors, voting together as a single class: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 requiring a 66 2⁄3% supermajority vote for stockholders to amend our amended and restated bylaws;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providing for a classified board of directors (the election and term of our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regarding resignation and removal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regarding competition and corporate opportunities;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regarding entering into business combinations with interested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regarding stockholder action by written consent;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regarding calling special meetings of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regarding filling vacancies on our board of directors and newly created directorships;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eliminating monetary damages for breaches of fiduciary duty by a director;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amendment provision requiring that the above provisions be amended only with a 66 2⁄3% supermajority vote.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combination of the classification of our board of directors, the lack of cumulative voting and the supermajority voting requirements makes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may have the effect of deterring hostile takeovers, delaying or preventing changes in control of our management or the Company, such as a merger, reorganization or tender offer. These provisions are intended to enhance the likelihood of continued stability in the composition of our board of directors and its policies and to discourage certain types of transactions that may involve an actual or threatened acquisition of the Company. These provisions are designed to reduce our vulnerability to an unsolicited acquisition proposal. The provisions are also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 Such provisions may also have the effect of preventing changes in management. </w:t>
      </w:r>
    </w:p>
    <w:p>
      <w:pPr>
        <w:pStyle w:val="TextBody"/>
        <w:bidi w:val="0"/>
        <w:spacing w:before="360" w:after="0"/>
        <w:jc w:val="left"/>
        <w:rPr>
          <w:rFonts w:ascii="Times New Roman" w:hAnsi="Times New Roman"/>
          <w:b/>
          <w:sz w:val="20"/>
        </w:rPr>
      </w:pPr>
      <w:r>
        <w:rPr>
          <w:rFonts w:ascii="Times New Roman" w:hAnsi="Times New Roman"/>
          <w:b/>
          <w:sz w:val="20"/>
        </w:rPr>
        <w:t xml:space="preserve">Dissenters’ Rights of Appraisal and Payment </w:t>
      </w:r>
    </w:p>
    <w:p>
      <w:pPr>
        <w:pStyle w:val="TextBody"/>
        <w:bidi w:val="0"/>
        <w:spacing w:before="120" w:after="0"/>
        <w:jc w:val="left"/>
        <w:rPr>
          <w:rFonts w:ascii="Times New Roman" w:hAnsi="Times New Roman"/>
          <w:sz w:val="20"/>
        </w:rPr>
      </w:pPr>
      <w:r>
        <w:rPr>
          <w:rFonts w:ascii="Times New Roman" w:hAnsi="Times New Roman"/>
          <w:sz w:val="20"/>
        </w:rPr>
        <w:t xml:space="preserve">Under the DGCL, with certain exceptions, our stockholders have appraisal rights in connection with a merger or consolidation of us. Pursuant to the DGCL, stockholders who properly request and perfect appraisal rights in connection with such merger or consolidation have the right to receive payment of the fair value of their shares as determined by the Delaware Court of Chancery. </w:t>
      </w:r>
    </w:p>
    <w:p>
      <w:pPr>
        <w:pStyle w:val="TextBody"/>
        <w:bidi w:val="0"/>
        <w:spacing w:before="360" w:after="0"/>
        <w:jc w:val="left"/>
        <w:rPr>
          <w:rFonts w:ascii="Times New Roman" w:hAnsi="Times New Roman"/>
          <w:b/>
          <w:sz w:val="20"/>
        </w:rPr>
      </w:pPr>
      <w:r>
        <w:rPr>
          <w:rFonts w:ascii="Times New Roman" w:hAnsi="Times New Roman"/>
          <w:b/>
          <w:sz w:val="20"/>
        </w:rPr>
        <w:t xml:space="preserve">Stockholders’ Derivative Actions </w:t>
      </w:r>
    </w:p>
    <w:p>
      <w:pPr>
        <w:pStyle w:val="TextBody"/>
        <w:bidi w:val="0"/>
        <w:spacing w:before="120" w:after="0"/>
        <w:jc w:val="left"/>
        <w:rPr>
          <w:rFonts w:ascii="Times New Roman" w:hAnsi="Times New Roman"/>
          <w:sz w:val="20"/>
        </w:rPr>
      </w:pPr>
      <w:r>
        <w:rPr>
          <w:rFonts w:ascii="Times New Roman" w:hAnsi="Times New Roman"/>
          <w:sz w:val="20"/>
        </w:rPr>
        <w:t xml:space="preserve">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Exclusive Forum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subject to limited exceptions, that unless we consent to the selection of an alternative forum, the state or federal courts (as appropriate) located within the State of Delaware shall, to the fullest extent permitted by law, be the sole and exclusive forum for any (1) derivative action or proceeding brought on behalf of the Company, (2) action asserting a claim of breach of a fiduciary duty owed by any director, officer or other employee or stockholder of the Company to the Company or our stockholders, creditors or other constituents, (3) action asserting a claim against the Company or any director or officer of the Company arising pursuant to any provision of the DGCL or our amended and restated certificate of incorporation or our amended and restated bylaws or as to which the DGCL confers jurisdiction on the Court of Chancery of the State of Delaware, or (4) action asserting a claim against the Company or any director or officer of the Company governed by the internal affairs doctrine, in each such case subject to said courts having personal jurisdiction over the indispensable parties named as defendants therein. This provision, however, does not apply to claims brought under the Securities Act or the Exchange Act, and nothing in our amended and restated certificate of incorporation or amended and restated bylaws will preclude stockholders that assert claims under the Securities Act or the Exchange Act, from bringing such claims in state or federal court, subject to applicable law. Any person or entity purchasing or otherwise acquiring any interest in shares of capital stock of the Company shall be deemed to have notice of and consented to the forum provisions in our amended and restated certificate of incorporation. However, the enforceability of similar forum provisions in other companies’ certificates of incorporation has been challenged in legal proceedings, and it is possible that a court could find these types of provisions to be unenforceable. Our exclusive forum provision shall not relieve the Company of its duties to comply with the federal securities laws and the rules and regulations thereunder, and our stockholders will not be deemed to have waived our compliance with these laws, rules and regulations. Further, stockholders may not waive their rights under the Exchange Act, including their right to bring suit. </w:t>
      </w:r>
    </w:p>
    <w:p>
      <w:pPr>
        <w:pStyle w:val="TextBody"/>
        <w:bidi w:val="0"/>
        <w:spacing w:before="360" w:after="0"/>
        <w:jc w:val="left"/>
        <w:rPr>
          <w:rFonts w:ascii="Times New Roman" w:hAnsi="Times New Roman"/>
          <w:b/>
          <w:sz w:val="20"/>
        </w:rPr>
      </w:pPr>
      <w:r>
        <w:rPr>
          <w:rFonts w:ascii="Times New Roman" w:hAnsi="Times New Roman"/>
          <w:b/>
          <w:sz w:val="20"/>
        </w:rPr>
        <w:t xml:space="preserve">Conflicts of Interest </w:t>
      </w:r>
    </w:p>
    <w:p>
      <w:pPr>
        <w:pStyle w:val="TextBody"/>
        <w:bidi w:val="0"/>
        <w:spacing w:before="120" w:after="0"/>
        <w:jc w:val="left"/>
        <w:rPr>
          <w:rFonts w:ascii="Times New Roman" w:hAnsi="Times New Roman"/>
          <w:sz w:val="20"/>
        </w:rPr>
      </w:pPr>
      <w:r>
        <w:rPr>
          <w:rFonts w:ascii="Times New Roman" w:hAnsi="Times New Roman"/>
          <w:sz w:val="20"/>
        </w:rPr>
        <w:t xml:space="preserve">Delaware law permits corporations to adopt provisions renouncing any interest or expectancy in certain opportunities that are presented to the corporation or its officers, directors or stockholders. Our amended and restated certificate of incorporation, to the maximum extent permitted from time to time by Delaware law, renounces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amended and restated certificate of incorporation provides that, to the fullest extent permitted by law, any director who is not employed by us (including any non-employee director who serves as one of our officers in both his or her director and officer capacities) or his or her affiliates will not have any duty to refrain from (1) engaging in a corporate opportunity in the same or similar lines of business in which we or our affiliates now engage or propose to engage or (2) otherwise competing with us or our affiliates. In addition, to the fullest extent permitted by law, in the event that any non-employee director acquires knowledge of a potential transaction or other business opportunity which may be a corporate opportunity for himself or his affiliates or for us or our affiliates, such person will have no duty to communicate or offer such transaction or business opportunity to us or any of our affiliates and they may take any such opportunity for themselves or offer it to another person or entity. Our amended and restated certificate of incorporation does not renounce our interest in any business opportunity that is expressly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Limitations on Liability and Indemnification of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The DGCL authorizes corporations to limit or eliminate the personal liability of directors to corporations and their stockholders for monetary damages for breaches of directors’ fiduciary duties, subject to certain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exceptions. Our amended and restated certificate of incorporation includes a provision that eliminates the personal liability of directors for monetary damages for any breach of fiduciary duty as a director, except to the extent such exemption from liability or limitation thereof is not permitted under the DGCL. The effect of these provisions will be to eliminate the rights of us and our stockholders, through stockholders’ derivative suits on our behalf, to recover monetary damages from a director for breach of fiduciary duty as a director, including breaches resulting from grossly negligent behavior. However, exculpation will not apply to any director if the director has acted in bad faith, knowingly or intentionally violated the law, authorized illegal dividends or redemptions or derived an improper benefit from his or her actions as a director.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bylaws provides that we must generally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have entered into indemnification agreements with our directors, which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We believe that these indemnification and advancement provisions and insurance will be useful to attract and retain qualified directors and officers. </w:t>
      </w:r>
    </w:p>
    <w:p>
      <w:pPr>
        <w:pStyle w:val="TextBody"/>
        <w:bidi w:val="0"/>
        <w:spacing w:before="240" w:after="0"/>
        <w:jc w:val="left"/>
        <w:rPr>
          <w:rFonts w:ascii="Times New Roman" w:hAnsi="Times New Roman"/>
          <w:sz w:val="20"/>
        </w:rPr>
      </w:pPr>
      <w:r>
        <w:rPr>
          <w:rFonts w:ascii="Times New Roman" w:hAnsi="Times New Roman"/>
          <w:sz w:val="20"/>
        </w:rPr>
        <w:t xml:space="preserve">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 </w:t>
      </w:r>
    </w:p>
    <w:p>
      <w:pPr>
        <w:pStyle w:val="TextBody"/>
        <w:bidi w:val="0"/>
        <w:spacing w:before="240" w:after="0"/>
        <w:jc w:val="left"/>
        <w:rPr>
          <w:rFonts w:ascii="Times New Roman" w:hAnsi="Times New Roman"/>
          <w:sz w:val="20"/>
        </w:rPr>
      </w:pPr>
      <w:r>
        <w:rPr>
          <w:rFonts w:ascii="Times New Roman" w:hAnsi="Times New Roman"/>
          <w:sz w:val="20"/>
        </w:rPr>
        <w:t xml:space="preserve">There is currently no pending material litigation or proceeding involving any of our directors, officers or employees for which indemnification is sought.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Equiniti Trust Company, LLC.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Select Market under the symbol “FA”.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4" w:name="tx134120_9"/>
      <w:bookmarkEnd w:id="24"/>
      <w:r>
        <w:rPr>
          <w:rFonts w:ascii="Times New Roman" w:hAnsi="Times New Roman"/>
          <w:b/>
          <w:sz w:val="20"/>
        </w:rPr>
        <w:t xml:space="preserve">CERTAIN UNITED STATES FEDERAL INCOME TAX CONSEQUENCES TO NON-U.S. 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certain United States federal income tax consequences of the ownership and disposition of our common stock. This summary deals only with common stock that is held as a capital asset by a non-U.S. holder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means a beneficial owner of our common stock (other than an entity or arrangement treated as a partnership for United States federal income tax purposes) that is not, for United States federal income tax purposes,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any other entity treated as a corporation for United States federal income tax purposes)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United States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it (1) is subject to the primary supervision of a court within the United States and one or more United States persons have the authority to control all substantial decisions of the trust or (2) has a valid election in effect under applicable United States Treasury regulations to be treated as a United States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summary is based upon provisions of the Internal Revenue Code of 1986, as amended (the “Code”), and regulations, rulings and judicial decisions as of the date hereof. Those authorities may be changed, perhaps retroactively, so as to result in United States federal income tax consequences different from those summarized below. This summary does not address all of the United States federal income tax consequences that may be relevant to you in light of your particular circumstances, nor does it address the Medicare tax on net investment income, United States federal estate and gift taxes or the effects of any state, local or non-United States tax laws. In addition, it does not represent a detailed description of the United States federal income tax consequences applicable to you if you are subject to special treatment under the United States federal income tax laws (including if you are a United States expatriate, foreign pension fund, “controlled foreign corporation,” “passive foreign investment company” or a partnership or other pass-through entity for United States federal income tax purposes). We cannot assure you that a change in law will not alter significantly the tax considerations that we describe in this summary. </w:t>
      </w:r>
    </w:p>
    <w:p>
      <w:pPr>
        <w:pStyle w:val="TextBody"/>
        <w:bidi w:val="0"/>
        <w:spacing w:before="240" w:after="0"/>
        <w:jc w:val="left"/>
        <w:rPr>
          <w:rFonts w:ascii="Times New Roman" w:hAnsi="Times New Roman"/>
          <w:sz w:val="20"/>
        </w:rPr>
      </w:pPr>
      <w:r>
        <w:rPr>
          <w:rFonts w:ascii="Times New Roman" w:hAnsi="Times New Roman"/>
          <w:sz w:val="20"/>
        </w:rPr>
        <w:t xml:space="preserve">If a partnership (or other entity or arrangement treated as a partnership for United States federal income tax purposes) holds our common stock, the tax treatment of a partner generally will depend upon the status of the partner and the activities of the partnership. If you are a partnership or a partner of a partnership considering an investment in our common stock, you should consult your tax advisors. </w:t>
      </w:r>
    </w:p>
    <w:p>
      <w:pPr>
        <w:pStyle w:val="TextBody"/>
        <w:bidi w:val="0"/>
        <w:spacing w:before="240" w:after="0"/>
        <w:jc w:val="left"/>
        <w:rPr>
          <w:rFonts w:ascii="Times New Roman" w:hAnsi="Times New Roman"/>
          <w:b/>
          <w:sz w:val="20"/>
        </w:rPr>
      </w:pPr>
      <w:r>
        <w:rPr>
          <w:rFonts w:ascii="Times New Roman" w:hAnsi="Times New Roman"/>
          <w:b/>
          <w:sz w:val="20"/>
        </w:rPr>
        <w:t xml:space="preserve">If you are considering the purchase of our common stock, you should consult your own tax advisors concerning the particular United States federal income tax consequences to you of the ownership and disposition of our common stock, as well as the consequences to you arising under other United States federal tax laws and the laws of any other taxing jurisdiction.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In the event that we make a distribution of cash or other property (other than certain pro rata distributions of our stock) in respect of our common stock, the distribution generally will be treated as a dividend for United States federal income tax purposes to the extent it is paid from our current or accumulated earnings and profits, as determined under United States federal income tax principles. Any portion of a distribution that exceeds our current and accumulated earnings and profits generally will be treated first as a tax-free return of capital, causing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reduction in the adjusted tax basis of a non-U.S. holder’s common stock, and to the extent the amount of the distribution exceeds a non-U.S. holder’s adjusted tax basis in our common stock, the excess will be treated as gain from the disposition of our common stock (the tax treatment of which is discussed below under “—Gain on Disposition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Dividends paid to a non-U.S. holder generally will be subject to withholding of United States federal income tax at a 30% rate or such lower rate as may be specified by an applicable income tax treaty. However, dividends that are effectively connected with the conduct of a trade or business by the non-U.S. holder within the United States (and, if required by an applicable income tax treaty, are attributable to a United States permanent establishment) are not subject to the withholding tax, provided certain certification and disclosure requirements are satisfied. Instead, such dividends are subject to United States federal income tax on a net income basis generally in the same manner as if the non-U.S. holder were a United States person as defined under the Code. Any such effectively connected dividends received by a foreign corporation may be subject to an additional “branch profits tax” at a 30% rate or such lower rate as may be specified by an applicable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who wishes to claim the benefit of an applicable treaty rate and avoid backup withholding, as discussed below, for dividends will be required (a) to provide the applicable withholding agent with a properly executed Internal Revenue Service (“IRS”) Form W-BEN or Form W-8BEN-E (or other applicable form) certifying under penalty of perjury that such holder is not a United States person as defined under the Code and is eligible for treaty benefits or (b) if our common stock is held through certain foreign intermediaries, to satisfy the relevant certification requirements of applicable United States Treasury regulations. Special certification and other requirements apply to certain non-U.S. holders that are pass-through entities rather than corporations or individuals.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eligible for a reduced rate of United States federal withholding tax pursuant to an income tax treaty may obtain a refund of any excess amounts withheld by timely filing an appropriate claim for refund with the IRS. </w:t>
      </w:r>
    </w:p>
    <w:p>
      <w:pPr>
        <w:pStyle w:val="TextBody"/>
        <w:bidi w:val="0"/>
        <w:spacing w:before="360" w:after="0"/>
        <w:jc w:val="left"/>
        <w:rPr>
          <w:rFonts w:ascii="Times New Roman" w:hAnsi="Times New Roman"/>
          <w:b/>
          <w:sz w:val="20"/>
        </w:rPr>
      </w:pPr>
      <w:r>
        <w:rPr>
          <w:rFonts w:ascii="Times New Roman" w:hAnsi="Times New Roman"/>
          <w:b/>
          <w:sz w:val="20"/>
        </w:rPr>
        <w:t xml:space="preserve">Gain on Disposition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 of backup withholding below, any gain realized by a non-U.S. holder on the sale or other disposition of our common stock generally will not be subject to United States federal income tax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a trade or business of the non-U.S. holder in the United States (and, if required by an applicable income tax treaty, is attributable to a United States permanent establishment of the non-U.S. 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an individual who is present in the United States for 183 days or more in the taxable year of that disposition, and certain other conditions are met;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or have been a “United States real property holding corporation” for United States federal income tax purposes and certain other conditions are met.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non-U.S. holder described in the first bullet point immediately above will be subject to tax on the gain derived from the sale or other disposition in the same manner as if the non-U.S. holder were a United States person as defined under the Code. In addition, if any non-U.S. holder described in the first bullet point immediately above is a foreign corporation, the gain realized by such non-U.S. holder may be subject to an additional “branch profits tax” at a 30% rate or such lower rate as may be specified by an applicable income tax treaty. An individual non-U.S. holder described in the second bullet point immediately above will be subject to a 30% (or such lower rate as may be specified by an applicable income tax treaty) tax on the gain derived from the sale or other disposition, which gain may be offset by United States source capital losses even though the individual is not considered a resident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Generally, a corporation is a “United States real property holding corporation” if the fair market value of its United States real property interests equals or exceeds 50% of the sum of the fair market value of its worldwide real property interests and its other assets used or held for use in a trade or business (all as determined for United States federal income tax purposes). We believe we are not and do not anticipate becoming a “United States real property holding corporation” for United States federal income tax purposes. If we are or become a “United States real property holding corporation,” however, so long as our common stock is regularly traded on an established securities market during the calendar year in which the sale or other disposition occurs, only a non-U.S. holder who holds or held (at any time during the shorter of the five year period preceding the date of disposition or the holder’s holding period) more than 5% of our common stock will be subject to United States federal income tax on the sale or other disposition of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Distributions paid to a non-U.S. holder and the amount of any tax withheld with respect to such distributions generally will be reported to the IRS. Copies of the information returns reporting such distributions and any withholding may also be made available to the tax authorities in the country in which the non-U.S. holder resides under the provisions of an applicable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will not be subject to backup withholding on distributions received if such holder certifies under penalty of perjury that it is a non-U.S. holder (and the payor does not have actual knowledge or reason to know that such holder is a United States person as defined under the Code), or such holder otherwise establishes an exemption. </w:t>
      </w:r>
    </w:p>
    <w:p>
      <w:pPr>
        <w:pStyle w:val="TextBody"/>
        <w:bidi w:val="0"/>
        <w:spacing w:before="240" w:after="0"/>
        <w:jc w:val="left"/>
        <w:rPr>
          <w:rFonts w:ascii="Times New Roman" w:hAnsi="Times New Roman"/>
          <w:sz w:val="20"/>
        </w:rPr>
      </w:pPr>
      <w:r>
        <w:rPr>
          <w:rFonts w:ascii="Times New Roman" w:hAnsi="Times New Roman"/>
          <w:sz w:val="20"/>
        </w:rPr>
        <w:t xml:space="preserve">Information reporting and, depending on the circumstances, backup withholding will apply to the proceeds of a sale or other disposition of our common stock within the United States or conducted through certain United States-related financial intermediaries, unless the beneficial owner certifies under penalty of perjury that it is a non-U.S. holder (and the payor does not have actual knowledge or reason to know that the beneficial owner is a United States person as defined under the Code), or such owner otherwise establishes an exemption.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and any amounts withheld under the backup withholding rules will be allowed as a refund or a credit against a non-U.S. holder’s United States federal income tax liability provided the required information is timely furnished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Withholding Requirements </w:t>
      </w:r>
    </w:p>
    <w:p>
      <w:pPr>
        <w:pStyle w:val="TextBody"/>
        <w:bidi w:val="0"/>
        <w:spacing w:before="120" w:after="0"/>
        <w:jc w:val="left"/>
        <w:rPr>
          <w:rFonts w:ascii="Times New Roman" w:hAnsi="Times New Roman"/>
          <w:sz w:val="20"/>
        </w:rPr>
      </w:pPr>
      <w:r>
        <w:rPr>
          <w:rFonts w:ascii="Times New Roman" w:hAnsi="Times New Roman"/>
          <w:sz w:val="20"/>
        </w:rPr>
        <w:t xml:space="preserve">Under Sections 1471 through 1474 of the Code (such Sections commonly referred to as “FATCA”), a 30% United States federal withholding tax may apply to any dividends paid on our common stock to (i) a “foreign financial institution” (as specifically defined in the Code and whether such foreign financial institution is the beneficial owner or an intermediary)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and whether such non-financial foreign entity is the beneficial owner or an intermediary) which does not provide sufficient documentation, typically on IRS Form W-8BEN-E, evidencing either (x) an exemption from FATCA, or (y) adequate information regarding certain substantial United States beneficial owners of such entity (if any). If a dividend payment is both subject to withholding under FATCA and subject to the withholding tax discussed above under “—Dividends,” an applicable withholding agent may credit the withholding under FATCA against, and therefore reduce, such other withholding tax. While withholding under FATCA would also have applied to payments of gross proceeds from the sale or other taxable disposition of our common stock, proposed United States Treasury regulations (upon which taxpayers may rely until final regulations are issued) eliminate FATCA withholding on payments of gross proceeds entirely. You should consult your own tax advisors regarding these requirements and whether they may be relevant to your ownership and disposition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5" w:name="tx134120_10"/>
      <w:bookmarkEnd w:id="25"/>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and its pledgees, donees, transferees or other successors in interest, may from time to time offer and sell, separately or together, shares of common stock covered by this prospectus. Registration of the shares of common stock covered by this prospectus does not mean, however, that those shares of common stock necessarily will be offered or sold. </w:t>
      </w:r>
    </w:p>
    <w:p>
      <w:pPr>
        <w:pStyle w:val="TextBody"/>
        <w:bidi w:val="0"/>
        <w:spacing w:before="240" w:after="0"/>
        <w:jc w:val="left"/>
        <w:rPr>
          <w:rFonts w:ascii="Times New Roman" w:hAnsi="Times New Roman"/>
          <w:sz w:val="20"/>
        </w:rPr>
      </w:pPr>
      <w:r>
        <w:rPr>
          <w:rFonts w:ascii="Times New Roman" w:hAnsi="Times New Roman"/>
          <w:sz w:val="20"/>
        </w:rPr>
        <w:t xml:space="preserve">The shares of common stock covered by this prospectus may be sold in one or more transactions from time to time, at market prices prevailing at the time of sale, at prices related to market prices, at a fixed price or prices subject to change or at negotiated prices, by a variety of methods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Nasdaq or any other national securities exchange or U.S. inter-dealer system of a registered national securities association (including through at-the-market offerings);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over-the-counter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or through broker-dealers, who may act as agents or principals;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or through one or more underwriters on a firm commitment or best-efforts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 block trade in which a broker-dealer will attempt to sell a block of shares of common stock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put or call option transactions relating to the shares of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one or more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or through agents;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combination of the above.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effecting sales, brokers, or dealers engaged by us and/or the selling stockholder may arrange for other brokers or dealers to participate. Broker-dealer transactions may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of the shares of common stock by a broker-dealer as principal and resales of the shares of common stock by the broker-dealer for its account pursuant to 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transactions in which the broker-dealer solicits purchasers on a best efforts basis.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prospectus, the selling stockholder has not entered into any agreements, understandings, or arrangements with any underwriters or broker-dealers regarding the sale of the common stock covered by this prospectus. At any time a particular offer of the shares of common stock covered by this prospectus is made, a revised prospectus or prospectus supplement, if required, will set forth the aggregate amount of shares of common stock covered by this prospectus being offered and the terms of the offering, including the name or names of any underwriters, dealers, brokers, or agents. In addition, to the extent required, any discounts, commissions, concessions, and other items constituting underwriters’ or agents’ compensation, as well as any discounts, commissions, or concessions allowed or reallowed or paid to dealers, will be set forth in such prospectus supplement. To the extent required, any such prospectus supplement, and, if necessary, a post-effective amendment to the registration statement of which this prospectus is a part, will be filed with the SEC to reflect the disclosure of additional information with respect to the distribution of the shares of common stock covered by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required, the applicable prospectus supplement will set forth whether or not underwriters may over-allot or effect transactions that stabilize, maintain, or otherwise affect the market price of the common stock at levels above those that might otherwise prevail in the open market, including, for example, by entering stabilizing bids, effecting syndicate covering transactions or imposing penalty bids.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selling stockholder utilizes a dealer in the sale of the securities being offered pursuant to this prospectus, the selling stockholder will sell the securities to the dealer, as principal. The dealer may then resell the securities to the public at varying prices to be determined by the dealer at the time of resale.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may also authorize agents or underwriters to solicit offers by certain types of institutional investors to purchase securities at the public offering price set forth in the revised prospectus or prospectus supplement pursuant to delayed delivery contracts providing for payment and delivery on a specified date in the future. The conditions to these contracts and the commission that the selling stockholder must pay for solicitation of these contracts will be described in a revised prospectus or prospectus supplement, to the extent such revised prospectus or prospectus supplement is required.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the shares of common stock covered by this prospectus through underwriters, underwriters may receive compensation in the form of underwriting discounts or commissions and may also receive commissions from purchasers of shares of common stock for whom they may act as agent. Underwriters may sell to or through dealers, and such dealers may receive compensation in the form of discounts, concessions, or commissions from the underwriters and/or commissions from the purchasers for whom they may act as agent.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underwriters, broker-dealers, or agents participating in the distribution of the shares of common stock covered by this prospectus may be deemed to be “underwriters” within the meaning of the Securities Act, and any commissions received by any of those underwriters, broker-dealers, or agents may be deemed to be underwriting commissions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and the selling stockholder may agree to indemnify underwriters, broker-dealers, or agents against certain liabilities, including liabilities under the Securities Act, and may also agree to contribute to payments which the underwriters, broker-dealers, or agents may be required to make.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underwriters, broker-dealers, or agents who may become involved in the sale of the shares of common stock may engage in transactions with and perform other services for us in the ordinary course of their business for which they receive customary compensation. </w:t>
      </w:r>
    </w:p>
    <w:p>
      <w:pPr>
        <w:pStyle w:val="TextBody"/>
        <w:bidi w:val="0"/>
        <w:spacing w:before="240" w:after="0"/>
        <w:jc w:val="left"/>
        <w:rPr>
          <w:rFonts w:ascii="Times New Roman" w:hAnsi="Times New Roman"/>
          <w:sz w:val="20"/>
        </w:rPr>
      </w:pPr>
      <w:r>
        <w:rPr>
          <w:rFonts w:ascii="Times New Roman" w:hAnsi="Times New Roman"/>
          <w:sz w:val="20"/>
        </w:rPr>
        <w:t xml:space="preserve">Some of the shares of common stock covered by this prospectus may be sold by the selling stockholder in private transactions or under Rule 144 under the Securities Act rather than pursuant to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6" w:name="tx134120_11"/>
      <w:bookmarkEnd w:id="26"/>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shares of common stock offered by this prospectus will be passed upon for us by Simpson Thacher &amp; Bartlett LLP, New York, New York. An investment vehicle comprised of several partners of Simpson Thacher &amp; Bartlett LLP, members of their families, related persons and others own interests representing less than 1% of the capital commitments of funds affiliated with Silver Lake. Legal matters may be passed upon for us, the selling stockholder, or any underwriters, dealers or agents by counsel that we will name in the applicable prospectus supplement. </w:t>
      </w:r>
    </w:p>
    <w:p>
      <w:pPr>
        <w:pStyle w:val="TextBody"/>
        <w:bidi w:val="0"/>
        <w:spacing w:before="480" w:after="0"/>
        <w:jc w:val="center"/>
        <w:rPr>
          <w:rFonts w:ascii="Times New Roman" w:hAnsi="Times New Roman"/>
          <w:b/>
          <w:sz w:val="20"/>
        </w:rPr>
      </w:pPr>
      <w:bookmarkStart w:id="27" w:name="tx134120_12"/>
      <w:bookmarkEnd w:id="27"/>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First Advantage Corporation and subsidiaries incorporated by reference in this Prospectus, and the effectiveness of First Advantage Corporation’s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8" w:name="tx134120_13"/>
      <w:bookmarkEnd w:id="28"/>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a registration statement on Form S-3 under the Securities Act with respect to the common stock offered by this prospectus with the SEC. This prospectus is a part of the registration statement and does not contain all of the information set forth in the registration statement and its exhibits and schedules, portions of which have been omitted as permitted by the rules and regulations of the SEC. For further information about us and our common stock, you should refer to the registration statement and its exhibits and schedules. Statements contained in this prospectus regarding the contents of any contract or other document referred to in those documents are not necessarily complete, and in each instance we refer you to the copy of the contract or other document filed as an exhibit to the registration statement or other document. Each of these statements is qualified in all respects by this reference.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the informational reporting requirements of the Exchange Act and, in accordance with the Exchange Act, we file annual, quarterly and current reports, proxy statements and other information with the SEC. Our filings with the SEC are available to the public on the SEC’s website at http://www.sec.gov. Those filings are also available to the public on, or accessible through, our website (www.fadv.com). The information we file with the SEC or contained on or accessible through our corporate website or any other website that we may maintain is not part of this prospectus or the registration statement of which this prospectus is a part. </w:t>
      </w:r>
    </w:p>
    <w:p>
      <w:pPr>
        <w:pStyle w:val="TextBody"/>
        <w:bidi w:val="0"/>
        <w:spacing w:before="240" w:after="0"/>
        <w:jc w:val="left"/>
        <w:rPr>
          <w:rFonts w:ascii="Times New Roman" w:hAnsi="Times New Roman"/>
          <w:sz w:val="20"/>
        </w:rPr>
      </w:pPr>
      <w:r>
        <w:rPr>
          <w:rFonts w:ascii="Times New Roman" w:hAnsi="Times New Roman"/>
          <w:sz w:val="20"/>
        </w:rPr>
        <w:t xml:space="preserve">We intend to make available to our common stockholders annual reports containing consolidated financial statements audited by an independent registered public accounting firm.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9" w:name="tx134120_14"/>
      <w:bookmarkEnd w:id="29"/>
      <w:r>
        <w:rPr>
          <w:rFonts w:ascii="Times New Roman" w:hAnsi="Times New Roman"/>
          <w:b/>
          <w:sz w:val="20"/>
        </w:rPr>
        <w:t xml:space="preserve">INFORMATION INCORPORATED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rules of the SEC allow us to incorporate by reference information we file with the SEC. This means that we are disclosing important information to you by referring to other documents. The information incorporated by reference is considered to be part of this prospectus. To the extent there are inconsistencies between the information contained in this prospectus and the information contained in the documents filed with the SEC prior to the date of this prospectus and incorporated by reference, the information in this prospectus shall be deemed to supersede the information in such incorporated documents. We incorporate by reference the documents listed below (other than any portions thereof, which under the Exchange Act, and applicable SEC rules, are not deemed “filed” under the Exchange Act, unless expressly stated otherwise therein):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11">
              <w:r>
                <w:rPr>
                  <w:rStyle w:val="InternetLink"/>
                  <w:rFonts w:ascii="Times New Roman" w:hAnsi="Times New Roman"/>
                  <w:sz w:val="20"/>
                </w:rPr>
                <w:t>Form 10-K</w:t>
              </w:r>
            </w:hyperlink>
            <w:r>
              <w:rPr>
                <w:rFonts w:ascii="Times New Roman" w:hAnsi="Times New Roman"/>
                <w:sz w:val="20"/>
              </w:rPr>
              <w:t xml:space="preserve"> for the fiscal year ended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Form 10-Q for the quarterly periods ended </w:t>
            </w:r>
            <w:hyperlink r:id="rId12">
              <w:r>
                <w:rPr>
                  <w:rStyle w:val="InternetLink"/>
                  <w:rFonts w:ascii="Times New Roman" w:hAnsi="Times New Roman"/>
                  <w:sz w:val="20"/>
                </w:rPr>
                <w:t>March 31, 2026</w:t>
              </w:r>
            </w:hyperlink>
            <w:r>
              <w:rPr>
                <w:rFonts w:ascii="Times New Roman" w:hAnsi="Times New Roman"/>
                <w:sz w:val="20"/>
              </w:rPr>
              <w:t xml:space="preserve"> and </w:t>
            </w:r>
            <w:hyperlink r:id="rId13">
              <w:r>
                <w:rPr>
                  <w:rStyle w:val="InternetLink"/>
                  <w:rFonts w:ascii="Times New Roman" w:hAnsi="Times New Roman"/>
                  <w:sz w:val="20"/>
                </w:rPr>
                <w:t>June 30,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w:t>
            </w:r>
            <w:hyperlink r:id="rId14">
              <w:r>
                <w:rPr>
                  <w:rStyle w:val="InternetLink"/>
                  <w:rFonts w:ascii="Times New Roman" w:hAnsi="Times New Roman"/>
                  <w:sz w:val="20"/>
                </w:rPr>
                <w:t>Form 10-K</w:t>
              </w:r>
            </w:hyperlink>
            <w:r>
              <w:rPr>
                <w:rFonts w:ascii="Times New Roman" w:hAnsi="Times New Roman"/>
                <w:sz w:val="20"/>
              </w:rPr>
              <w:t xml:space="preserve"> for the fiscal year ended December 31, 2025 from our Definitive Proxy Statement on </w:t>
            </w:r>
            <w:hyperlink r:id="rId15">
              <w:r>
                <w:rPr>
                  <w:rStyle w:val="InternetLink"/>
                  <w:rFonts w:ascii="Times New Roman" w:hAnsi="Times New Roman"/>
                  <w:sz w:val="20"/>
                </w:rPr>
                <w:t>Schedule 14A</w:t>
              </w:r>
            </w:hyperlink>
            <w:r>
              <w:rPr>
                <w:rFonts w:ascii="Times New Roman" w:hAnsi="Times New Roman"/>
                <w:sz w:val="20"/>
              </w:rPr>
              <w:t xml:space="preserve"> filed on April 24,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16">
              <w:r>
                <w:rPr>
                  <w:rStyle w:val="InternetLink"/>
                  <w:rFonts w:ascii="Times New Roman" w:hAnsi="Times New Roman"/>
                  <w:sz w:val="20"/>
                </w:rPr>
                <w:t>January 30, 2026</w:t>
              </w:r>
            </w:hyperlink>
            <w:r>
              <w:rPr>
                <w:rFonts w:ascii="Times New Roman" w:hAnsi="Times New Roman"/>
                <w:sz w:val="20"/>
              </w:rPr>
              <w:t xml:space="preserve">, </w:t>
            </w:r>
            <w:hyperlink r:id="rId17">
              <w:r>
                <w:rPr>
                  <w:rStyle w:val="InternetLink"/>
                  <w:rFonts w:ascii="Times New Roman" w:hAnsi="Times New Roman"/>
                  <w:sz w:val="20"/>
                </w:rPr>
                <w:t>and June 8,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other documents filed by us under Sections 13(a), 13(c), 14 or 15(d) of the Exchange Act after the date of this prospectus and before the termination of the offerings to which this prospectus relates.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have incorporated by reference any statement or information in this prospectus and we subsequently modify that statement or information with information contained in this prospectus, the statement or information previously incorporated in this prospectus is also modified or superseded in the same manner.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without charge to each person to whom a copy of this prospectus has been delivered, a copy of any and all of these filings. You may request a copy of these filings by calling us at 678-868-4151 or writing to us at: </w:t>
      </w:r>
    </w:p>
    <w:p>
      <w:pPr>
        <w:pStyle w:val="TextBody"/>
        <w:bidi w:val="0"/>
        <w:spacing w:before="240" w:after="0"/>
        <w:jc w:val="center"/>
        <w:rPr>
          <w:rFonts w:ascii="Times New Roman" w:hAnsi="Times New Roman"/>
          <w:sz w:val="20"/>
        </w:rPr>
      </w:pPr>
      <w:r>
        <w:rPr>
          <w:rFonts w:ascii="Times New Roman" w:hAnsi="Times New Roman"/>
          <w:sz w:val="20"/>
        </w:rPr>
        <w:t xml:space="preserve">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First Advantage Corporation </w:t>
      </w:r>
    </w:p>
    <w:p>
      <w:pPr>
        <w:pStyle w:val="TextBody"/>
        <w:bidi w:val="0"/>
        <w:spacing w:before="0" w:after="0"/>
        <w:jc w:val="center"/>
        <w:rPr>
          <w:rFonts w:ascii="Times New Roman" w:hAnsi="Times New Roman"/>
          <w:sz w:val="20"/>
        </w:rPr>
      </w:pPr>
      <w:r>
        <w:rPr>
          <w:rFonts w:ascii="Times New Roman" w:hAnsi="Times New Roman"/>
          <w:sz w:val="20"/>
        </w:rPr>
        <w:t xml:space="preserve">1 Concourse Parkway NE, Suite 200 </w:t>
      </w:r>
    </w:p>
    <w:p>
      <w:pPr>
        <w:pStyle w:val="TextBody"/>
        <w:bidi w:val="0"/>
        <w:spacing w:before="0" w:after="0"/>
        <w:jc w:val="center"/>
        <w:rPr>
          <w:rFonts w:ascii="Times New Roman" w:hAnsi="Times New Roman"/>
          <w:sz w:val="20"/>
        </w:rPr>
      </w:pPr>
      <w:r>
        <w:rPr>
          <w:rFonts w:ascii="Times New Roman" w:hAnsi="Times New Roman"/>
          <w:sz w:val="20"/>
        </w:rPr>
        <w:t xml:space="preserve">Atlanta, GA 30328 </w:t>
      </w:r>
    </w:p>
    <w:p>
      <w:pPr>
        <w:pStyle w:val="TextBody"/>
        <w:bidi w:val="0"/>
        <w:spacing w:before="0" w:after="0"/>
        <w:jc w:val="center"/>
        <w:rPr>
          <w:rFonts w:ascii="Times New Roman" w:hAnsi="Times New Roman"/>
          <w:sz w:val="20"/>
        </w:rPr>
      </w:pPr>
      <w:r>
        <w:rPr>
          <w:rFonts w:ascii="Times New Roman" w:hAnsi="Times New Roman"/>
          <w:sz w:val="20"/>
        </w:rPr>
        <w:t xml:space="preserve">e-mail: investors@fadv.com </w:t>
      </w:r>
    </w:p>
    <w:p>
      <w:pPr>
        <w:pStyle w:val="TextBody"/>
        <w:bidi w:val="0"/>
        <w:spacing w:before="240" w:after="0"/>
        <w:jc w:val="left"/>
        <w:rPr>
          <w:rFonts w:ascii="Times New Roman" w:hAnsi="Times New Roman"/>
          <w:sz w:val="20"/>
        </w:rPr>
      </w:pPr>
      <w:r>
        <w:rPr>
          <w:rFonts w:ascii="Times New Roman" w:hAnsi="Times New Roman"/>
          <w:sz w:val="20"/>
        </w:rPr>
        <w:t xml:space="preserve">Exhibits to any documents incorporated by reference in this prospectus will not be sent, however, unless those exhibits have been specifically referenced in this prospectus.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600" w:after="0"/>
        <w:jc w:val="center"/>
        <w:rPr>
          <w:rFonts w:ascii="Times New Roman" w:hAnsi="Times New Roman"/>
          <w:b/>
          <w:sz w:val="32"/>
        </w:rPr>
      </w:pPr>
      <w:r>
        <w:rPr>
          <w:rFonts w:ascii="Times New Roman" w:hAnsi="Times New Roman"/>
          <w:b/>
          <w:sz w:val="32"/>
        </w:rPr>
        <w:t xml:space="preserve">12,500,000 Shares </w:t>
      </w:r>
    </w:p>
    <w:p>
      <w:pPr>
        <w:pStyle w:val="TextBody"/>
        <w:bidi w:val="0"/>
        <w:spacing w:before="0" w:after="0"/>
        <w:jc w:val="left"/>
        <w:rPr/>
      </w:pPr>
      <w:r>
        <w:rPr/>
        <w:t> </w:t>
      </w:r>
    </w:p>
    <w:p>
      <w:pPr>
        <w:pStyle w:val="TextBody"/>
        <w:bidi w:val="0"/>
        <w:spacing w:before="0" w:after="0"/>
        <w:jc w:val="center"/>
        <w:rPr/>
      </w:pPr>
      <w:r>
        <w:rPr/>
        <w:drawing>
          <wp:inline distT="0" distB="0" distL="0" distR="0">
            <wp:extent cx="5364480" cy="85344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8"/>
                    <a:stretch>
                      <a:fillRect/>
                    </a:stretch>
                  </pic:blipFill>
                  <pic:spPr bwMode="auto">
                    <a:xfrm>
                      <a:off x="0" y="0"/>
                      <a:ext cx="5364480" cy="853440"/>
                    </a:xfrm>
                    <a:prstGeom prst="rect">
                      <a:avLst/>
                    </a:prstGeom>
                  </pic:spPr>
                </pic:pic>
              </a:graphicData>
            </a:graphic>
          </wp:inline>
        </w:drawing>
      </w:r>
      <w:r>
        <w:rPr/>
        <w:t xml:space="preserve"> </w:t>
      </w:r>
    </w:p>
    <w:p>
      <w:pPr>
        <w:pStyle w:val="TextBody"/>
        <w:bidi w:val="0"/>
        <w:spacing w:before="720" w:after="0"/>
        <w:jc w:val="center"/>
        <w:rPr>
          <w:rFonts w:ascii="Times New Roman" w:hAnsi="Times New Roman"/>
          <w:b/>
          <w:sz w:val="48"/>
        </w:rPr>
      </w:pPr>
      <w:r>
        <w:rPr>
          <w:rFonts w:ascii="Times New Roman" w:hAnsi="Times New Roman"/>
          <w:b/>
          <w:sz w:val="48"/>
        </w:rPr>
        <w:t xml:space="preserve">First Advantage Corporation </w:t>
      </w:r>
    </w:p>
    <w:p>
      <w:pPr>
        <w:pStyle w:val="TextBody"/>
        <w:bidi w:val="0"/>
        <w:spacing w:before="48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0" w:after="0"/>
        <w:jc w:val="center"/>
        <w:rPr>
          <w:rFonts w:ascii="Times New Roman" w:hAnsi="Times New Roman"/>
          <w:b/>
          <w:sz w:val="28"/>
        </w:rPr>
      </w:pPr>
      <w:r>
        <w:rPr>
          <w:rFonts w:ascii="Times New Roman" w:hAnsi="Times New Roman"/>
          <w:b/>
          <w:sz w:val="28"/>
        </w:rPr>
        <w:t xml:space="preserve">J.P Morgan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August 10,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p>
      <w:pPr>
        <w:pStyle w:val="Normal"/>
        <w:bidi w:val="0"/>
        <w:spacing w:before="0" w:after="0"/>
        <w:jc w:val="left"/>
        <w:rPr>
          <w:sz w:val="4"/>
          <w:szCs w:val="4"/>
        </w:rPr>
      </w:pPr>
      <w:r>
        <w:rPr>
          <w:sz w:val="4"/>
          <w:szCs w:val="4"/>
        </w:rPr>
      </w:r>
      <w:bookmarkStart w:id="30" w:name="d134120dexfilingfees.htm"/>
      <w:bookmarkStart w:id="31" w:name="ksd134120dexfilingfees"/>
      <w:bookmarkStart w:id="32" w:name="d134120dexfilingfees.htm"/>
      <w:bookmarkStart w:id="33" w:name="ksd134120dexfilingfees"/>
      <w:bookmarkEnd w:id="32"/>
      <w:bookmarkEnd w:id="33"/>
      <w:r>
        <w:br w:type="page"/>
      </w:r>
    </w:p>
    <w:tbl>
      <w:tblPr>
        <w:tblW w:w="3581" w:type="dxa"/>
        <w:jc w:val="left"/>
        <w:tblInd w:w="0" w:type="dxa"/>
        <w:tblLayout w:type="fixed"/>
        <w:tblCellMar>
          <w:top w:w="28" w:type="dxa"/>
          <w:left w:w="28" w:type="dxa"/>
          <w:bottom w:w="28" w:type="dxa"/>
          <w:right w:w="28" w:type="dxa"/>
        </w:tblCellMar>
      </w:tblPr>
      <w:tblGrid>
        <w:gridCol w:w="3427"/>
        <w:gridCol w:w="154"/>
      </w:tblGrid>
      <w:tr>
        <w:trPr/>
        <w:tc>
          <w:tcPr>
            <w:tcW w:w="3581"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7"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7" w:type="dxa"/>
            <w:tcBorders/>
            <w:vAlign w:val="center"/>
          </w:tcPr>
          <w:p>
            <w:pPr>
              <w:pStyle w:val="TableContents"/>
              <w:bidi w:val="0"/>
              <w:spacing w:before="0" w:after="283"/>
              <w:jc w:val="left"/>
              <w:rPr>
                <w:b/>
              </w:rPr>
            </w:pPr>
            <w:r>
              <w:rPr>
                <w:b/>
              </w:rPr>
              <w:t xml:space="preserve">FIRST ADVANTAGE CORP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492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15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492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$0.001 par value per share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492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0"/>
              <w:ind w:left="0" w:right="0" w:hanging="0"/>
              <w:jc w:val="right"/>
              <w:rPr/>
            </w:pPr>
            <w:bookmarkStart w:id="34" w:name="MaxAggtOfferingPrice"/>
            <w:bookmarkEnd w:id="34"/>
            <w:r>
              <w:rPr/>
              <w:t xml:space="preserve">$ 0.00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5" w:name="TotalFeeAmt"/>
            <w:bookmarkEnd w:id="35"/>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6" w:name="TotalPreviouslyPaidAmt"/>
            <w:bookmarkEnd w:id="3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7" w:name="TotalOffsetAmt"/>
            <w:bookmarkEnd w:id="3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8" w:name="NetFeeAmt"/>
            <w:bookmarkEnd w:id="3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433" w:type="dxa"/>
        <w:jc w:val="left"/>
        <w:tblInd w:w="0" w:type="dxa"/>
        <w:tblLayout w:type="fixed"/>
        <w:tblCellMar>
          <w:top w:w="28" w:type="dxa"/>
          <w:left w:w="28" w:type="dxa"/>
          <w:bottom w:w="28" w:type="dxa"/>
          <w:right w:w="28" w:type="dxa"/>
        </w:tblCellMar>
      </w:tblPr>
      <w:tblGrid>
        <w:gridCol w:w="256"/>
        <w:gridCol w:w="23"/>
        <w:gridCol w:w="154"/>
      </w:tblGrid>
      <w:tr>
        <w:trPr/>
        <w:tc>
          <w:tcPr>
            <w:tcW w:w="256"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77" w:type="dxa"/>
            <w:gridSpan w:val="2"/>
            <w:tcBorders/>
            <w:vAlign w:val="center"/>
          </w:tcPr>
          <w:p>
            <w:pPr>
              <w:pStyle w:val="TableContents"/>
              <w:bidi w:val="0"/>
              <w:spacing w:before="0" w:after="283"/>
              <w:jc w:val="left"/>
              <w:rPr>
                <w:sz w:val="4"/>
                <w:szCs w:val="4"/>
              </w:rPr>
            </w:pPr>
            <w:r>
              <w:rPr>
                <w:sz w:val="4"/>
                <w:szCs w:val="4"/>
              </w:rPr>
            </w:r>
          </w:p>
        </w:tc>
      </w:tr>
      <w:tr>
        <w:trPr/>
        <w:tc>
          <w:tcPr>
            <w:tcW w:w="279" w:type="dxa"/>
            <w:gridSpan w:val="2"/>
            <w:tcBorders/>
            <w:vAlign w:val="center"/>
          </w:tcPr>
          <w:p>
            <w:pPr>
              <w:pStyle w:val="HorizontalLine"/>
              <w:pBdr>
                <w:bottom w:val="double" w:sz="2" w:space="0" w:color="808080"/>
              </w:pBdr>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$277,500,000.00. The prospectus is a final prospectus for the related offering. </w:t>
            </w:r>
          </w:p>
        </w:tc>
      </w:tr>
      <w:tr>
        <w:trPr/>
        <w:tc>
          <w:tcPr>
            <w:tcW w:w="10205" w:type="dxa"/>
            <w:tcBorders/>
            <w:vAlign w:val="center"/>
          </w:tcPr>
          <w:p>
            <w:pPr>
              <w:pStyle w:val="TableContents"/>
              <w:bidi w:val="0"/>
              <w:spacing w:before="0" w:after="0"/>
              <w:jc w:val="left"/>
              <w:rPr/>
            </w:pPr>
            <w:r>
              <w:rPr/>
              <w:t xml:space="preserve">The filing fee with respect to the securities to which the prospectus relates was previously paid in connection with the Registration Statement on Form S-3 filed by First Advantage Corporation on August 10, 2026.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210677/000119312526076740/fa-20251231.htm" TargetMode="External"/><Relationship Id="rId4" Type="http://schemas.openxmlformats.org/officeDocument/2006/relationships/hyperlink" Target="http://www.sec.gov/Archives/edgar/data/../../../ix?doc=/Archives/edgar/data/1210677/000119312526211985/fa-20260331.htm" TargetMode="External"/><Relationship Id="rId5" Type="http://schemas.openxmlformats.org/officeDocument/2006/relationships/hyperlink" Target="http://www.sec.gov/Archives/edgar/data/../../../ix?doc=/Archives/edgar/data/1210677/000119312526338063/fa-20260630.htm" TargetMode="External"/><Relationship Id="rId6" Type="http://schemas.openxmlformats.org/officeDocument/2006/relationships/hyperlink" Target="http://www.sec.gov/Archives/edgar/data/1210677/000119312526076740/fa-20251231.htm" TargetMode="External"/><Relationship Id="rId7" Type="http://schemas.openxmlformats.org/officeDocument/2006/relationships/hyperlink" Target="http://www.sec.gov/Archives/edgar/data/../../../ix?doc=/Archives/edgar/data/1210677/000119312526177294/fa-20260424.htm" TargetMode="External"/><Relationship Id="rId8" Type="http://schemas.openxmlformats.org/officeDocument/2006/relationships/hyperlink" Target="http://www.sec.gov/Archives/edgar/data/../../../ix?doc=/Archives/edgar/data/1210677/000119312526031830/fa-20260129.htm" TargetMode="External"/><Relationship Id="rId9" Type="http://schemas.openxmlformats.org/officeDocument/2006/relationships/hyperlink" Target="http://www.sec.gov/Archives/edgar/data/../../../ix?doc=/Archives/edgar/data/1210677/000119312526261766/fa-20260605.htm" TargetMode="External"/><Relationship Id="rId10" Type="http://schemas.openxmlformats.org/officeDocument/2006/relationships/image" Target="media/image2.jpeg"/><Relationship Id="rId11" Type="http://schemas.openxmlformats.org/officeDocument/2006/relationships/hyperlink" Target="http://www.sec.gov/Archives/edgar/data/1210677/000119312526076740/fa-20251231.htm" TargetMode="External"/><Relationship Id="rId12" Type="http://schemas.openxmlformats.org/officeDocument/2006/relationships/hyperlink" Target="http://www.sec.gov/Archives/edgar/data/1210677/000119312526211985/fa-20260331.htm" TargetMode="External"/><Relationship Id="rId13" Type="http://schemas.openxmlformats.org/officeDocument/2006/relationships/hyperlink" Target="http://www.sec.gov/Archives/edgar/data/../../../ix?doc=/Archives/edgar/data/1210677/000119312526338063/fa-20260630.htm" TargetMode="External"/><Relationship Id="rId14" Type="http://schemas.openxmlformats.org/officeDocument/2006/relationships/hyperlink" Target="http://www.sec.gov/Archives/edgar/data/1210677/000119312526076740/fa-20251231.htm" TargetMode="External"/><Relationship Id="rId15" Type="http://schemas.openxmlformats.org/officeDocument/2006/relationships/hyperlink" Target="http://www.sec.gov/Archives/edgar/data/1210677/000119312526177294/fa-20260424.htm" TargetMode="External"/><Relationship Id="rId16" Type="http://schemas.openxmlformats.org/officeDocument/2006/relationships/hyperlink" Target="http://www.sec.gov/Archives/edgar/data/1210677/000119312526031830/fa-20260129.htm" TargetMode="External"/><Relationship Id="rId17" Type="http://schemas.openxmlformats.org/officeDocument/2006/relationships/hyperlink" Target="http://www.sec.gov/Archives/edgar/data/1210677/000119312526261766/fa-20260605.htm" TargetMode="External"/><Relationship Id="rId18" Type="http://schemas.openxmlformats.org/officeDocument/2006/relationships/image" Target="media/image1.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77</Pages>
  <Words>30987</Words>
  <Characters>167364</Characters>
  <CharactersWithSpaces>198975</CharactersWithSpaces>
  <Paragraphs>1997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424B7</dc:title>
</cp:coreProperties>
</file>