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335"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37" w:lineRule="exact"/>
        <w:rPr>
          <w:sz w:val="24"/>
          <w:szCs w:val="24"/>
          <w:color w:val="auto"/>
        </w:rPr>
      </w:pP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First Advantage Corporation</w:t>
      </w:r>
    </w:p>
    <w:p>
      <w:pPr>
        <w:sectPr>
          <w:pgSz w:w="11900" w:h="16838" w:orient="portrait"/>
          <w:cols w:equalWidth="0" w:num="1">
            <w:col w:w="11240"/>
          </w:cols>
          <w:pgMar w:left="320" w:top="634"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1 Concourse Parkway NE, Suite 200</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Atlanta, GA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84-3884690</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30328</w:t>
      </w:r>
    </w:p>
    <w:p>
      <w:pPr>
        <w:spacing w:after="0" w:line="36" w:lineRule="exact"/>
        <w:rPr>
          <w:sz w:val="24"/>
          <w:szCs w:val="24"/>
          <w:color w:val="auto"/>
        </w:rPr>
      </w:pPr>
    </w:p>
    <w:p>
      <w:pPr>
        <w:sectPr>
          <w:pgSz w:w="11900" w:h="16838" w:orient="portrait"/>
          <w:cols w:equalWidth="0" w:num="2">
            <w:col w:w="7460" w:space="480"/>
            <w:col w:w="3300"/>
          </w:cols>
          <w:pgMar w:left="320" w:top="634"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7"/>
          <w:szCs w:val="17"/>
          <w:b w:val="1"/>
          <w:bCs w:val="1"/>
          <w:color w:val="auto"/>
        </w:rPr>
        <w:t>(888) 314-9761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6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7"/>
              </w:rPr>
              <w:t>Trading</w:t>
            </w:r>
          </w:p>
        </w:tc>
        <w:tc>
          <w:tcPr>
            <w:tcW w:w="4240" w:type="dxa"/>
            <w:vAlign w:val="bottom"/>
            <w:vMerge w:val="restart"/>
          </w:tcPr>
          <w:p>
            <w:pPr>
              <w:jc w:val="center"/>
              <w:ind w:right="73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1"/>
              </w:rPr>
              <w:t>Symbol(s)</w:t>
            </w:r>
          </w:p>
        </w:tc>
        <w:tc>
          <w:tcPr>
            <w:tcW w:w="4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Common Stock, $0.001 par value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FA</w:t>
            </w: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240" w:type="dxa"/>
            <w:vAlign w:val="bottom"/>
            <w:tcBorders>
              <w:top w:val="single" w:sz="8" w:color="auto"/>
            </w:tcBorders>
          </w:tcPr>
          <w:p>
            <w:pPr>
              <w:jc w:val="center"/>
              <w:ind w:right="750"/>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317"/>
        </w:trPr>
        <w:tc>
          <w:tcPr>
            <w:tcW w:w="428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000" w:type="dxa"/>
            <w:vAlign w:val="bottom"/>
            <w:gridSpan w:val="5"/>
          </w:tcPr>
          <w:p>
            <w:pPr>
              <w:spacing w:after="0" w:line="175" w:lineRule="exact"/>
              <w:rPr>
                <w:sz w:val="20"/>
                <w:szCs w:val="20"/>
                <w:color w:val="auto"/>
              </w:rPr>
            </w:pPr>
            <w:r>
              <w:rPr>
                <w:rFonts w:ascii="Arial" w:cs="Arial" w:eastAsia="Arial" w:hAnsi="Arial"/>
                <w:sz w:val="13"/>
                <w:szCs w:val="13"/>
                <w:color w:val="auto"/>
                <w:w w:val="96"/>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w w:val="96"/>
              </w:rPr>
              <w:t>☒</w:t>
            </w:r>
          </w:p>
        </w:tc>
        <w:tc>
          <w:tcPr>
            <w:tcW w:w="4240" w:type="dxa"/>
            <w:vAlign w:val="bottom"/>
          </w:tcPr>
          <w:p>
            <w:pPr>
              <w:spacing w:after="0" w:line="175" w:lineRule="exact"/>
              <w:rPr>
                <w:sz w:val="20"/>
                <w:szCs w:val="20"/>
                <w:color w:val="auto"/>
              </w:rPr>
            </w:pP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211"/>
        </w:trPr>
        <w:tc>
          <w:tcPr>
            <w:tcW w:w="7000" w:type="dxa"/>
            <w:vAlign w:val="bottom"/>
            <w:gridSpan w:val="5"/>
          </w:tcPr>
          <w:p>
            <w:pPr>
              <w:spacing w:after="0" w:line="175" w:lineRule="exact"/>
              <w:rPr>
                <w:sz w:val="20"/>
                <w:szCs w:val="20"/>
                <w:color w:val="auto"/>
              </w:rPr>
            </w:pPr>
            <w:r>
              <w:rPr>
                <w:rFonts w:ascii="Arial" w:cs="Arial" w:eastAsia="Arial" w:hAnsi="Arial"/>
                <w:sz w:val="13"/>
                <w:szCs w:val="13"/>
                <w:color w:val="auto"/>
                <w:w w:val="96"/>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w w:val="96"/>
              </w:rPr>
              <w:t>☐</w:t>
            </w:r>
          </w:p>
        </w:tc>
        <w:tc>
          <w:tcPr>
            <w:tcW w:w="424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16" w:lineRule="exact"/>
        <w:rPr>
          <w:sz w:val="24"/>
          <w:szCs w:val="24"/>
          <w:color w:val="auto"/>
        </w:rPr>
      </w:pPr>
    </w:p>
    <w:p>
      <w:pPr>
        <w:ind w:right="120"/>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060" w:type="dxa"/>
            <w:vAlign w:val="bottom"/>
            <w:gridSpan w:val="2"/>
          </w:tcPr>
          <w:p>
            <w:pPr>
              <w:spacing w:after="0" w:line="175" w:lineRule="exact"/>
              <w:rPr>
                <w:sz w:val="20"/>
                <w:szCs w:val="20"/>
                <w:color w:val="auto"/>
              </w:rPr>
            </w:pPr>
            <w:r>
              <w:rPr>
                <w:rFonts w:ascii="Arial" w:cs="Arial" w:eastAsia="Arial" w:hAnsi="Arial"/>
                <w:sz w:val="13"/>
                <w:szCs w:val="13"/>
                <w:color w:val="auto"/>
                <w:w w:val="96"/>
              </w:rPr>
              <w:t xml:space="preserve">preceding 12 months (or for such shorter period that the Registrant was required to submit such files). YES </w:t>
            </w:r>
            <w:r>
              <w:rPr>
                <w:rFonts w:ascii="Arial Unicode MS" w:cs="Arial Unicode MS" w:eastAsia="Arial Unicode MS" w:hAnsi="Arial Unicode MS"/>
                <w:sz w:val="13"/>
                <w:szCs w:val="13"/>
                <w:color w:val="auto"/>
                <w:w w:val="96"/>
              </w:rPr>
              <w:t>☒</w:t>
            </w:r>
          </w:p>
        </w:tc>
        <w:tc>
          <w:tcPr>
            <w:tcW w:w="4900" w:type="dxa"/>
            <w:vAlign w:val="bottom"/>
          </w:tcPr>
          <w:p>
            <w:pPr>
              <w:ind w:left="100"/>
              <w:spacing w:after="0" w:line="175" w:lineRule="exact"/>
              <w:rPr>
                <w:sz w:val="20"/>
                <w:szCs w:val="20"/>
                <w:color w:val="auto"/>
              </w:rPr>
            </w:pP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tc>
        <w:tc>
          <w:tcPr>
            <w:tcW w:w="200" w:type="dxa"/>
            <w:vAlign w:val="bottom"/>
          </w:tcPr>
          <w:p>
            <w:pPr>
              <w:spacing w:after="0"/>
              <w:rPr>
                <w:sz w:val="17"/>
                <w:szCs w:val="17"/>
                <w:color w:val="auto"/>
              </w:rPr>
            </w:pPr>
          </w:p>
        </w:tc>
      </w:tr>
      <w:tr>
        <w:trPr>
          <w:trHeight w:val="149"/>
        </w:trPr>
        <w:tc>
          <w:tcPr>
            <w:tcW w:w="10960" w:type="dxa"/>
            <w:vAlign w:val="bottom"/>
            <w:gridSpan w:val="3"/>
          </w:tcPr>
          <w:p>
            <w:pPr>
              <w:spacing w:after="0"/>
              <w:rPr>
                <w:sz w:val="20"/>
                <w:szCs w:val="20"/>
                <w:color w:val="auto"/>
              </w:rPr>
            </w:pPr>
            <w:r>
              <w:rPr>
                <w:rFonts w:ascii="Arial" w:cs="Arial" w:eastAsia="Arial" w:hAnsi="Arial"/>
                <w:sz w:val="13"/>
                <w:szCs w:val="13"/>
                <w:color w:val="auto"/>
                <w:w w:val="94"/>
              </w:rPr>
              <w:t>Indicate by check mark whether the registrant is a large accelerated filer, an accelerated filer, a non-accelerated filer, a smaller reporting company, or an emerging growth company. See the definitions of</w:t>
            </w:r>
          </w:p>
        </w:tc>
        <w:tc>
          <w:tcPr>
            <w:tcW w:w="200" w:type="dxa"/>
            <w:vAlign w:val="bottom"/>
          </w:tcPr>
          <w:p>
            <w:pPr>
              <w:spacing w:after="0"/>
              <w:rPr>
                <w:sz w:val="12"/>
                <w:szCs w:val="12"/>
                <w:color w:val="auto"/>
              </w:rPr>
            </w:pPr>
          </w:p>
        </w:tc>
      </w:tr>
      <w:tr>
        <w:trPr>
          <w:trHeight w:val="172"/>
        </w:trPr>
        <w:tc>
          <w:tcPr>
            <w:tcW w:w="10960" w:type="dxa"/>
            <w:vAlign w:val="bottom"/>
            <w:gridSpan w:val="3"/>
          </w:tcPr>
          <w:p>
            <w:pPr>
              <w:spacing w:after="0"/>
              <w:rPr>
                <w:sz w:val="20"/>
                <w:szCs w:val="20"/>
                <w:color w:val="auto"/>
              </w:rPr>
            </w:pPr>
            <w:r>
              <w:rPr>
                <w:rFonts w:ascii="Arial" w:cs="Arial" w:eastAsia="Arial" w:hAnsi="Arial"/>
                <w:sz w:val="13"/>
                <w:szCs w:val="13"/>
                <w:color w:val="auto"/>
              </w:rPr>
              <w:t>“large accelerated filer,” “accelerated filer,” “smaller reporting company,” and “emerging growth company” in Rule 12b-2 of the Exchange Act.</w:t>
            </w:r>
          </w:p>
        </w:tc>
        <w:tc>
          <w:tcPr>
            <w:tcW w:w="200" w:type="dxa"/>
            <w:vAlign w:val="bottom"/>
          </w:tcPr>
          <w:p>
            <w:pPr>
              <w:spacing w:after="0"/>
              <w:rPr>
                <w:sz w:val="14"/>
                <w:szCs w:val="14"/>
                <w:color w:val="auto"/>
              </w:rPr>
            </w:pPr>
          </w:p>
        </w:tc>
      </w:tr>
      <w:tr>
        <w:trPr>
          <w:trHeight w:val="328"/>
        </w:trPr>
        <w:tc>
          <w:tcPr>
            <w:tcW w:w="194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41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41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4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41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39" w:lineRule="exact"/>
        <w:rPr>
          <w:sz w:val="24"/>
          <w:szCs w:val="24"/>
          <w:color w:val="auto"/>
        </w:rPr>
      </w:pPr>
    </w:p>
    <w:p>
      <w:pPr>
        <w:ind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7" w:lineRule="exact"/>
        <w:rPr>
          <w:sz w:val="24"/>
          <w:szCs w:val="24"/>
          <w:color w:val="auto"/>
        </w:rPr>
      </w:pPr>
    </w:p>
    <w:p>
      <w:pPr>
        <w:ind w:right="200"/>
        <w:spacing w:after="0" w:line="168"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ind w:right="120"/>
        <w:spacing w:after="0" w:line="176"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75" w:lineRule="exact"/>
        <w:tabs>
          <w:tab w:leader="none" w:pos="68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45" w:lineRule="exact"/>
        <w:rPr>
          <w:sz w:val="24"/>
          <w:szCs w:val="24"/>
          <w:color w:val="auto"/>
        </w:rPr>
      </w:pPr>
    </w:p>
    <w:p>
      <w:pPr>
        <w:ind w:right="400"/>
        <w:spacing w:after="0" w:line="274" w:lineRule="auto"/>
        <w:rPr>
          <w:sz w:val="20"/>
          <w:szCs w:val="20"/>
          <w:color w:val="auto"/>
        </w:rPr>
      </w:pPr>
      <w:r>
        <w:rPr>
          <w:rFonts w:ascii="Arial" w:cs="Arial" w:eastAsia="Arial" w:hAnsi="Arial"/>
          <w:sz w:val="13"/>
          <w:szCs w:val="13"/>
          <w:color w:val="auto"/>
        </w:rPr>
        <w:t>As of June 30, 2022, the aggregate market value of the registrant’s common stock held by non-affiliates of the registrant was $734,129,030 based on the last reported sales price of the common stock as reported on Nasdaq. The number of shares of Common Stock outstanding as of February 23, 2023 was 147,775,077.</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53" w:lineRule="exact"/>
        <w:rPr>
          <w:sz w:val="24"/>
          <w:szCs w:val="24"/>
          <w:color w:val="auto"/>
        </w:rPr>
      </w:pPr>
    </w:p>
    <w:p>
      <w:pPr>
        <w:ind w:right="140"/>
        <w:spacing w:after="0" w:line="274" w:lineRule="auto"/>
        <w:rPr>
          <w:sz w:val="20"/>
          <w:szCs w:val="20"/>
          <w:color w:val="auto"/>
        </w:rPr>
      </w:pPr>
      <w:r>
        <w:rPr>
          <w:rFonts w:ascii="Arial" w:cs="Arial" w:eastAsia="Arial" w:hAnsi="Arial"/>
          <w:sz w:val="13"/>
          <w:szCs w:val="13"/>
          <w:color w:val="auto"/>
        </w:rPr>
        <w:t>Portions of the registrant’s definitive Proxy Statement relating to its 2023 Annual Meeting of Stockholders to be filed with the SEC within 120 days after the end of the fiscal year ended December 31, 2022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2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8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line="190"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Arial" w:cs="Arial" w:eastAsia="Arial" w:hAnsi="Arial"/>
                <w:sz w:val="18"/>
                <w:szCs w:val="18"/>
                <w:color w:val="auto"/>
              </w:rPr>
              <w:t>Item 1A.</w:t>
            </w:r>
          </w:p>
        </w:tc>
        <w:tc>
          <w:tcPr>
            <w:tcW w:w="91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1B.</w:t>
            </w:r>
          </w:p>
        </w:tc>
        <w:tc>
          <w:tcPr>
            <w:tcW w:w="918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Arial" w:cs="Arial" w:eastAsia="Arial" w:hAnsi="Arial"/>
                <w:sz w:val="18"/>
                <w:szCs w:val="18"/>
                <w:color w:val="auto"/>
              </w:rPr>
              <w:t>Item 2.</w:t>
            </w:r>
          </w:p>
        </w:tc>
        <w:tc>
          <w:tcPr>
            <w:tcW w:w="918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3.</w:t>
            </w:r>
          </w:p>
        </w:tc>
        <w:tc>
          <w:tcPr>
            <w:tcW w:w="91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4.</w:t>
            </w:r>
          </w:p>
        </w:tc>
        <w:tc>
          <w:tcPr>
            <w:tcW w:w="91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79"/>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180" w:type="dxa"/>
            <w:vAlign w:val="bottom"/>
            <w:gridSpan w:val="21"/>
          </w:tcPr>
          <w:p>
            <w:pPr>
              <w:spacing w:after="0" w:line="190"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6.</w:t>
            </w:r>
          </w:p>
        </w:tc>
        <w:tc>
          <w:tcPr>
            <w:tcW w:w="9180" w:type="dxa"/>
            <w:vAlign w:val="bottom"/>
            <w:gridSpan w:val="21"/>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7.</w:t>
            </w:r>
          </w:p>
        </w:tc>
        <w:tc>
          <w:tcPr>
            <w:tcW w:w="91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Arial" w:cs="Arial" w:eastAsia="Arial" w:hAnsi="Arial"/>
                <w:sz w:val="18"/>
                <w:szCs w:val="18"/>
                <w:color w:val="auto"/>
              </w:rPr>
              <w:t>Item 7A.</w:t>
            </w:r>
          </w:p>
        </w:tc>
        <w:tc>
          <w:tcPr>
            <w:tcW w:w="918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8.</w:t>
            </w:r>
          </w:p>
        </w:tc>
        <w:tc>
          <w:tcPr>
            <w:tcW w:w="918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9.</w:t>
            </w:r>
          </w:p>
        </w:tc>
        <w:tc>
          <w:tcPr>
            <w:tcW w:w="918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Arial" w:cs="Arial" w:eastAsia="Arial" w:hAnsi="Arial"/>
                <w:sz w:val="18"/>
                <w:szCs w:val="18"/>
                <w:color w:val="auto"/>
              </w:rPr>
              <w:t>Item 9A.</w:t>
            </w:r>
          </w:p>
        </w:tc>
        <w:tc>
          <w:tcPr>
            <w:tcW w:w="918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9B.</w:t>
            </w:r>
          </w:p>
        </w:tc>
        <w:tc>
          <w:tcPr>
            <w:tcW w:w="91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Arial" w:cs="Arial" w:eastAsia="Arial" w:hAnsi="Arial"/>
                <w:sz w:val="18"/>
                <w:szCs w:val="18"/>
                <w:color w:val="auto"/>
              </w:rPr>
              <w:t>Item 9C.</w:t>
            </w:r>
          </w:p>
        </w:tc>
        <w:tc>
          <w:tcPr>
            <w:tcW w:w="918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79"/>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180" w:type="dxa"/>
            <w:vAlign w:val="bottom"/>
            <w:gridSpan w:val="21"/>
          </w:tcPr>
          <w:p>
            <w:pPr>
              <w:spacing w:after="0" w:line="190"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11.</w:t>
            </w:r>
          </w:p>
        </w:tc>
        <w:tc>
          <w:tcPr>
            <w:tcW w:w="918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12.</w:t>
            </w:r>
          </w:p>
        </w:tc>
        <w:tc>
          <w:tcPr>
            <w:tcW w:w="918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140"/>
              <w:spacing w:after="0"/>
              <w:rPr>
                <w:sz w:val="20"/>
                <w:szCs w:val="20"/>
                <w:color w:val="auto"/>
              </w:rPr>
            </w:pPr>
            <w:r>
              <w:rPr>
                <w:rFonts w:ascii="Arial" w:cs="Arial" w:eastAsia="Arial" w:hAnsi="Arial"/>
                <w:sz w:val="18"/>
                <w:szCs w:val="18"/>
                <w:color w:val="auto"/>
              </w:rPr>
              <w:t>Item 13.</w:t>
            </w:r>
          </w:p>
        </w:tc>
        <w:tc>
          <w:tcPr>
            <w:tcW w:w="9180" w:type="dxa"/>
            <w:vAlign w:val="bottom"/>
            <w:gridSpan w:val="2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14.</w:t>
            </w:r>
          </w:p>
        </w:tc>
        <w:tc>
          <w:tcPr>
            <w:tcW w:w="9180" w:type="dxa"/>
            <w:vAlign w:val="bottom"/>
            <w:gridSpan w:val="21"/>
          </w:tcPr>
          <w:p>
            <w:pPr>
              <w:spacing w:after="0"/>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79"/>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180" w:type="dxa"/>
            <w:vAlign w:val="bottom"/>
            <w:gridSpan w:val="21"/>
          </w:tcPr>
          <w:p>
            <w:pPr>
              <w:spacing w:after="0" w:line="190" w:lineRule="exact"/>
              <w:rPr>
                <w:sz w:val="20"/>
                <w:szCs w:val="20"/>
                <w:color w:val="auto"/>
              </w:rPr>
            </w:pPr>
            <w:r>
              <w:rPr>
                <w:rFonts w:ascii="Arial" w:cs="Arial" w:eastAsia="Arial" w:hAnsi="Arial"/>
                <w:sz w:val="18"/>
                <w:szCs w:val="18"/>
                <w:color w:val="0000FF"/>
              </w:rPr>
              <w:t>Exhibits and Financial Statement Schedules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140"/>
              <w:spacing w:after="0"/>
              <w:rPr>
                <w:sz w:val="20"/>
                <w:szCs w:val="20"/>
                <w:color w:val="auto"/>
              </w:rPr>
            </w:pPr>
            <w:r>
              <w:rPr>
                <w:rFonts w:ascii="Arial" w:cs="Arial" w:eastAsia="Arial" w:hAnsi="Arial"/>
                <w:sz w:val="18"/>
                <w:szCs w:val="18"/>
                <w:color w:val="auto"/>
              </w:rPr>
              <w:t>Item 16.</w:t>
            </w:r>
          </w:p>
        </w:tc>
        <w:tc>
          <w:tcPr>
            <w:tcW w:w="9180" w:type="dxa"/>
            <w:vAlign w:val="bottom"/>
            <w:gridSpan w:val="21"/>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66"/>
        </w:trPr>
        <w:tc>
          <w:tcPr>
            <w:tcW w:w="1280" w:type="dxa"/>
            <w:vAlign w:val="bottom"/>
          </w:tcPr>
          <w:p>
            <w:pPr>
              <w:spacing w:after="0"/>
              <w:rPr>
                <w:sz w:val="24"/>
                <w:szCs w:val="24"/>
                <w:color w:val="auto"/>
              </w:rPr>
            </w:pPr>
          </w:p>
        </w:tc>
        <w:tc>
          <w:tcPr>
            <w:tcW w:w="1540" w:type="dxa"/>
            <w:vAlign w:val="bottom"/>
            <w:tcBorders>
              <w:top w:val="single" w:sz="8" w:color="0000FF"/>
            </w:tcBorders>
            <w:gridSpan w:val="6"/>
          </w:tcPr>
          <w:p>
            <w:pPr>
              <w:spacing w:after="0"/>
              <w:rPr>
                <w:sz w:val="24"/>
                <w:szCs w:val="24"/>
                <w:color w:val="auto"/>
              </w:rPr>
            </w:pPr>
          </w:p>
        </w:tc>
        <w:tc>
          <w:tcPr>
            <w:tcW w:w="3340" w:type="dxa"/>
            <w:vAlign w:val="bottom"/>
            <w:gridSpan w:val="9"/>
          </w:tcPr>
          <w:p>
            <w:pPr>
              <w:jc w:val="right"/>
              <w:ind w:right="50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are used in this Annual Report, unless otherwise noted or indicated by the context:</w:t>
      </w:r>
    </w:p>
    <w:p>
      <w:pPr>
        <w:spacing w:after="0" w:line="171"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“Americas” in regards to our business, means the United States, Canada, and Latin America;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“Enterprise customers” means our customers who contribute $500,000 or more to our revenues in a calendar year;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Advantage,” the “Company,” “we,” “us,” and “our” mean the business of First Advantage Corporation and its subsidiaries;</w:t>
      </w:r>
    </w:p>
    <w:p>
      <w:pPr>
        <w:spacing w:after="0" w:line="117" w:lineRule="exact"/>
        <w:rPr>
          <w:rFonts w:ascii="Arial" w:cs="Arial" w:eastAsia="Arial" w:hAnsi="Arial"/>
          <w:sz w:val="18"/>
          <w:szCs w:val="18"/>
          <w:color w:val="auto"/>
        </w:rPr>
      </w:pPr>
    </w:p>
    <w:p>
      <w:pPr>
        <w:ind w:left="1020" w:hanging="503"/>
        <w:spacing w:after="0" w:line="25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retention rate” for the current year is a percentage, where the numerator is prior year revenues less the revenue impact of lost accounts; the denominator is prior year revenues. We calculate the revenue impact of lost accounts as the difference between the customer’s current year and prior year revenues for the months after which they are identified as lost. Therefore, the attrition impact of customers lost in the current year may be partially captured in both the current and following years’ retention rates depending on what point during the year they are lost. Our retention rate does not factor in revenue impact, whether growth or decline, attributable to existing customers or the incremental revenue impact of new customers;</w:t>
      </w:r>
    </w:p>
    <w:p>
      <w:pPr>
        <w:spacing w:after="0" w:line="8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“international” in regards to our business, means all geographical regions outside of the United States, Canada, and Latin America;</w:t>
      </w:r>
    </w:p>
    <w:p>
      <w:pPr>
        <w:spacing w:after="0" w:line="128"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or “pro forma basis” means giving effect to the Silver Lake Transaction and the related financing, which occurred on January 31, 2020 and is further described below;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Lake” means Silver Lake Group, L.L.C., together with its affiliates, successors, and assignees.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monetary amounts, percentages, and other figures included in this Annual Report on Form 10-K (“Annual Report”) have been subject to rounding adjustments. Percentage amounts included in this Annual Report have not in all cases been calculated on the basis of such rounded figures, but on the basis of such amounts prior to rounding. For this reason, percentage amounts in this Annual Report may vary from those obtained by performing the same calculations using the figures in our consolidated financial statements included elsewhere in this Annual Report. Certain other amounts that appear in this Annual Report may not sum due to rounding.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This Annual Report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are included throughout this Annual Report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2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These forward-looking statements are subject to various risks, uncertainties, assumptions or changes in circumstances that are difficult to predict or quantify. 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w:t>
      </w:r>
    </w:p>
    <w:p>
      <w:pPr>
        <w:spacing w:after="0" w:line="1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additional information on these and other factors that could cause First Advantage’s actual results to differ materially from expected results, please see “Risk Factors” in Part I, Item 1A. in this Annual Report, as such factors may be updated from time to time in our periodic filings with the SEC, which are accessible on the SEC’s website at www.sec.gov. The forward-looking statements included in this Annual Report speak only as of the date of this Annual Report, and we undertake no obligation to publicly update or review any forward-looking statement, whether as a result of new information, future developments, or otherwise, except as required by law.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30" w:lineRule="exact"/>
        <w:rPr>
          <w:sz w:val="20"/>
          <w:szCs w:val="20"/>
          <w:color w:val="auto"/>
        </w:rPr>
      </w:pPr>
    </w:p>
    <w:p>
      <w:pPr>
        <w:ind w:left="1020" w:right="5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Macroeconomic factors beyond our control, including the state of the economy, could impact demand and the fulfillment costs for our products and solutions.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COVID-19 and related risks have affected and may continue to materially affect our business, results of operations, financial position, and/or liquidity.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numerous and evolving laws and regulations.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scrutiny of collection, use, and processing of personal data and data security could lead to increased restrictions, loss of revenue opportunity, greater costs of compliance, and lost efficiency.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identify and successfully implement our growth strategies on a timely basis or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damage to our reputation or our brand could adversely affect our business, financial condition, and results of operations.</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extent our customers reduce their operations, downsize their screening programs, or otherwise demand fewer of our products and solutions, our business could be adversely impacted.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penetrated and competitive market.</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data and service providers. If they are unable to deliver or perform as expected, our ability to operate effectively may be impaired, and our business may be materially and adversely affected.</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the sensitive and privacy-driven nature of our products and solutions, we could face liability and legal or regulatory proceedings, which could be costly and time-consuming to defend and may not be fully covered by insurance.</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brand, and reputation may be harmed as a result of security breaches, cyber-attacks, employee or other internal misconduct, computer viruses, or the mishandling of personal data.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international business exposes us to a number of risks.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or perceived errors, failures, or bugs in our products could adversely affect our business, results of operations, financial condition, and growth prospects.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able to identify attractive acquisition targets and strategic partnerships or successfully complete such transactions.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cannot guarantee that our stock repurchase program will be fully implemented or that it will enhance long-term stockholder value.</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economic and trade sanctions, and anti-money laundering laws and regulations could have an adverse effect on our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at our Global Operating Center and other operational sites could adversely impact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not guaranteed exclusivity or volumes in our contracts with our customers.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with our technology and network infrastructure, including our data centers, servers, and third-party cloud and internet providers, and our migration to the cloud, could have an adverse impact on our business.</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continue to integrate our platforms and solutions with that of human resource software providers or if our relationships with human resource software providers deteriorate, our business could be adversely affected.</w:t>
      </w:r>
    </w:p>
    <w:p>
      <w:pPr>
        <w:spacing w:after="0" w:line="62"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relating to public opinion, which may be magnified by incidents or adverse publicity concerning our industry or operations.</w:t>
      </w:r>
    </w:p>
    <w:p>
      <w:pPr>
        <w:spacing w:after="0" w:line="62" w:lineRule="exact"/>
        <w:rPr>
          <w:rFonts w:ascii="Arial" w:cs="Arial" w:eastAsia="Arial" w:hAnsi="Arial"/>
          <w:sz w:val="18"/>
          <w:szCs w:val="18"/>
          <w:color w:val="auto"/>
        </w:rPr>
      </w:pPr>
    </w:p>
    <w:p>
      <w:pPr>
        <w:ind w:left="1020" w:right="58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success depends in large part on the service of our key executives and our ability to find and retain qualified employees.</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4" w:name="page5"/>
    <w:bookmarkEnd w:id="4"/>
    <w:p>
      <w:pPr>
        <w:ind w:left="1020" w:right="4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spacing w:after="0" w:line="75"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maintain, protect and enforce the confidentiality of our trade secrets, our business and competitive position would be harmed.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use of open-source software in our applications may expose us to additional risks and harm our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 may cause our operating results to fluctuate from quarter to quarter.</w:t>
      </w:r>
    </w:p>
    <w:p>
      <w:pPr>
        <w:spacing w:after="0" w:line="117" w:lineRule="exact"/>
        <w:rPr>
          <w:rFonts w:ascii="Arial" w:cs="Arial" w:eastAsia="Arial" w:hAnsi="Arial"/>
          <w:sz w:val="18"/>
          <w:szCs w:val="18"/>
          <w:color w:val="auto"/>
        </w:rPr>
      </w:pPr>
    </w:p>
    <w:p>
      <w:pPr>
        <w:ind w:left="1020" w:right="100" w:hanging="503"/>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Silver Lake controls us and its interests may conflict with yours in the future.</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incur additional costs associated with the requirements of being a public company, and our management is required to devote substantial time to compliance matters, adding complexity to running our business.</w:t>
      </w:r>
    </w:p>
    <w:p>
      <w:pPr>
        <w:spacing w:after="0" w:line="62" w:lineRule="exact"/>
        <w:rPr>
          <w:rFonts w:ascii="Arial" w:cs="Arial" w:eastAsia="Arial" w:hAnsi="Arial"/>
          <w:sz w:val="18"/>
          <w:szCs w:val="18"/>
          <w:color w:val="auto"/>
        </w:rPr>
      </w:pPr>
    </w:p>
    <w:p>
      <w:pPr>
        <w:ind w:left="1020" w:right="240" w:hanging="503"/>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 history of paying cash dividends on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interpretation of tax laws may have a material adverse effect on our business.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implementation cycles can be lengthy and variable, depend upon factors outside our control, and could cause us unexpected delays in generating revenues or result in lower than anticipated revenues.</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indebtedness could adversely affect our ability to raise additional capital to fund our operations, limit our ability to react to changes in the economy or our industry, and prevent us from meeting our obligations.</w:t>
      </w:r>
    </w:p>
    <w:p>
      <w:pPr>
        <w:spacing w:after="0" w:line="62"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debt instruments restrict our current and future operations, particularly our ability to respond to changes or take certain actions.</w:t>
      </w:r>
    </w:p>
    <w:p>
      <w:pPr>
        <w:spacing w:after="0" w:line="128" w:lineRule="exact"/>
        <w:rPr>
          <w:rFonts w:ascii="Arial" w:cs="Arial" w:eastAsia="Arial" w:hAnsi="Arial"/>
          <w:sz w:val="17"/>
          <w:szCs w:val="17"/>
          <w:color w:val="auto"/>
        </w:rPr>
      </w:pPr>
    </w:p>
    <w:p>
      <w:pPr>
        <w:ind w:left="1020" w:right="1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Advantage Corporation is a holding company with no operations of its own and, as such, it depends on its subsidiaries for cash to fund all of its operations and expenses, including future dividend payments, if 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7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We own a number of registered and common law trademarks and pending applications for trademark registrations in the United States and other countries, including, for example: First Advantage, Profile Advantage, Enterprise Advantage, Insight Advantage, Verified!, HEAL, RoadReady, and Residential Advantage, among others. Unless otherwise indicated, all trademarks, tradenames, and service marks appearing in this Annual Report are proprietary to us, our affiliates, and/or licensors. This Annual Report also contains trademarks, tradenames, and service marks of other companies, which are the property of their respective owners. Solely for convenience, the trademarks, tradenames, and service marks referred to in this Annual Report may appear without the ® and </w:t>
      </w:r>
      <w:r>
        <w:rPr>
          <w:rFonts w:ascii="Arial" w:cs="Arial" w:eastAsia="Arial" w:hAnsi="Arial"/>
          <w:sz w:val="19"/>
          <w:szCs w:val="19"/>
          <w:color w:val="auto"/>
          <w:vertAlign w:val="superscript"/>
        </w:rPr>
        <w:t>TM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First Advantage is a leading global provider of employment background screening and verification solutions. We deliver innovative services and insights that help our customers manage risk and hire the best talent. Enabled by our proprietary technology, our products help companies protect their brands and provide safer environments for their customers and their most important resources: employees, contractors, contingent workers, tenants, and drivers.</w:t>
      </w:r>
    </w:p>
    <w:p>
      <w:pPr>
        <w:spacing w:after="0" w:line="9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manage one of the earliest and most important interactions between an applicant and our customer. Indeed, most applicants view their screening experience as a reflection of the hiring organization and its onboarding process. 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In 2022, we performed over 100 million screens on behalf of approximately 33,000 customers spanning the globe and all major industry verticals, which includes 235 Enterprise customers at the end of 2022, up from 189 at the end of 2021. We often have multiple stakeholders within our customers, including Executive Management, Human Resources, Talent Acquisition, Compliance, Risk, Legal, Safety, and Vendor Management, who rely on our products and solutions.</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long-standing, blue-chip customer relationships include six of the U.S.’s top ten private sector employers, over 50% of the Fortune 100, and approximately one-third of the Fortune 500. We seek to grow market share by focusing on fast-growing industries and companies, increasing our share with existing customers, upselling and cross-selling new products and solutions, and winning new customers.</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verticalized go-to-market strategy delivers highly relevant solutions for targeted industry sectors. This approach enables us to build a diversified customer portfolio and effectively serve many of the largest, most sophisticated, and fastest-growing companies in the world. We have built a powerful and efficient customer-centric sales model fueled by frequent engagement with our customers and deep subject matter expertise in industry-specific compliance and regulatory requirements, which allows us to create tailored solutions and drive consistent upsell and cross-sell opportunities. Our sales engine is powered by dedicated Sales and Solutions Engineering professionals working alongside Customer Success team members who have successfully maintained high customer satisfaction, retention, and growth, as evidenced by our industry-leading NPS, average 13-year tenure of our top 100 customers, and gross retention rate of approximately 97% as of December 31, 2022. Our go-to-market strategy continues to drive particular strength with Enterprise customers in sectors with attractive secular trends such as e-commerce, retail, transportation, warehousing, healthcare, and staffing.</w:t>
      </w:r>
    </w:p>
    <w:p>
      <w:pPr>
        <w:spacing w:after="0" w:line="1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designed our technology to be highly configurable, scalable, and extensible. Our platform is embedded in our customers’ core enterprise workflows and interfaces with more than 75 third-party Human Capital Management (“HCM”) software platforms, including Applicant Tracking Systems (“ATS”), providing us with real-time visibility and input into our customers’ human resources processes. We leverage our proprietary internal databases— which include more than 690 million criminal, education, and work history observations as of December 31, 2022—and an extensive and highly curated network of more than 935 automated and/or integrated third-party data providers. These data providers include federal, state, and local government entities; court runners; drug and health testing labs and collection sites; credit bureaus; and education and work history data providers. Our platform efficiently and intelligently integrates data from these proprietary internal databases as well as external data sources using automation, APIs, and machine learning. Our investments in robotic process automation (“RPA”), including more than 3,000 bots currently deployed, enable our rapid turnaround times. For example, in 2022 alone, over 92% of our criminal searches in the United States were completed within one day. Our platform prioritizes data privacy and compliance and is powered by a rigorous, automated compliance rules engine. This enables us to address each customer’s unique requirements in an efficient and automated manner while also ensuring compliance with complex data usage guidelines and regulatory requirements across global jurisdictions and industry-specific regulatory frameworks.</w:t>
      </w:r>
    </w:p>
    <w:p>
      <w:pPr>
        <w:spacing w:after="0" w:line="1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focus on innovative products and technologies has been critical to our growth. Using agile software development methodologies, we have consistently enhanced existing products and been early to market with new and innovative products, including offerings for biometrics and identity, continuous criminal monitoring, extended workforce screening, and instant oral drug testing. In addition, we continue to expand our proprietary internal databases that extend our competitive advantage, enhance turnaround times for customers, and offer potential future monetization upside opportunities. Our hundreds of millions of criminal, education, and work history records in our proprietary internal databases, amassed and curated over many years, accelerate screening turnaround times and reduce costs by using internal data sources before accessing third-party data sources or performing a manual verification.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importance of human capital and its associated risks to brand, reputation, safety, and compliance are ever-increasing in today’s interconnected, fast-paced world. Along with broader environmental, social, and governance (“ESG”) considerations, these issues increasingly have become priorities at the highest executive and oversight levels of our customers worldwide. Key constituents, including C-Suite executives, boards of directors, external auditors, business owners, property managers, educators, volunteer organizations, and franchisors all face a heightened level of public scrutiny and accountability. Significant technological and societal trends include fraud and cyber-attacks; sexual harassment and workplace violence; and the prevalence of social media impacting companies’ brands. These have driven a significant increase in the need for screening, verifications, and ongoing monitoring. Our products and solutions are critical tools that companies depend on to provide safer environments for their customers and workers, maintain regulatory compliance, and protect their property, reputation, and brands.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believe several key trends are generating significant growth opportunities in our markets and increasing demand for our products and solutions:</w:t>
      </w:r>
    </w:p>
    <w:p>
      <w:pPr>
        <w:spacing w:after="0" w:line="183" w:lineRule="exact"/>
        <w:rPr>
          <w:sz w:val="20"/>
          <w:szCs w:val="20"/>
          <w:color w:val="auto"/>
        </w:rPr>
      </w:pPr>
    </w:p>
    <w:p>
      <w:pPr>
        <w:ind w:left="1020" w:right="60" w:hanging="503"/>
        <w:spacing w:after="0" w:line="25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Workforce Mobility and Job Turnover: </w:t>
      </w:r>
      <w:r>
        <w:rPr>
          <w:rFonts w:ascii="Arial" w:cs="Arial" w:eastAsia="Arial" w:hAnsi="Arial"/>
          <w:sz w:val="18"/>
          <w:szCs w:val="18"/>
          <w:color w:val="auto"/>
        </w:rPr>
        <w:t>Millennials and Gen-Z represent a large, growing portion of the U.S. workforce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likely to change jobs than other generations in pursuit of earning higher wages, faster career development, and better workplace culture fit. Additionally, over the last two years, the economy has experienced an economic trend in which more employees are voluntarily resigning from their jobs and applying for new jobs, leading to more frequent job switching and an increase in employee churn. Many companies have moved to a remote or hybrid work environment, reducing the barriers to job entry, and we expect this trend to continue through 2023. In addition, as the economy evolves and resource needs differ significantly by sector, geography, and skill set, this is driving dynamism in the hiring environment.</w:t>
      </w:r>
    </w:p>
    <w:p>
      <w:pPr>
        <w:spacing w:after="0" w:line="86" w:lineRule="exact"/>
        <w:rPr>
          <w:rFonts w:ascii="Arial" w:cs="Arial" w:eastAsia="Arial" w:hAnsi="Arial"/>
          <w:sz w:val="18"/>
          <w:szCs w:val="18"/>
          <w:color w:val="auto"/>
        </w:rPr>
      </w:pPr>
    </w:p>
    <w:p>
      <w:pPr>
        <w:ind w:left="1020" w:right="20" w:hanging="503"/>
        <w:spacing w:after="0" w:line="25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Use of Contingent and Flexible Workforces: </w:t>
      </w:r>
      <w:r>
        <w:rPr>
          <w:rFonts w:ascii="Arial" w:cs="Arial" w:eastAsia="Arial" w:hAnsi="Arial"/>
          <w:sz w:val="18"/>
          <w:szCs w:val="18"/>
          <w:color w:val="auto"/>
        </w:rPr>
        <w:t>Contingent workers including freelancers, independent contractors, consultants,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outsourced and non-permanent workers, comprise a significant portion of the U.S. workforce as corporations continue to increase their use of a flexible workforce. When independent contractors, external consultants, and temporary workers have access to sensitive information, company facilities, or directly interact with customers, it is important for companies to screen, verify, and monitor such flexible workforce personnel diligently.</w:t>
      </w:r>
    </w:p>
    <w:p>
      <w:pPr>
        <w:spacing w:after="0" w:line="79" w:lineRule="exact"/>
        <w:rPr>
          <w:rFonts w:ascii="Arial" w:cs="Arial" w:eastAsia="Arial" w:hAnsi="Arial"/>
          <w:sz w:val="18"/>
          <w:szCs w:val="18"/>
          <w:color w:val="auto"/>
        </w:rPr>
      </w:pPr>
    </w:p>
    <w:p>
      <w:pPr>
        <w:ind w:left="1020" w:hanging="503"/>
        <w:spacing w:after="0" w:line="29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C-Suite Focus on Safety and Reputational Risks: </w:t>
      </w:r>
      <w:r>
        <w:rPr>
          <w:rFonts w:ascii="Arial" w:cs="Arial" w:eastAsia="Arial" w:hAnsi="Arial"/>
          <w:sz w:val="16"/>
          <w:szCs w:val="16"/>
          <w:color w:val="auto"/>
        </w:rPr>
        <w:t>Screening, verifications, and compliance are mission-critical and are becoming boardroom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priorities for many companies due to the brand risks and potential legal liability of hiring high-risk workers. A number of high-profile human capital-related issues have led to significant brand damage, diversion of management attention, litigation, and negative news and social media coverage for enterprises in recent years. These events reinforced the importance of our products and solutions. Companies are increasingly expanding human resources and compliance budgets on products and solutions that help manage their potential risks and improve safety. By enhancing workplace safety and helping companies manage risk, we help address important social factors affecting our customers.</w:t>
      </w:r>
    </w:p>
    <w:p>
      <w:pPr>
        <w:spacing w:after="0" w:line="56" w:lineRule="exact"/>
        <w:rPr>
          <w:rFonts w:ascii="Arial" w:cs="Arial" w:eastAsia="Arial" w:hAnsi="Arial"/>
          <w:sz w:val="16"/>
          <w:szCs w:val="16"/>
          <w:color w:val="auto"/>
        </w:rPr>
      </w:pPr>
    </w:p>
    <w:p>
      <w:pPr>
        <w:ind w:left="1020" w:hanging="503"/>
        <w:spacing w:after="0" w:line="270"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Heightened Regulatory and Compliance Scrutiny: </w:t>
      </w:r>
      <w:r>
        <w:rPr>
          <w:rFonts w:ascii="Arial" w:cs="Arial" w:eastAsia="Arial" w:hAnsi="Arial"/>
          <w:sz w:val="17"/>
          <w:szCs w:val="17"/>
          <w:color w:val="auto"/>
        </w:rPr>
        <w:t>Businesses today are under intense scrutiny to comply with an ever-expanding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evolving set of global regulatory requirements that can vary by geography, industry vertical, and use case. Examples include the Foreign Corrupt Practices Act (“FCPA”), the United Kingdom Bribery Act, Fair Credit Reporting Act (“FCRA”), California Consumer Privacy Act (as amended by the California Privacy Rights Act of 2020, the “CCPA”), EU General Data Protection Regulation (“GDPR”), the United Kingdom General Data Protection Regulation (“U.K. GDPR”), and Illinois Biometric Information Privacy Act (“IBIPA”), in addition to other anti-corruption requirements with respect to anti-money laundering and politically exposed persons. These requirements are driving many companies to perform more extensive and exhaustive checks and to partner with screening providers that have the scale, scope, heightened compliance standards, and auditability that they require. Our products and solutions help strengthen companies’ corporate governance through bolstering their compliance and risk management practices.</w:t>
      </w:r>
    </w:p>
    <w:p>
      <w:pPr>
        <w:spacing w:after="0" w:line="72" w:lineRule="exact"/>
        <w:rPr>
          <w:rFonts w:ascii="Arial" w:cs="Arial" w:eastAsia="Arial" w:hAnsi="Arial"/>
          <w:sz w:val="17"/>
          <w:szCs w:val="17"/>
          <w:color w:val="auto"/>
        </w:rPr>
      </w:pPr>
    </w:p>
    <w:p>
      <w:pPr>
        <w:ind w:left="1020" w:right="340" w:hanging="503"/>
        <w:spacing w:after="0" w:line="27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Development of International Markets: </w:t>
      </w:r>
      <w:r>
        <w:rPr>
          <w:rFonts w:ascii="Arial" w:cs="Arial" w:eastAsia="Arial" w:hAnsi="Arial"/>
          <w:sz w:val="17"/>
          <w:szCs w:val="17"/>
          <w:color w:val="auto"/>
        </w:rPr>
        <w:t>Background screening penetration remains low in most international geographies, with a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portion of screens conducted by unsophisticated, local providers. Multinational companies are increasingly focused on systematizing and elevating their human resources policies, screening procedures, and providers globally, driving greater demand and a shift towards technology-driven, high-quality, compliant, and global screening providers. In addition, many non-U.S.-based companies are initiating screening programs for the first time and are seeking reliable, compliant, and high-quality providers.</w:t>
      </w:r>
    </w:p>
    <w:p>
      <w:pPr>
        <w:spacing w:after="0" w:line="68" w:lineRule="exact"/>
        <w:rPr>
          <w:rFonts w:ascii="Arial" w:cs="Arial" w:eastAsia="Arial" w:hAnsi="Arial"/>
          <w:sz w:val="17"/>
          <w:szCs w:val="17"/>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Growth in Post-Onboarding Monitoring: </w:t>
      </w:r>
      <w:r>
        <w:rPr>
          <w:rFonts w:ascii="Arial" w:cs="Arial" w:eastAsia="Arial" w:hAnsi="Arial"/>
          <w:sz w:val="16"/>
          <w:szCs w:val="16"/>
          <w:color w:val="auto"/>
        </w:rPr>
        <w:t>Companies are increasingly expanding their screening programs beyond a “one-and-done” pre-</w:t>
      </w:r>
    </w:p>
    <w:p>
      <w:pPr>
        <w:spacing w:after="0" w:line="46" w:lineRule="exact"/>
        <w:rPr>
          <w:sz w:val="20"/>
          <w:szCs w:val="20"/>
          <w:color w:val="auto"/>
        </w:rPr>
      </w:pPr>
    </w:p>
    <w:p>
      <w:pPr>
        <w:ind w:left="1020" w:right="240"/>
        <w:spacing w:after="0" w:line="265" w:lineRule="auto"/>
        <w:rPr>
          <w:sz w:val="20"/>
          <w:szCs w:val="20"/>
          <w:color w:val="auto"/>
        </w:rPr>
      </w:pPr>
      <w:r>
        <w:rPr>
          <w:rFonts w:ascii="Arial" w:cs="Arial" w:eastAsia="Arial" w:hAnsi="Arial"/>
          <w:sz w:val="17"/>
          <w:szCs w:val="17"/>
          <w:color w:val="auto"/>
        </w:rPr>
        <w:t>onboarding measure, which has historically been the norm in markets like the U.S. and U.K. We have invested in and continue to innovate our post-onboarding products and solutions and believe we are well-positioned to capture share in this growing market.</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1020" w:right="60" w:hanging="503"/>
        <w:spacing w:after="0" w:line="30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Enterprise Software: </w:t>
      </w:r>
      <w:r>
        <w:rPr>
          <w:rFonts w:ascii="Arial" w:cs="Arial" w:eastAsia="Arial" w:hAnsi="Arial"/>
          <w:sz w:val="16"/>
          <w:szCs w:val="16"/>
          <w:color w:val="auto"/>
        </w:rPr>
        <w:t>Companies are increasingly investing in enterprise software to manage their businesses, including next-generation software-as-a-service solutions for HCM. As companies implement these systems, we believe there will be an increase in demand for screening, verification, and compliance solutions that can interface with these systems in an automated fashion to provide a seamless applicant and user experience and insights based on data analytics which we are able to provide through our product suite.</w:t>
      </w:r>
    </w:p>
    <w:p>
      <w:pPr>
        <w:spacing w:after="0" w:line="49" w:lineRule="exact"/>
        <w:rPr>
          <w:rFonts w:ascii="Arial" w:cs="Arial" w:eastAsia="Arial" w:hAnsi="Arial"/>
          <w:sz w:val="16"/>
          <w:szCs w:val="16"/>
          <w:color w:val="auto"/>
        </w:rPr>
      </w:pPr>
    </w:p>
    <w:p>
      <w:pPr>
        <w:ind w:left="1020" w:right="240" w:hanging="503"/>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Proliferation of Relevant Data Sources: </w:t>
      </w:r>
      <w:r>
        <w:rPr>
          <w:rFonts w:ascii="Arial" w:cs="Arial" w:eastAsia="Arial" w:hAnsi="Arial"/>
          <w:sz w:val="18"/>
          <w:szCs w:val="18"/>
          <w:color w:val="auto"/>
        </w:rPr>
        <w:t>U.S. government agencies, third-party vendors, and professional organizations are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tracking and improving the quality and digitization of data in areas such as criminal, education, income history, healthcare credentials, and motor vehicle records (“MVRs”). In many other countries with limited quality and availability of reliable data, the collection and organization of higher quality datasets has been increasing. This increasing availability of data is driving customers to rely on large-scale, sophisticated providers that can efficiently access and create insights from data sourced, aggregated, and integrated from myriad disparate sources such as First Advantage.</w:t>
      </w:r>
    </w:p>
    <w:p>
      <w:pPr>
        <w:spacing w:after="0" w:line="84" w:lineRule="exact"/>
        <w:rPr>
          <w:rFonts w:ascii="Arial" w:cs="Arial" w:eastAsia="Arial" w:hAnsi="Arial"/>
          <w:sz w:val="18"/>
          <w:szCs w:val="18"/>
          <w:color w:val="auto"/>
        </w:rPr>
      </w:pPr>
    </w:p>
    <w:p>
      <w:pPr>
        <w:ind w:left="1020" w:right="180" w:hanging="503"/>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Advances in Analytics to Increase Value of Data: </w:t>
      </w:r>
      <w:r>
        <w:rPr>
          <w:rFonts w:ascii="Arial" w:cs="Arial" w:eastAsia="Arial" w:hAnsi="Arial"/>
          <w:sz w:val="18"/>
          <w:szCs w:val="18"/>
          <w:color w:val="auto"/>
        </w:rPr>
        <w:t>The increasing accessibility of robust datasets supplemented by machine learning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is driving heightened focus on integrating screening insights and dashboards with human resources, compliance, and security workflows. Customers often lack internal resources to develop such analytical and visualization tools, increasing demand for providers like First Advantage that offer these cutting-edge integrated data analytics capabilities.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intend to continue to grow our business profitably by pursuing the following strategies:</w:t>
      </w:r>
    </w:p>
    <w:p>
      <w:pPr>
        <w:spacing w:after="0" w:line="171" w:lineRule="exact"/>
        <w:rPr>
          <w:sz w:val="20"/>
          <w:szCs w:val="20"/>
          <w:color w:val="auto"/>
        </w:rPr>
      </w:pPr>
    </w:p>
    <w:p>
      <w:pPr>
        <w:ind w:left="1020" w:right="220" w:hanging="503"/>
        <w:spacing w:after="0" w:line="29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Win New Customers</w:t>
      </w:r>
      <w:r>
        <w:rPr>
          <w:rFonts w:ascii="Arial" w:cs="Arial" w:eastAsia="Arial" w:hAnsi="Arial"/>
          <w:sz w:val="16"/>
          <w:szCs w:val="16"/>
          <w:color w:val="auto"/>
        </w:rPr>
        <w:t>. We are focused on winning new customers across industry verticals, particularly those with attractive,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hiring outlooks such as e-commerce, essential retail, and transportation and home delivery, and sectors that are increasingly requiring deeper, more frequent checks with high compliance standards such as healthcare. We are also prioritizing new verticals that align with positive secular macroeconomic trends. We primarily focus on large Enterprise customers, which we believe are well-positioned for durable, long-term growth, have complex and diverse global operations, and, as a result, have the highest demand for our products and solutions. We believe our innovative and differentiated solutions, high-performing Sales and Customer Success teams, operational excellence, and industry-leading reputation and brand will enable us to expand our customer base successfully.</w:t>
      </w:r>
    </w:p>
    <w:p>
      <w:pPr>
        <w:spacing w:after="0" w:line="58" w:lineRule="exact"/>
        <w:rPr>
          <w:rFonts w:ascii="Arial" w:cs="Arial" w:eastAsia="Arial" w:hAnsi="Arial"/>
          <w:sz w:val="16"/>
          <w:szCs w:val="16"/>
          <w:color w:val="auto"/>
        </w:rPr>
      </w:pPr>
    </w:p>
    <w:p>
      <w:pPr>
        <w:ind w:left="1020" w:hanging="503"/>
        <w:spacing w:after="0" w:line="287"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Growth within Our Existing Customer Base through Upselling and Cross-selling. </w:t>
      </w:r>
      <w:r>
        <w:rPr>
          <w:rFonts w:ascii="Arial" w:cs="Arial" w:eastAsia="Arial" w:hAnsi="Arial"/>
          <w:sz w:val="16"/>
          <w:szCs w:val="16"/>
          <w:color w:val="auto"/>
        </w:rPr>
        <w:t>Our customers frequently begin their relationship with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implementing a few core products and subsequently expanding their usage of our solutions platform over time to build a more comprehensive approach to screening and risk management. We drive upsell as customers extend our products and solutions to new divisions and geographies, perform more extensive screens, and purchase additional complementary pre-onboarding products. We also cross-sell additional risk mitigation and compliance solutions such as post-onboarding screening, hiring tax credits, and fleet solutions. Our Sales and Customer Success teams frequently engage with our existing customers and identify areas where we can provide additional value and products. Our deeply entrenched, dedicated Customer Success teams work closely with our customers to develop robust and rigorous compliance and risk management programs within their organizations. We believe that our total revenue opportunity with current customers can substantially increase the size of our current revenue base when taking into account cross-selling and upselling opportunities. Revenues from cross-sell and upsell added approximately 4 percentage points to our revenue growth rate in each of 2022, 2021, and 2020. We will continue to hone our sales and marketing engine to increase product penetration within our existing customer base.</w:t>
      </w:r>
    </w:p>
    <w:p>
      <w:pPr>
        <w:spacing w:after="0" w:line="63" w:lineRule="exact"/>
        <w:rPr>
          <w:rFonts w:ascii="Arial" w:cs="Arial" w:eastAsia="Arial" w:hAnsi="Arial"/>
          <w:sz w:val="16"/>
          <w:szCs w:val="16"/>
          <w:color w:val="auto"/>
        </w:rPr>
      </w:pPr>
    </w:p>
    <w:p>
      <w:pPr>
        <w:ind w:left="1020" w:right="40" w:hanging="503"/>
        <w:spacing w:after="0" w:line="25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Innovate Our Product Offerings</w:t>
      </w:r>
      <w:r>
        <w:rPr>
          <w:rFonts w:ascii="Arial" w:cs="Arial" w:eastAsia="Arial" w:hAnsi="Arial"/>
          <w:sz w:val="18"/>
          <w:szCs w:val="18"/>
          <w:color w:val="auto"/>
        </w:rPr>
        <w:t>. We plan to continue to expand our data solutions and adjacent product revenues. For example,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currently investing in criminal and verifications data products and identity services. In addition, we are developing innovative solutions that align with our capabilities in areas such as biometric verification, fraud mitigation, driver and vehicle compliance, franchise screening programs, and remote drug testing. We will continue to invest significantly in our technology to sustain and advance our product leadership.</w:t>
      </w:r>
    </w:p>
    <w:p>
      <w:pPr>
        <w:spacing w:after="0" w:line="79" w:lineRule="exact"/>
        <w:rPr>
          <w:rFonts w:ascii="Arial" w:cs="Arial" w:eastAsia="Arial" w:hAnsi="Arial"/>
          <w:sz w:val="18"/>
          <w:szCs w:val="18"/>
          <w:color w:val="auto"/>
        </w:rPr>
      </w:pPr>
    </w:p>
    <w:p>
      <w:pPr>
        <w:ind w:left="1020" w:right="200" w:hanging="503"/>
        <w:spacing w:after="0" w:line="287"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We believe we are well-positioned to continue to expand into underpenetrated, high-growth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geographies. As multinational corporations increasingly systematize and elevate their human resources policies and screening providers across the globe, while at the same time dealing with a growing set of local requirements, we believe we are uniquely positioned to address</w:t>
      </w:r>
    </w:p>
    <w:p>
      <w:pPr>
        <w:spacing w:after="0" w:line="2" w:lineRule="exact"/>
        <w:rPr>
          <w:sz w:val="20"/>
          <w:szCs w:val="20"/>
          <w:color w:val="auto"/>
        </w:rPr>
      </w:pPr>
    </w:p>
    <w:p>
      <w:pPr>
        <w:jc w:val="both"/>
        <w:ind w:left="1020" w:right="140"/>
        <w:spacing w:after="0" w:line="265" w:lineRule="auto"/>
        <w:rPr>
          <w:sz w:val="20"/>
          <w:szCs w:val="20"/>
          <w:color w:val="auto"/>
        </w:rPr>
      </w:pPr>
      <w:r>
        <w:rPr>
          <w:rFonts w:ascii="Arial" w:cs="Arial" w:eastAsia="Arial" w:hAnsi="Arial"/>
          <w:sz w:val="17"/>
          <w:szCs w:val="17"/>
          <w:color w:val="auto"/>
        </w:rPr>
        <w:t>their global risk management and compliance requirements. The substantial majority of Enterprise customers do not currently have a single, global provider but are actively evaluating opportunities to consolidate their screening programs. We will continue to invest in international Sales and Customer Success to win these expansion opportunities and drive broader industry adoption.</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left="1020" w:right="20" w:hanging="503"/>
        <w:spacing w:after="0" w:line="293"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Complementary Acquisitions and Strategic Partnerships. </w:t>
      </w:r>
      <w:r>
        <w:rPr>
          <w:rFonts w:ascii="Arial" w:cs="Arial" w:eastAsia="Arial" w:hAnsi="Arial"/>
          <w:sz w:val="16"/>
          <w:szCs w:val="16"/>
          <w:color w:val="auto"/>
        </w:rPr>
        <w:t>Our acquisition and partnership strategy centers on delivering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value to our customers through expanded product capabilities and industry or geographic expertise and scale. Over the last two years, we completed four acquisitions, each of which either strategically expanded First Advantage’s international presence or strengthened specific industry offerings. We intend to augment our organic growth by continuing to take a disciplined approach in identifying and evaluating potential strategic acquisition, investment, and partnership opportunities that strengthen our market positions, enhance our product offerings, strengthen our technology and/or data capabilities, and/or allow us to enter new markets.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First Advantage Product Suite</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comprehensive product suite enables our customers across all industry sectors to perform pre-onboarding screening and post-onboarding monitoring of employees, contractors, contingent workers, tenants, and drivers. We generally classify our products and solutions into three categories: pre-onboarding, post-onboarding, and adjacent products, each of which is enabled by our technology, proprietary internal databases, and data analytics capabilities. Historically, we have derived a substantial majority of our revenues from pre-onboarding products and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Pre-Onboarding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an extensive array of products and solutions that customers utilize to enhance their applicant evaluation process, ensure compliance from the time applicant information is initially requested and submitted to an applicant’s successful onboarding, and enhance workplace safety. Our technology is flexibly tailored to each customer’s requirements, which could include a wide array of search categories such as Social Security number verification, education, and employment verification, federal criminal checks, statewide criminal checks, country criminal checks, sex offender registry, and global sanctions. Our pre-onboarding products include:</w:t>
      </w:r>
    </w:p>
    <w:p>
      <w:pPr>
        <w:spacing w:after="0" w:line="134" w:lineRule="exact"/>
        <w:rPr>
          <w:sz w:val="20"/>
          <w:szCs w:val="20"/>
          <w:color w:val="auto"/>
        </w:rPr>
      </w:pPr>
    </w:p>
    <w:p>
      <w:pPr>
        <w:ind w:left="1020" w:right="40" w:hanging="503"/>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Criminal background checks: </w:t>
      </w:r>
      <w:r>
        <w:rPr>
          <w:rFonts w:ascii="Arial" w:cs="Arial" w:eastAsia="Arial" w:hAnsi="Arial"/>
          <w:sz w:val="16"/>
          <w:szCs w:val="16"/>
          <w:color w:val="auto"/>
        </w:rPr>
        <w:t>Utilizes our proprietary National Criminal Records File database, which encompasses hundreds of millions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criminal records along with court and other public records to help identify relevant matching and reportable criminal record histories.</w:t>
      </w:r>
    </w:p>
    <w:p>
      <w:pPr>
        <w:spacing w:after="0" w:line="15" w:lineRule="exact"/>
        <w:rPr>
          <w:rFonts w:ascii="Arial" w:cs="Arial" w:eastAsia="Arial" w:hAnsi="Arial"/>
          <w:sz w:val="16"/>
          <w:szCs w:val="16"/>
          <w:color w:val="auto"/>
        </w:rPr>
      </w:pPr>
    </w:p>
    <w:p>
      <w:pPr>
        <w:ind w:left="1020" w:right="28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Drug / Health screening: </w:t>
      </w:r>
      <w:r>
        <w:rPr>
          <w:rFonts w:ascii="Arial" w:cs="Arial" w:eastAsia="Arial" w:hAnsi="Arial"/>
          <w:sz w:val="18"/>
          <w:szCs w:val="18"/>
          <w:color w:val="auto"/>
        </w:rPr>
        <w:t>Offers various drug screening products, including saliva, urine, hair, and blood testing options, physical exams,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instant oral drug screening products performed by mouth swab collection.</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Extended workforce screening: </w:t>
      </w:r>
      <w:r>
        <w:rPr>
          <w:rFonts w:ascii="Arial" w:cs="Arial" w:eastAsia="Arial" w:hAnsi="Arial"/>
          <w:sz w:val="18"/>
          <w:szCs w:val="18"/>
          <w:color w:val="auto"/>
        </w:rPr>
        <w:t>Enables our customers to efficiently screen large numbers of contingent, contract, and temporary workers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various search types.</w:t>
      </w:r>
    </w:p>
    <w:p>
      <w:pPr>
        <w:spacing w:after="0" w:line="62"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FBI channeling: </w:t>
      </w:r>
      <w:r>
        <w:rPr>
          <w:rFonts w:ascii="Arial" w:cs="Arial" w:eastAsia="Arial" w:hAnsi="Arial"/>
          <w:sz w:val="18"/>
          <w:szCs w:val="18"/>
          <w:color w:val="auto"/>
        </w:rPr>
        <w:t>As an approved Federal Bureau of Investigation (“FBI”) channeler, handles submissions of fingerprints to the FBI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Criminal Records database and returns Criminal Record Information from the FBI to authorized recipients, including through a secure connection to the Financial Industry Regulatory Authority (“FINRA”).</w:t>
      </w:r>
    </w:p>
    <w:p>
      <w:pPr>
        <w:spacing w:after="0" w:line="75"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Identity checks and biometric fraud mitigation tools: </w:t>
      </w:r>
      <w:r>
        <w:rPr>
          <w:rFonts w:ascii="Arial" w:cs="Arial" w:eastAsia="Arial" w:hAnsi="Arial"/>
          <w:sz w:val="18"/>
          <w:szCs w:val="18"/>
          <w:color w:val="auto"/>
        </w:rPr>
        <w:t>Includes government ID validation, mobile facial recognition, and identity and fraud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mitigation tools.</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Education / Work history verification: </w:t>
      </w:r>
      <w:r>
        <w:rPr>
          <w:rFonts w:ascii="Arial" w:cs="Arial" w:eastAsia="Arial" w:hAnsi="Arial"/>
          <w:sz w:val="18"/>
          <w:szCs w:val="18"/>
          <w:color w:val="auto"/>
        </w:rPr>
        <w:t>Validates work history and education of applicants, leveraging our proprietary Verified! database,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fulfillment, or through partnerships with other data providers.</w:t>
      </w:r>
    </w:p>
    <w:p>
      <w:pPr>
        <w:spacing w:after="0" w:line="62" w:lineRule="exact"/>
        <w:rPr>
          <w:rFonts w:ascii="Arial" w:cs="Arial" w:eastAsia="Arial" w:hAnsi="Arial"/>
          <w:sz w:val="18"/>
          <w:szCs w:val="18"/>
          <w:color w:val="auto"/>
        </w:rPr>
      </w:pPr>
    </w:p>
    <w:p>
      <w:pPr>
        <w:ind w:left="1020" w:right="280" w:hanging="503"/>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Driver records and compliance: </w:t>
      </w:r>
      <w:r>
        <w:rPr>
          <w:rFonts w:ascii="Arial" w:cs="Arial" w:eastAsia="Arial" w:hAnsi="Arial"/>
          <w:sz w:val="18"/>
          <w:szCs w:val="18"/>
          <w:color w:val="auto"/>
        </w:rPr>
        <w:t>Collection and storage of driver qualification files, as well as drug screening and background checks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 with compliance with the requirements of the U.S. Department of Transportation (“DOT”), Federal Motor Carrier Safety Administration (“FMCSA”), Federal Aviation Administration (“FAA”), International Fuel Tax Agreement (“IFTA”), and other regulatory agencies across all 50 states and the District of Columbia.</w:t>
      </w:r>
    </w:p>
    <w:p>
      <w:pPr>
        <w:spacing w:after="0" w:line="78" w:lineRule="exact"/>
        <w:rPr>
          <w:rFonts w:ascii="Arial" w:cs="Arial" w:eastAsia="Arial" w:hAnsi="Arial"/>
          <w:sz w:val="18"/>
          <w:szCs w:val="18"/>
          <w:color w:val="auto"/>
        </w:rPr>
      </w:pPr>
    </w:p>
    <w:p>
      <w:pPr>
        <w:ind w:left="1020" w:right="120" w:hanging="503"/>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credentials: </w:t>
      </w:r>
      <w:r>
        <w:rPr>
          <w:rFonts w:ascii="Arial" w:cs="Arial" w:eastAsia="Arial" w:hAnsi="Arial"/>
          <w:sz w:val="18"/>
          <w:szCs w:val="18"/>
          <w:color w:val="auto"/>
        </w:rPr>
        <w:t>Through our extensive Healthcare Exclusions Actions and Licensures (“HEAL”) product, verifies and documents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educational background, training, experience, and other credentials of healthcare employees, contractors, volunteers, and vendors, including identifying exclusions and sanctions by medical boards, Medicaid and Medicare, the Office of Inspector General, and the General Services Administration.</w:t>
      </w:r>
    </w:p>
    <w:p>
      <w:pPr>
        <w:spacing w:after="0" w:line="78"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I-9 verification: </w:t>
      </w:r>
      <w:r>
        <w:rPr>
          <w:rFonts w:ascii="Arial" w:cs="Arial" w:eastAsia="Arial" w:hAnsi="Arial"/>
          <w:sz w:val="18"/>
          <w:szCs w:val="18"/>
          <w:color w:val="auto"/>
        </w:rPr>
        <w:t>Enables our customers to simplify and manage the process of onboarding new hires, by streamlining employment eligibility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verification through the convenience of digital workflows.</w:t>
      </w:r>
    </w:p>
    <w:p>
      <w:pPr>
        <w:spacing w:after="0" w:line="62"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 screening: </w:t>
      </w:r>
      <w:r>
        <w:rPr>
          <w:rFonts w:ascii="Arial" w:cs="Arial" w:eastAsia="Arial" w:hAnsi="Arial"/>
          <w:sz w:val="18"/>
          <w:szCs w:val="18"/>
          <w:color w:val="auto"/>
        </w:rPr>
        <w:t>Provides in-depth investigative reports to confirm various aspects of credentials not typically covered by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background checks, such as civil litigation and bankruptcies, negative media searches, controversies and inconsistencies in business dealings, corporate and regulatory history, and potential conflicts of interest.</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Others: </w:t>
      </w:r>
      <w:r>
        <w:rPr>
          <w:rFonts w:ascii="Arial" w:cs="Arial" w:eastAsia="Arial" w:hAnsi="Arial"/>
          <w:sz w:val="16"/>
          <w:szCs w:val="16"/>
          <w:color w:val="auto"/>
        </w:rPr>
        <w:t>Includes screening products such as global sanctions, professional licenses and credentials verification, and social media checks.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Post-Onboarding</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Companies face a heightened responsibility to ensure safety and comply with laws, regulations, and licensing requirements after the initial screening and onboarding of an applicant. We provide our customers with continuous monitoring and re-screening solutions that are important tools to keep their end customers, workforces, and other stakeholders safe, productive, and compliant. Continuous monitoring solutions allow customers to be proactively alerted as soon as relevant information, which may require immediate attention and action, becomes available. Our post-onboarding solutions include:</w:t>
      </w:r>
    </w:p>
    <w:p>
      <w:pPr>
        <w:spacing w:after="0" w:line="103" w:lineRule="exact"/>
        <w:rPr>
          <w:sz w:val="20"/>
          <w:szCs w:val="20"/>
          <w:color w:val="auto"/>
        </w:rPr>
      </w:pPr>
    </w:p>
    <w:p>
      <w:pPr>
        <w:ind w:left="1020" w:right="1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Criminal records monitoring: </w:t>
      </w:r>
      <w:r>
        <w:rPr>
          <w:rFonts w:ascii="Arial" w:cs="Arial" w:eastAsia="Arial" w:hAnsi="Arial"/>
          <w:sz w:val="18"/>
          <w:szCs w:val="18"/>
          <w:color w:val="auto"/>
        </w:rPr>
        <w:t>Enables our customers to receive ongoing notification of any reportable criminal records of their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contractors, contingent workers, tenants, and drivers.</w:t>
      </w:r>
    </w:p>
    <w:p>
      <w:pPr>
        <w:spacing w:after="0" w:line="62" w:lineRule="exact"/>
        <w:rPr>
          <w:rFonts w:ascii="Arial" w:cs="Arial" w:eastAsia="Arial" w:hAnsi="Arial"/>
          <w:sz w:val="18"/>
          <w:szCs w:val="18"/>
          <w:color w:val="auto"/>
        </w:rPr>
      </w:pPr>
    </w:p>
    <w:p>
      <w:pPr>
        <w:ind w:left="1020" w:right="480" w:hanging="503"/>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Healthcare sanctions: </w:t>
      </w:r>
      <w:r>
        <w:rPr>
          <w:rFonts w:ascii="Arial" w:cs="Arial" w:eastAsia="Arial" w:hAnsi="Arial"/>
          <w:sz w:val="16"/>
          <w:szCs w:val="16"/>
          <w:color w:val="auto"/>
        </w:rPr>
        <w:t>Our HEAL product provides ongoing healthcare-related compliance monitoring, which allows our customers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ensure doctors, nurses, other employees, and vendors have valid licenses and no exclusions, sanctions, or board actions against them.</w:t>
      </w:r>
    </w:p>
    <w:p>
      <w:pPr>
        <w:spacing w:after="0" w:line="15" w:lineRule="exact"/>
        <w:rPr>
          <w:rFonts w:ascii="Arial" w:cs="Arial" w:eastAsia="Arial" w:hAnsi="Arial"/>
          <w:sz w:val="16"/>
          <w:szCs w:val="16"/>
          <w:color w:val="auto"/>
        </w:rPr>
      </w:pPr>
    </w:p>
    <w:p>
      <w:pPr>
        <w:ind w:left="1020" w:right="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Motor vehicle records: </w:t>
      </w:r>
      <w:r>
        <w:rPr>
          <w:rFonts w:ascii="Arial" w:cs="Arial" w:eastAsia="Arial" w:hAnsi="Arial"/>
          <w:sz w:val="18"/>
          <w:szCs w:val="18"/>
          <w:color w:val="auto"/>
        </w:rPr>
        <w:t>Provides customers with a streamlined process to establish an initial driver file and enroll drivers into the continuous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program, which reports new violations and driver records changes.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media: </w:t>
      </w:r>
      <w:r>
        <w:rPr>
          <w:rFonts w:ascii="Arial" w:cs="Arial" w:eastAsia="Arial" w:hAnsi="Arial"/>
          <w:sz w:val="18"/>
          <w:szCs w:val="18"/>
          <w:color w:val="auto"/>
        </w:rPr>
        <w:t>Offers continuous social media screening tailored to a customers’ specific criteria.</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sanctions and licenses: </w:t>
      </w:r>
      <w:r>
        <w:rPr>
          <w:rFonts w:ascii="Arial" w:cs="Arial" w:eastAsia="Arial" w:hAnsi="Arial"/>
          <w:sz w:val="18"/>
          <w:szCs w:val="18"/>
          <w:color w:val="auto"/>
        </w:rPr>
        <w:t>Continuously monitors more than 1,000 source lists and searches a broad range of individual watchlists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 sanctions sources.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Adjacent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also offer adjacent products that complement our pre-onboarding and post-onboarding products and solutions:</w:t>
      </w:r>
    </w:p>
    <w:p>
      <w:pPr>
        <w:spacing w:after="0" w:line="171" w:lineRule="exact"/>
        <w:rPr>
          <w:sz w:val="20"/>
          <w:szCs w:val="20"/>
          <w:color w:val="auto"/>
        </w:rPr>
      </w:pPr>
    </w:p>
    <w:p>
      <w:pPr>
        <w:ind w:left="1020" w:right="1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Fleet / Vehicle compliance: </w:t>
      </w:r>
      <w:r>
        <w:rPr>
          <w:rFonts w:ascii="Arial" w:cs="Arial" w:eastAsia="Arial" w:hAnsi="Arial"/>
          <w:sz w:val="18"/>
          <w:szCs w:val="18"/>
          <w:color w:val="auto"/>
        </w:rPr>
        <w:t>Comprehensive solutions for fleet managers to support compliance with various state and federal requirements,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licenses, titles, registrations, and gas taxes.</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Hiring tax credits and incentives: </w:t>
      </w:r>
      <w:r>
        <w:rPr>
          <w:rFonts w:ascii="Arial" w:cs="Arial" w:eastAsia="Arial" w:hAnsi="Arial"/>
          <w:sz w:val="18"/>
          <w:szCs w:val="18"/>
          <w:color w:val="auto"/>
        </w:rPr>
        <w:t>Identifies and processes U.S. employment tax credits and economic incentive programs,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Work Opportunity Tax Credit (“WOTC”) program and other federal, state, and local incentives. Uses data collected from applicants during their background screen to increase quality and efficiency.</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Resident / Tenant screening: </w:t>
      </w:r>
      <w:r>
        <w:rPr>
          <w:rFonts w:ascii="Arial" w:cs="Arial" w:eastAsia="Arial" w:hAnsi="Arial"/>
          <w:sz w:val="17"/>
          <w:szCs w:val="17"/>
          <w:color w:val="auto"/>
        </w:rPr>
        <w:t>Enables property managers, landlords, owners, and leasing agents to screen prospective tenants.</w:t>
      </w:r>
    </w:p>
    <w:p>
      <w:pPr>
        <w:spacing w:after="0" w:line="128" w:lineRule="exact"/>
        <w:rPr>
          <w:rFonts w:ascii="Arial" w:cs="Arial" w:eastAsia="Arial" w:hAnsi="Arial"/>
          <w:sz w:val="17"/>
          <w:szCs w:val="17"/>
          <w:color w:val="auto"/>
        </w:rPr>
      </w:pPr>
    </w:p>
    <w:p>
      <w:pPr>
        <w:ind w:left="1020" w:right="660" w:hanging="503"/>
        <w:spacing w:after="0" w:line="34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Investigative research: </w:t>
      </w:r>
      <w:r>
        <w:rPr>
          <w:rFonts w:ascii="Arial" w:cs="Arial" w:eastAsia="Arial" w:hAnsi="Arial"/>
          <w:sz w:val="16"/>
          <w:szCs w:val="16"/>
          <w:color w:val="auto"/>
        </w:rPr>
        <w:t>Provides in-depth investigative reports, similar to our Executive Screening products, used in performing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diligence of alternative investment managers and senior executives before a major investment commitment or M&amp;A transaction.</w:t>
      </w:r>
    </w:p>
    <w:p>
      <w:pPr>
        <w:spacing w:after="0" w:line="70"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Our suite of products is available individually or through packaged solutions configured and tailored according to our customers’ needs. For example, through our RoadReady solution, we provide comprehensive driver and fleet solutions in compliance and asset management. Our driver compliance products include pre-onboarding background checks, MVRs, drug tests, driver files, and post-onboarding monitoring. Our asset management products related to vehicle compliance include title management, registration, fuel and gas tax, permits, transponder management, and ongoing data analytics. All these products that comprise our RoadReady solution can be purchased individually or as a package.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 Through Insight Advantage</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the products described above, we provide customers with actionable, data-driven analytics and insights that help inform decisions related to human capital more generally, as well as optimize their screening programs. We deliver these insights and analytics through Insight Advantage. This powerful and dynamic tool enables customers to analyze their performance and benchmark it against industry data, such as hiring volumes by geography, as well as evaluate their screening program against industry best practices. Our customers can also identify the scope of the pool of qualified applicants in a specified geography, which informs their decision as to whether to expand operations in such geography. In addition, our customers can dynamically adjust the stringency of their screening criteria to view and assess the expected impact on hire rates, turnaround times, and screening costs. Insight Advantage’s dashboard reports and real-time queries help customers quickly identify opportunities to remedy problems before they impact their screening and onboarding process. We believe our ability to provide these data-driven insights, enabled by our sophisticated and differentiated technology, sets us apart from our competitors.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Differentiated Technology</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Background screening involves complex workflows, disparate internal and external data sources, and numerous integrations with third-party software providers. We believe our differentiated technology provides us with a strong competitive advantage. Our front-end technology, including our powerful UI/UX design, creates a superior applicant and Enterprise customer experience, leveraging AI and machine learning to optimize workflows and minimize applicant data capture errors and missing information. Our back-end technology and processing engine seamlessly integrate interactions with customer HCM platforms and other software, government, and third-party data sources, as well as internal Operations and Customer Care teams. We have been, and will continue to be, pioneers in using automation and intelligent routing technologies to optimize turnaround times, quality, and touchless end-to-end screening. Our compliance rules engine governs all aspects of our technology and is designed to meet ever-changing global regulatory and compliance requirements.</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customers and their applicants access our technology through intuitive, easy-to-use user interfaces – Profile Advantage, Enterprise Advantage, and Insight Advantage.</w:t>
      </w:r>
    </w:p>
    <w:p>
      <w:pPr>
        <w:spacing w:after="0" w:line="116" w:lineRule="exact"/>
        <w:rPr>
          <w:sz w:val="20"/>
          <w:szCs w:val="20"/>
          <w:color w:val="auto"/>
        </w:rPr>
      </w:pPr>
    </w:p>
    <w:p>
      <w:pPr>
        <w:ind w:left="1020" w:right="80" w:hanging="503"/>
        <w:spacing w:after="0" w:line="28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Profile Advantage: </w:t>
      </w:r>
      <w:r>
        <w:rPr>
          <w:rFonts w:ascii="Arial" w:cs="Arial" w:eastAsia="Arial" w:hAnsi="Arial"/>
          <w:sz w:val="16"/>
          <w:szCs w:val="16"/>
          <w:color w:val="auto"/>
        </w:rPr>
        <w:t>Our applicant-facing technology available in 19 languages, offers intuitive design with chatbots, digital camera-enabled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 uploads, and ID verification for a streamlined applicant experience. Profile Advantage provides a modern, easy-to-use experience, which is critical. It is often the first and one of the most important early interactions between an applicant and our customers. Profile Advantage can be accessed through a computer, tablet, or mobile device and is built for Web Content Accessibility Guidelines (“WCAG”)</w:t>
      </w:r>
    </w:p>
    <w:p>
      <w:pPr>
        <w:spacing w:after="0" w:line="1" w:lineRule="exact"/>
        <w:rPr>
          <w:rFonts w:ascii="Arial" w:cs="Arial" w:eastAsia="Arial" w:hAnsi="Arial"/>
          <w:sz w:val="16"/>
          <w:szCs w:val="16"/>
          <w:color w:val="auto"/>
        </w:rPr>
      </w:pPr>
    </w:p>
    <w:p>
      <w:pPr>
        <w:ind w:left="1020"/>
        <w:spacing w:after="0" w:line="253" w:lineRule="auto"/>
        <w:rPr>
          <w:rFonts w:ascii="Arial" w:cs="Arial" w:eastAsia="Arial" w:hAnsi="Arial"/>
          <w:sz w:val="16"/>
          <w:szCs w:val="16"/>
          <w:color w:val="auto"/>
        </w:rPr>
      </w:pPr>
      <w:r>
        <w:rPr>
          <w:rFonts w:ascii="Arial" w:cs="Arial" w:eastAsia="Arial" w:hAnsi="Arial"/>
          <w:sz w:val="18"/>
          <w:szCs w:val="18"/>
          <w:color w:val="auto"/>
        </w:rPr>
        <w:t>2.1 to be easily accessed by people with disabilities. We believe that applicants view this experience as an important reflection of the customer. As such, customers can extend their branding to Profile Advantage to help improve applicant engagement. With its embedded AI, machine learning, and powerful features such as auto-fill, Profile Advantage drives significant time savings for both applicants and customers and enables fast time-to-hire.</w:t>
      </w:r>
    </w:p>
    <w:p>
      <w:pPr>
        <w:spacing w:after="0" w:line="84" w:lineRule="exact"/>
        <w:rPr>
          <w:rFonts w:ascii="Arial" w:cs="Arial" w:eastAsia="Arial" w:hAnsi="Arial"/>
          <w:sz w:val="16"/>
          <w:szCs w:val="16"/>
          <w:color w:val="auto"/>
        </w:rPr>
      </w:pPr>
    </w:p>
    <w:p>
      <w:pPr>
        <w:ind w:left="1020" w:right="80" w:hanging="503"/>
        <w:spacing w:after="0" w:line="29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Enterprise Advantage: </w:t>
      </w:r>
      <w:r>
        <w:rPr>
          <w:rFonts w:ascii="Arial" w:cs="Arial" w:eastAsia="Arial" w:hAnsi="Arial"/>
          <w:sz w:val="16"/>
          <w:szCs w:val="16"/>
          <w:color w:val="auto"/>
        </w:rPr>
        <w:t>Our core, global end-to-end customer ordering and processing technology, Enterprise Advantage, enables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order any of our products and solutions at scale. It has an average of 99.9% uptime due to its seamless integrations with our customers’ business processes and workflows, third-party enterprise software systems such as HCM and ATS platforms, and third-party data sources. Through Enterprise Advantage, our customers can easily manage their screening programs, either through centralized processes or by region or division, create customized screening packages, manage screening criteria, and administer adverse action letters.</w:t>
      </w:r>
    </w:p>
    <w:p>
      <w:pPr>
        <w:spacing w:after="0" w:line="53" w:lineRule="exact"/>
        <w:rPr>
          <w:rFonts w:ascii="Arial" w:cs="Arial" w:eastAsia="Arial" w:hAnsi="Arial"/>
          <w:sz w:val="16"/>
          <w:szCs w:val="16"/>
          <w:color w:val="auto"/>
        </w:rPr>
      </w:pPr>
    </w:p>
    <w:p>
      <w:pPr>
        <w:ind w:left="1020" w:right="280" w:hanging="503"/>
        <w:spacing w:after="0" w:line="25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Insight Advantage: </w:t>
      </w:r>
      <w:r>
        <w:rPr>
          <w:rFonts w:ascii="Arial" w:cs="Arial" w:eastAsia="Arial" w:hAnsi="Arial"/>
          <w:sz w:val="18"/>
          <w:szCs w:val="18"/>
          <w:color w:val="auto"/>
        </w:rPr>
        <w:t>Our innovative, dynamic analytics tool offers our customers dashboards and automated reporting to assess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screening programs’ underlying drivers and make data-driven decisions. We leverage the customer’s unique applicant and screening data collected through Profile Advantage and Enterprise Advantage to create insights presented in dynamic dashboards. Customers have the ability to customize their dashboards and perform scenario analysis with our intuitive and flexible tools. Customers can also overlay key metrics from industry peer groups to discover and benchmark best-practices so that they may optimize their screening programs to deliver best-in-class performance.</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designed our technology architecture for extensibility. We receive data directly from the applicant through Profile Advantage and from our customers through their third-party HCM and ATS software platforms. This data is supplemented by our proprietary internal databases and external data sources as we perform verifications. Our proprietary internal databases of over 690 million records include our National Criminal Records File, offering access to approximately 625 million criminal records with thousands of new records added daily, and Verified!, our repository of more than 65 million prior education and work history records. These proprietary internal databases allow us to complete our verifications process quickly and cost-effectively, which accelerates the onboarding process for our customers and improves the applicant experience. We also obtain data directly from federal, state, and local government entities, laboratories and collection sites, credit bureaus, and education and work history verification providers, as well as from third-party, independent compilers of public records. Our API integrations, either through our XChange Standard API or our XChange REST API, allow for real-time, bidirectional, and secure data flows between us and our customers’ software platforms and external data sources, creating a seamless and integrated screening process. Our technology interfaces with more than 75 third-party HCM software platforms and more than 935 automated and/or integrated external data providers. In addition to our APIs, we leverage our RPA tools and AI software to deliver results to our customers with high speed and accuracy.</w:t>
      </w:r>
    </w:p>
    <w:p>
      <w:pPr>
        <w:spacing w:after="0" w:line="1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Background screening and verification requirements vary from customer to customer, depending on the size and geographic footprint of the business as well as the industry vertical in which the customer operates. For example, customers in the transportation, logistics, and home delivery industry may have screening requirements relating to transportation regulatory bodies, including the DOT, FMCSA, FAA, and IFTA, that customers in other industries do not require. In addition, the laws and regulations on the use of certain information vary significantly from jurisdiction to jurisdiction and are constantly evolving. We have designed our technology to be highly configurable, allowing us to provide our customers with tailored solutions that meet their specific needs. Our powerful compliance rules engine is continually updated to reflect the changing legal and regulatory landscape, ensuring that the use by our customers of data and information we provide them with is compliant with complex and changing data usage guidelines and regulatory requirements.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right="160"/>
        <w:spacing w:after="0" w:line="259" w:lineRule="auto"/>
        <w:rPr>
          <w:sz w:val="20"/>
          <w:szCs w:val="20"/>
          <w:color w:val="auto"/>
        </w:rPr>
      </w:pPr>
      <w:r>
        <w:rPr>
          <w:rFonts w:ascii="Arial" w:cs="Arial" w:eastAsia="Arial" w:hAnsi="Arial"/>
          <w:sz w:val="18"/>
          <w:szCs w:val="18"/>
          <w:color w:val="auto"/>
        </w:rPr>
        <w:t>Our flexible, scalable, and highly integrated technology, powered by a differentiated compliance rules engine and enhanced by our investments in automation and AI, has driven significant operational efficiencies and enabled us to achieve one of the highest customer satisfaction ratings among our competitors for quality, accuracy, and turnaround times. We will continue to innovate using agile software development methodologies, focusing on user-centered design, to bring leading products and solutions to the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We believe we have a highly differentiated, verticalized sales, customer success, and marketing approach that sets us apart from our competitors and positions us to capture additional market share. Our Sales team is vertically aligned and organized into groups that target new accounts and additional opportunities within existing accounts. We train and educate our sales professionals to ensure they are highly knowledgeable in the industry-specific screening requirements and can deliver value-added, industry-targeted solutions to existing and new customers.</w:t>
      </w:r>
    </w:p>
    <w:p>
      <w:pPr>
        <w:spacing w:after="0" w:line="10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Sales team is augmented by Customer Success professionals, who are similarly organized to deliver solutions specific to existing customers within each industry vertical. Our Customer Success team members are located across geographies to foster deep relationships with customers and build local expertise in compliance and screening standards. Our Customer Success teams maintain ongoing interactions with key customer users and program owners and hold regular formal customer account reviews to ensure high performance, satisfaction, and retention. They also organize our customer advisory boards and events to uncover product insights, drive product innovation, and share screening and compliance best practices with our customers. This further drives our industry-leading NPS and high customer retention rates and helps us identify and execute additional opportunities with existing customers.</w:t>
      </w:r>
    </w:p>
    <w:p>
      <w:pPr>
        <w:spacing w:after="0" w:line="11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We believe the extensive coordination between our Sales, Customer Success, and Product teams is a driving force behind our continued expansion. These teams also enhance our value proposition by working closely with our Compliance, Marketing, Solutions Engineering, and Business Development teams.</w:t>
      </w:r>
    </w:p>
    <w:p>
      <w:pPr>
        <w:spacing w:after="0" w:line="7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Our relationships with HCM software providers are an important aspect of our Sales and Marketing strategy. Our technology is tightly integrated with major HCM and ATS platforms, which offers greater speed and efficiency and enhances the value of our solutions to our customers. Maintaining a strong relationship with these third-party software providers is critical in generating new sales leads and providing market validation to our offerings.</w:t>
      </w:r>
    </w:p>
    <w:p>
      <w:pPr>
        <w:spacing w:after="0" w:line="9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also market our products and solutions through indirect channels, including traditional and online marketing activities designed to provide sales leads, increase market awareness, and enhance the perception of our brand and offerings. We leverage referral partners, channel partnerships, digital advertising, search engine optimization, webinars, social media, thought leadership, and various event-based marketing. We participate in industry conferences and are published frequently in the industry press. Additionally, our annual customer conference, Collaborate, has historically been attended by over 300 participants, and has featured presentations by our customers on a wide range of industry topics. Collaborate facilitates discussions and serves as a great resource on industry best practices. We believe we are able to capitalize on the network effects as we build goodwill through customer reviews and testimonials, word-of-mouth referrals, and references from other industry participants.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serve a diversified customer base with approximately 33,000 customers globally in 2022, including six of the top ten largest private employers in the United States, over 50% of the Fortune 100, and approximately one-third of the Fortune 500. Our customer base ranges from small businesses with fewer than 100 employees to multinational corporations with workforces numbering in the hundreds of thousands. We have executed a concerted go-to-market strategy to target customers with large, complex workforces and have built a leading customer portfolio in this area as a result. While our customers operate in diverse industries across almost all facets of the global economy, we have strength in sectors with favorable secular trends such as e-commerce, retail, transportation, warehousing, healthcare, and staffing. We have maintained a gross retention rate of approximately 97% in 2022 and achieved an average tenure of 13 years amongst our top 100 customers.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2022, we had one customer that accounted for approximately 10% of our revenues. No other customer accounted for 10% or more of our total revenues for such period. As of December 31, 2022, we performed screens in over 200 countries and territories, with a major presence in the United States, the United Kingdom, and India. Approximately 85% of our total revenues for the year ended December 31, 2022 were derived from our Americas business.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global background screening and verifications industry is fragmented and competitive. There are many local, single-country companies but few multinational companies that operate with scale and reach. Our competitors vary based on customer size, industry vertical, geography, and product focus.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compete with large players with broad capabilities and product suites, vertical-focused specialist firms that target customers operating in select industries, mid-size players and competitors that serve small and medium-sized business (“SMB”) customers. Some competitors are aligned to a specific product in certain pre-onboarding product lines, such as drug / health screening and executive screening. In our adjacent products market, we compete with certain companies specializing in fleet / vehicle compliance, hiring tax credits and incentives, resident / tenant screening, employment eligibility, and investigative research.</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market for our products and solutions is subject to constant change, sources of competition are numerous, and new competitors frequently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affecting our markets include:</w:t>
      </w:r>
    </w:p>
    <w:p>
      <w:pPr>
        <w:spacing w:after="0" w:line="171"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accuracy of screening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turnaround time of screening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package, and solution pricing;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applicant and enterprise user experience, ease of use, level of functionality, scalability, and efficiency;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breadth and depth of screening solutions;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geographical reach;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relationship history with the key decision-makers;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and regulation;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vertical support that meets the needs of a customers’ specific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technical and systems performance, including the ability to integrate with customer and third-party systems and applications;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cybersecurity, privacy, and data protection.</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we compete favorably based on these factors. However, our ability to remain competitive will depend on our continued ability to perform in the areas listed above. For additional information, see “Risk Factors—Risks Related to Our Business—We operate in a penetrated and competitive market.”</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Government Regulations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Due to the nature of our business, we are subject to significant and extensive U.S. federal, state, local, and foreign laws and regulations. These laws and regulations include national, international, state, and local cybersecurity, privacy and data protection, health, taxation, anti-corruption and anti-money laundering, antitrust / competition, enterprise credit reporting agencies and environmental, health and safety protection. Taking commercially reasonable steps to comply with such laws and regulations is an important priority for us.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Regulators worldwide have adopted or proposed national, international, state, and local laws that regulate consumer protection, cybersecurity, privacy, data protection, and/or business credit reporting. These laws impact, among other things, the collection, use, disclosure, sale, transfer, receipt, storage, transmission, destruction, and other processing of personal data (collectively, “Processing”). The principal laws and regulations that impact our business include, but are not limited to:</w:t>
      </w:r>
    </w:p>
    <w:p>
      <w:pPr>
        <w:spacing w:after="0" w:line="133"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FCRA, which regulates the use of consumer report information and governs the accuracy, fairness, and privacy of such information;</w:t>
      </w:r>
    </w:p>
    <w:p>
      <w:pPr>
        <w:spacing w:after="0" w:line="128" w:lineRule="exact"/>
        <w:rPr>
          <w:rFonts w:ascii="Arial" w:cs="Arial" w:eastAsia="Arial" w:hAnsi="Arial"/>
          <w:sz w:val="17"/>
          <w:szCs w:val="17"/>
          <w:color w:val="auto"/>
        </w:rPr>
      </w:pPr>
    </w:p>
    <w:p>
      <w:pPr>
        <w:ind w:left="1020" w:right="3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Dodd-Frank Wall Street Reform and Consumer Protection Act (“Dodd-Frank Act”), which prohibits unfair, deceptive, or abusive acts or practices with respect to consumer financial services practices;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Gramm-Leach-Bliley Act, which regulates the use of non-public personal financial information held by financial institutions;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which restricts the public disclosure of patient information and applies indirectly to companies that provide services to healthcare-related businesses;</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Drivers’ Privacy Protection Act, which restricts the public disclosure, use, and resale of personal data contained in state department of motor vehicle records;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U.K. Digital Identity &amp; Attributes Trust Framework, which provides for a set of rules and standards for digital identity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U.K. and EU GDPR;</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Various U.S. federal, state, and local data protection and consumer reporting agency laws at the state level, state data breach laws, and state privacy laws, such as the CCPA and the Illinois Biometric Information Privacy Act;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International data protection, data localization, and state secret laws impacting our data suppliers, such as the EU GDPR, or us;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Oversight by regulatory authorities for engaging in consumer reporting, including the FTC and CFPB in the United States.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laws and regulations, which are generally designed to protect individuals’ privacy and prevent the misuse of personal data or unauthorized access to data, are complex, subject to ongoing changes in regulations and amendments, and inconsistent between jurisdictions. We proactively manage our compliance with laws and regulations through the use of a number of resources, including our in-house legal and compliance department, which consists of more than 35 legal and compliance professionals, external law firms, trade associations, and local suppliers and partners to understand the legal and regulatory requirements and practices that may impact the delivery of our products and solutions as well as our customers’ use of the same in light of employment, privacy and other laws and regulations. Our General Counsel leads our legal department with a Chief Global Compliance Officer reporting to the General Counsel. The compliance team consists of four regional compliance officers globally, with local compliance officers reporting through that hierarchy. Through the legal and compliance functions, we train our team members with respect to compliance with our policies and procedures, monitor changes to relevant material laws and regulations, and meet with regulators and legislators, as necessary and appropriate, to establish transparency of our operations and build trust.</w:t>
      </w:r>
    </w:p>
    <w:p>
      <w:pPr>
        <w:spacing w:after="0" w:line="13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Public concern is high with respect to the processing of personal data, including Social Security numbers, financial information, and medical information. In the future, additional legislative or regulatory efforts in the United States and internationally could further regulate the processing of personal data that we process in the conduct of our business. For additional information, see the section titled “Risk Factors—Risks Related to Our Business—If regulatory regimes continue to heighten their scrutiny over personal data and data security, it could lead to increased restrictions, loss of revenue opportunity, greater costs of compliance, and lost efficiency” and “— Any damage to our reputation or our brand could adversely affect our business, financial condition, and results of operations.”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success depends, in part, on developing, maintaining, protecting and enforcing our proprietary technology and intellectual property rights. We own and control various intellectual property rights, such as confidential information, trade secrets, trademarks, service marks, trade names, domain names, copyrights, patents, and U.S. and foreign registrations and applications in the foregoing. We are licensed to use certain technology and other intellectual property rights owned and controlled by others, and certain third parties are licensed to use certain technology and other intellectual property rights owned and controlled by us.</w:t>
      </w:r>
    </w:p>
    <w:p>
      <w:pPr>
        <w:spacing w:after="0" w:line="13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Obtaining, maintaining, protecting and enforcing our intellectual property and proprietary rights is an important aspect of our business. We rely on a combination of statutory (e.g., copyright, trademark, trade secret, patent), contract, and liability safeguards (e.g., confidentiality and invention assignment agreements with our employees and contractors and nondisclosure agreements with our vendors) to protect our intellectual property in the United States, and other jurisdictions. We currently have patent and trademark applications pending in several jurisdictions. Filing these applications does not guarantee patents will be issued or that our trademark applications will proceed to registration without challenge, but may provide us with legal defense and allow us to pursue the protection of our intellectual property to the extent we believe it would be beneficial and cost-effective.</w:t>
      </w:r>
    </w:p>
    <w:p>
      <w:pPr>
        <w:spacing w:after="0" w:line="110"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While we believe that our intellectual property, in the aggregate, is generally important to our business and operations, we do not regard any aspect of our business as being dependent upon any single patent, group of patents or other intellectual property right. However, the First Advantage name and related trade names, marks, and logos are of material importance to our business, and their loss could have a significant negative impact on us.</w:t>
      </w:r>
    </w:p>
    <w:p>
      <w:pPr>
        <w:spacing w:after="0" w:line="95" w:lineRule="exact"/>
        <w:rPr>
          <w:sz w:val="20"/>
          <w:szCs w:val="20"/>
          <w:color w:val="auto"/>
        </w:rPr>
      </w:pPr>
    </w:p>
    <w:p>
      <w:pPr>
        <w:ind w:right="1100"/>
        <w:spacing w:after="0" w:line="438" w:lineRule="auto"/>
        <w:rPr>
          <w:sz w:val="20"/>
          <w:szCs w:val="20"/>
          <w:color w:val="auto"/>
        </w:rPr>
      </w:pPr>
      <w:r>
        <w:rPr>
          <w:rFonts w:ascii="Arial" w:cs="Arial" w:eastAsia="Arial" w:hAnsi="Arial"/>
          <w:sz w:val="18"/>
          <w:szCs w:val="18"/>
          <w:color w:val="auto"/>
        </w:rPr>
        <w:t xml:space="preserve">See the section titled “Risk Factors” for a more comprehensive description of risks related to our intellectual property and proprietary rights. </w:t>
      </w:r>
      <w:r>
        <w:rPr>
          <w:rFonts w:ascii="Arial" w:cs="Arial" w:eastAsia="Arial" w:hAnsi="Arial"/>
          <w:sz w:val="18"/>
          <w:szCs w:val="18"/>
          <w:b w:val="1"/>
          <w:bCs w:val="1"/>
          <w:color w:val="auto"/>
        </w:rPr>
        <w:t>Seasonality</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holiday season and lowest at the beginning of the new year,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In addition, apartment rental activity and associated screening activity typically decline in the fourth quarter heading into the holiday season.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December 31, 2022, we had approximately 5,800 employees in 19 countries. Our workforce also engages third-party contractors as an ongoing part of our business where appropriate. None of our employees are subject to a collective bargaining agreement, and no work stoppages have been experienced. We consider our relationship with our employees to be good.</w:t>
      </w:r>
    </w:p>
    <w:p>
      <w:pPr>
        <w:spacing w:after="0" w:line="13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our continued response to the COVID-19 pandemic, we implemented operational changes with the primary objective of safety for our employees, as well as the communities in which we operate, and to comply with government regulations. We have adopted a distributed workforce model, including a long-term, full-time work from home arrangement for some employees, while implementing additional safety measures for employees and contractors continuing essential and critical on-site work.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Code of Conduct and Ethics</w:t>
      </w:r>
    </w:p>
    <w:p>
      <w:pPr>
        <w:spacing w:after="0" w:line="171"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The quality of our products and operations affects our reputation, productivity, profitability, and market position. Our objective is to create a work environment that allows and encourages all employees to perform their duties in an efficient, effective manner. We have established a Global Code of Conduct and Ethics (“Code”). Compliance with the provisions of the Code is a basic condition of employment at First Advantage.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Employment</w:t>
      </w:r>
    </w:p>
    <w:p>
      <w:pPr>
        <w:spacing w:after="0" w:line="17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We strive for all of our employees to work in an environment where we are treated with dignity and respect. We are an equal opportunity employment employer and are committed to providing a workplace that is free of discrimination of all types from abusive, offensive, or harassing behavior. We are committed to creating such an environment because it brings out the full potential in each of our employees, which, in turn, contributes directly to our business success.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committed to enhancing diversity among our workforce and demonstrating that commitment to our employees, customers, and community. We promote diversity by developing policies, programs, and procedures that foster a work environment where differences are respected and all employees are treated fairly.</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Diversity </w:t>
      </w:r>
      <w:r>
        <w:rPr>
          <w:rFonts w:ascii="Arial" w:cs="Arial" w:eastAsia="Arial" w:hAnsi="Arial"/>
          <w:sz w:val="18"/>
          <w:szCs w:val="18"/>
          <w:color w:val="auto"/>
        </w:rPr>
        <w:t>refers to human differences that exist in the workplace, including those based on culture, ethnicity, gender, and age. We believe that promoting</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plays an important role in attracting the most expansive pool of qualified applicants, fostering greater innovation and creativity, and enhancing our communication and relationships with all of our stakeholders.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goal is to attract, develop, and retain the best and brightest from all walks of life and backgrounds. This requires an organization to have a culture of inclusion where all individuals feel respected, are treated fairly, and are provided work-life balance and an opportunity to excel in their chosen careers. We leverage our diverse and inclusive workforce to achieve superior business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Diversity</w:t>
      </w:r>
    </w:p>
    <w:p>
      <w:pPr>
        <w:spacing w:after="0" w:line="17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are committed to developing mutually beneficial relationships with small, minority-owned, women-owned, disadvantaged, veteran-owned, HUBZONE, LGBT, and local business enterprises. Our supplier diversity policy reflects our desire to create an opportunity for suppliers to market their products to the Company. When all business considerations are determined to be equal among competitive suppliers, the Company will award contracts to such businesses.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First Advantage Corporation, a Delaware corporation, was incorporated in November 2019. We completed our initial public offering (“IPO”) of our common stock in June 2021.</w:t>
      </w:r>
    </w:p>
    <w:p>
      <w:pPr>
        <w:spacing w:after="0" w:line="1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Annual Report.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and all of the information contained in this Annual Report. If any of the following risks occur, our business, financial condition, and results of operations could be materially and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Macroeconomic factors beyond our control, including the state of the economy, could impact demand and the fulfillment costs for our products and solutions.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Macroeconomic developments such as the global or regional economic effects resulting from increasing inflation rates and related economic curtailment initiatives, foreign exchange rate fluctuations (particularly the strengthening of the U.S. dollar relative to the British pound and Indian Rupee), the COVID-19 pandemic, the current Russia-Ukraine conflict,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international, regional, or domestic political unrest and the related potential impact on global stability, terrorist attacks, and the potential for other hostilities in various parts of the world, public health crises such as the COVID-19 pandemic, and natural disasters continue to contribute to a climate of economic and political uncertainty that could adversely affect our results of operations and financial condition, including our revenue growth and profitability.</w:t>
      </w:r>
    </w:p>
    <w:p>
      <w:pPr>
        <w:spacing w:after="0" w:line="13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Global credit and capital markets have experienced significant volatility and disruption due to the above factors. A substantial majority of our revenues are derived from pre-onboarding screening products, which is heavily influenced by hiring volumes. The businesses of some of our largest customers and their decision to hire depend in part on favorable macroeconomic conditions, including consumer spending, the general availability of credit, the level and volatility of interest rates, and inflation levels. To the extent these macroeconomic factors are at suboptimal levels, our existing and potential customers could delay or defer onboarding new or replacement workers, lay off existing workers to reduce headcount, or seek to decrease spending on their screening programs. As a result, our products could face reduced demand and our business, results of operations, and financial condition could slow or decline. Similarly, demand for our tenant screening products is subject to trends in real estate rental markets, which may be affected by macroeconomic factors beyond our control, including housing markets, stock market volatility, recession, job losses and unemployment levels, debt levels, and uncertainty about the future.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7" w:name="page18"/>
    <w:bookmarkEnd w:id="17"/>
    <w:p>
      <w:pPr>
        <w:ind w:right="160"/>
        <w:spacing w:after="0" w:line="277" w:lineRule="auto"/>
        <w:rPr>
          <w:sz w:val="20"/>
          <w:szCs w:val="20"/>
          <w:color w:val="auto"/>
        </w:rPr>
      </w:pPr>
      <w:r>
        <w:rPr>
          <w:rFonts w:ascii="Arial" w:cs="Arial" w:eastAsia="Arial" w:hAnsi="Arial"/>
          <w:sz w:val="18"/>
          <w:szCs w:val="18"/>
          <w:b w:val="1"/>
          <w:bCs w:val="1"/>
          <w:i w:val="1"/>
          <w:iCs w:val="1"/>
          <w:color w:val="auto"/>
        </w:rPr>
        <w:t>The impact of COVID-19 and related risks have affected and may continue to materially affect our business, results of operations, financial position, and/or liquidity.</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COVID-19 pandemic and the ensuing actions that various governments have taken in response have created significant worldwide uncertainty, volatility, and economic disruption. The COVID-19 pandemic has impacted certain aspects of our business. The extent to which it will continue to do so will depend on a number of factors, many of which are highly uncertain, evolving, and beyond our control. These factors include, but are not limited to: (i) the duration and scope of the pandemic, including resurgences in various regions in the U.S. and globally and other future resurgences; (ii) governmental, business, and individual actions that have been and will continue to be taken in response to the pandemic, including travel restrictions, quarantines, social distancing, work-from-home and shelter-in-place orders, regulatory oversight and developments, and government shutdowns; (iii) the impact on the U.S. and global economies and the timing and rate of economic recovery, including the extent and duration of such impact on hiring and jobs; and (iv) impacts on the operations of our customers’ industries and individual businesses.</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the COVID-19 pandemic continues and any associated protective or preventative measures and related legislation continue to be put in place or modified and adjusted in the United States and around the world, we may experience disruptions to our business. Risks presented by the ongoing effects of COVID-19 include the following:</w:t>
      </w:r>
    </w:p>
    <w:p>
      <w:pPr>
        <w:spacing w:after="0" w:line="130" w:lineRule="exact"/>
        <w:rPr>
          <w:sz w:val="20"/>
          <w:szCs w:val="20"/>
          <w:color w:val="auto"/>
        </w:rPr>
      </w:pPr>
    </w:p>
    <w:p>
      <w:pPr>
        <w:ind w:left="1020" w:hanging="503"/>
        <w:spacing w:after="0" w:line="287"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Operational Disruptions. </w:t>
      </w:r>
      <w:r>
        <w:rPr>
          <w:rFonts w:ascii="Arial" w:cs="Arial" w:eastAsia="Arial" w:hAnsi="Arial"/>
          <w:sz w:val="16"/>
          <w:szCs w:val="16"/>
          <w:color w:val="auto"/>
        </w:rPr>
        <w:t>Due to the closure of courthouses and public record information sources at the onset of the COVID-19 outbreak,</w:t>
      </w:r>
      <w:r>
        <w:rPr>
          <w:rFonts w:ascii="Arial" w:cs="Arial" w:eastAsia="Arial" w:hAnsi="Arial"/>
          <w:sz w:val="16"/>
          <w:szCs w:val="16"/>
          <w:i w:val="1"/>
          <w:iCs w:val="1"/>
          <w:color w:val="auto"/>
        </w:rPr>
        <w:t xml:space="preserve"> </w:t>
      </w:r>
      <w:r>
        <w:rPr>
          <w:rFonts w:ascii="Arial" w:cs="Arial" w:eastAsia="Arial" w:hAnsi="Arial"/>
          <w:sz w:val="16"/>
          <w:szCs w:val="16"/>
          <w:color w:val="auto"/>
        </w:rPr>
        <w:t>many data sources were not available or workers were unable to access and update them. In some instances, where public record information was not digitized or available through electronic means, certain information and reports were inaccessible as they had to be retrieved in person. In certain courthouses around the country and other instances where public record information was only available through manual retrieval, and those data sources were closed due to COVID-19 measures, information could not be retrieved or was delayed in being retrieved in order to fulfill background screening orders. This resulted in longer turnaround times, and depending on our customers’ preferences, delayed or required modification of customer deliverables. Courthouses and public record information sources may continue to be closed, or close again, due to resurgences of COVID-19, such as the resurgence as a result of the Delta, Omicron, and other variants, and may continue to affect our access to data sources and interfere with customer deliverables. In addition, while our experience with remote work thus far has not produced significant obstacles, our operations could be disrupted if key members of our senior management or a significant percentage of our workforce or the workforce of our vendors are unable to continue to work because of illness or otherwise.</w:t>
      </w:r>
    </w:p>
    <w:p>
      <w:pPr>
        <w:spacing w:after="0" w:line="63" w:lineRule="exact"/>
        <w:rPr>
          <w:rFonts w:ascii="Arial" w:cs="Arial" w:eastAsia="Arial" w:hAnsi="Arial"/>
          <w:sz w:val="16"/>
          <w:szCs w:val="16"/>
          <w:color w:val="auto"/>
        </w:rPr>
      </w:pPr>
    </w:p>
    <w:p>
      <w:pPr>
        <w:ind w:left="1020" w:right="40" w:hanging="503"/>
        <w:spacing w:after="0" w:line="269"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Certain of our existing customers at the onset of the COVID-19 outbreak reduced hiring, implemented hiring freezes, and/or</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their background screening programs due to declining business conditions, which temporarily decreased demand and spending on our products. Our customers may continue to take such actions. Certain sectors such as travel, live entertainment, dining, and non-essential retail, have been especially impacted by the pandemic. While the decrease in demand from customers in such sectors has been offset by increased demand from our customers in other sectors such as e-commerce, essential retail, and transportation and home delivery, such other sectors may experience downturns in the future. In addition, demand for our products and solutions from our international customers has generally been more impacted by the ongoing effects of the COVID-19 pandemic than demand from our U.S. customers. Furthermore, because many of our existing and potential customers are also operating from a similar remote environment, we may face difficulties maintaining relationships with our current customers and winning new customers in the same manner as we would have operated before the outbreak of COVID-19.</w:t>
      </w:r>
    </w:p>
    <w:p>
      <w:pPr>
        <w:spacing w:after="0" w:line="77" w:lineRule="exact"/>
        <w:rPr>
          <w:rFonts w:ascii="Arial" w:cs="Arial" w:eastAsia="Arial" w:hAnsi="Arial"/>
          <w:sz w:val="17"/>
          <w:szCs w:val="17"/>
          <w:color w:val="auto"/>
        </w:rPr>
      </w:pPr>
    </w:p>
    <w:p>
      <w:pPr>
        <w:ind w:left="1020" w:right="80" w:hanging="503"/>
        <w:spacing w:after="0" w:line="28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Increased Expenses. </w:t>
      </w:r>
      <w:r>
        <w:rPr>
          <w:rFonts w:ascii="Arial" w:cs="Arial" w:eastAsia="Arial" w:hAnsi="Arial"/>
          <w:sz w:val="17"/>
          <w:szCs w:val="17"/>
          <w:color w:val="auto"/>
        </w:rPr>
        <w:t>We have incurred incremental costs in connection with the COVID-19 pandemic, including costs related to furloughs</w:t>
      </w:r>
      <w:r>
        <w:rPr>
          <w:rFonts w:ascii="Arial" w:cs="Arial" w:eastAsia="Arial" w:hAnsi="Arial"/>
          <w:sz w:val="17"/>
          <w:szCs w:val="17"/>
          <w:i w:val="1"/>
          <w:iCs w:val="1"/>
          <w:color w:val="auto"/>
        </w:rPr>
        <w:t xml:space="preserve"> </w:t>
      </w:r>
      <w:r>
        <w:rPr>
          <w:rFonts w:ascii="Arial" w:cs="Arial" w:eastAsia="Arial" w:hAnsi="Arial"/>
          <w:sz w:val="17"/>
          <w:szCs w:val="17"/>
          <w:color w:val="auto"/>
        </w:rPr>
        <w:t>and severance, increased overtime, and personal protective equipment. Additionally, certain of our expenses, such as office space leases and software, are not variable with revenues and will continue regardless of the level of our activity or employee base.</w:t>
      </w:r>
    </w:p>
    <w:p>
      <w:pPr>
        <w:spacing w:after="0" w:line="57" w:lineRule="exact"/>
        <w:rPr>
          <w:rFonts w:ascii="Arial" w:cs="Arial" w:eastAsia="Arial" w:hAnsi="Arial"/>
          <w:sz w:val="17"/>
          <w:szCs w:val="17"/>
          <w:color w:val="auto"/>
        </w:rPr>
      </w:pPr>
    </w:p>
    <w:p>
      <w:pPr>
        <w:ind w:left="1020" w:right="480" w:hanging="503"/>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Heightened Operational Risks. </w:t>
      </w:r>
      <w:r>
        <w:rPr>
          <w:rFonts w:ascii="Arial" w:cs="Arial" w:eastAsia="Arial" w:hAnsi="Arial"/>
          <w:sz w:val="18"/>
          <w:szCs w:val="18"/>
          <w:color w:val="auto"/>
        </w:rPr>
        <w:t>Because our remote working arrangements are necessarily more reliant on our employees’ internet and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access and capabilities, if our employees experience difficulties with technology and data and/or network security (including as a result of cyber-attacks), our operations could be disrupted and our ability to conduct our business could be negatively impacted.</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These and other disruptions related to COVID-19 could continue to materially and adversely affect our business, financial condition, results of operations, and cash flows. In addition, COVID-19 may exacerbate the other risks described below, including being restricted in the use of certain data for screening purposes or the completion of certain screens, as a result of customer or other external mandates.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operate in a highly regulated industry and are subject to numerous and evolving laws and regulations.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a global provider of technology solutions for screening and verifications, we are subject to numerous and evolving international, federal, state, and local laws and regulations, including, without limitation, in the areas of consumer protection, privacy, and data protection. See “Business—Government Regulations” and “—Continued scrutiny of collection, use, and processing of personal data and data security could lead to increased restrictions, loss of revenue opportunity, greater costs of compliance, and lost efficiency.” We expect that these laws and regulations will continue to evolve, change, and expand and, in most instances, become more stringent and complex with time. Compliance with these laws and regulations requires significant expense and resources, which could increase significantly as these laws and regulations evolve. Further, regulations are often the product of administrative interpretation and judicial construction, which could result in inconsistent implementation across jurisdictions. We must reconcile the many potential differences between the laws and regulations among the various domestic and international jurisdictions that may be involved in the provision of our solutions. A failure to identify, comply, and reconcile the many laws and regulations we are subject to could result in the imposition of penalties and fines, restrictions on our operations, breach of contract or indemnification claims against us, loss of revenues, and could otherwise adversely affect our business, results of operations, and financial condition. Further, we acquired a company in 2013 that was subject to multiple FTC consent decrees that had been imposed on it in the years prior to our acquisition and to which we now remain subject. The consent decrees require us to comply with the FCRA and to maintain a comprehensive information security program to be audited biennially. Under these circumstances, failure to comply with the decrees and/or relevant law or regulations may subject us to increased risk.</w:t>
      </w:r>
    </w:p>
    <w:p>
      <w:pPr>
        <w:spacing w:after="0" w:line="13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Changes in laws, regulations, and the interpretation of such laws and regulations on both the state and federal level could also affect certain of our businesses and result in restrictions on our ability to offer certain products and solutions. For example, several states and smaller local jurisdictions have implemented “fair chance” hiring laws or ordinances that limit or restrict employers from inquiring or using an applicant’s criminal history to make employment decisions. In addition, under the FCRA in the United States, both our customers and we are required to comply with many requirements under the FCRA as well as state-level laws regarding the use and delivery of consumer reports. The enactment of new restrictive legislation and the requirements, restrictions, and limitations imposed by changing interpretations and court decisions on such laws and regulations could prevent our customers from using the full functionality of our products, which may reduce demand for our products and solutions. We could also be required to adapt our products to meet these evolving and complex requirements, such as adding or changing disclosures, authorizations, or forms provided to applicants. In addition, we believe it is critical for us to keep abreast of evolving laws and interpretations in applicable jurisdictions and inform our customers of changes to their ability to use our products and solutions and their and our obligations. These efforts require time, expense, and resources, and in some instances, reliance on third parties such as law firms and trade associations.</w:t>
      </w:r>
    </w:p>
    <w:p>
      <w:pPr>
        <w:spacing w:after="0" w:line="12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Continued scrutiny of collection, use, and processing of personal data and data security could lead to increased restrictions, loss of revenue opportunity, greater costs of compliance, and lost efficiency.</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products and solutions are subject to various complex laws and regulations governing cybersecurity, privacy, and data protection on the federal, state, and local levels, and in foreign jurisdictions. The regulatory framework for privacy issues is rapidly evolving and is likely to remain uncertain and inconsistently enforced for the foreseeable future. Many federal, state, and foreign governmental bodies and agencies have adopted or are considering adopting laws and regulations regarding collecting, processing, handling, maintenance, storage, use, disclosure, sale, and transmission of personal and other sensitive information, including mandatory consumer notification should the unauthorized access of consumer information occur, and further expansion of requirements is possible. It is possible that these restrictions could limit our current or future service offerings, reduce our profitability, or otherwise materially and adversely affect our ability to conduct our business or to do so economically. Further, if our practices or products are perceived to violate applicable laws or regulations, we may be subject to increased scrutiny and public criticism, litigation, investigation, fines, and reputational harm, which could disrupt our business and expose us to liability. Given the nature of our business and the volume data processed in the ordinary course of our operations, it is possible for breaches to occur, whether intentionally from hackers or other third parties, or unintentionally, for example, if we inadvertently send or otherwise make available information to an unauthorized recipient.</w:t>
      </w:r>
    </w:p>
    <w:p>
      <w:pPr>
        <w:spacing w:after="0" w:line="1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United States, we are subject to numerous federal and state laws governing the collection, processing, use, transmission, disclosure, and sale of personal data (which may also be referred to as personal information, personally identifiable information, and/or non-public personal information). For example, in California, the CCPA, provides for enhanced consumer protections for California residents, a private right of action for data breaches of certain personal information and statutory fines and damages for such data breaches or other CCPA violations, as well as a requirement of “reasonable” cybersecurity. In addition, in November 2020, California voters passed the California Privacy Rights and Enforcement Act of 2020, which amends and expands the California Consumer Privacy Act with additional data privacy compliance requirements and establishes a regulatory agency dedicated to enforcing those requirements. Other states also have or are in the process of imposing similar privacy obligations. In addition, laws such as the Biometric Information Privacy Act in Illinois have also restricted the use of biometric information. These and other laws and regulations require us to continuously review our data processing practices and policies, may cause us to incur substantial costs with respect to compliance, and could require us to adapt our products and solutions, which may reduce their utility to our customers.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60"/>
        <w:spacing w:after="0" w:line="291" w:lineRule="auto"/>
        <w:rPr>
          <w:sz w:val="20"/>
          <w:szCs w:val="20"/>
          <w:color w:val="auto"/>
        </w:rPr>
      </w:pPr>
      <w:r>
        <w:rPr>
          <w:rFonts w:ascii="Arial" w:cs="Arial" w:eastAsia="Arial" w:hAnsi="Arial"/>
          <w:sz w:val="16"/>
          <w:szCs w:val="16"/>
          <w:color w:val="auto"/>
        </w:rPr>
        <w:t>Outside of the United States, we are subject to foreign rules and regulations. For example, we are subject to enhanced compliance and operational requirements under the GDPR, which expanded the scope of data protection in the European Union (“EU”) to foreign companies who process the personal data of EU residents, imposed a strict data protection compliance regime with stringent penalties for noncompliance and included new rights for data subjects such as the “portability” of personal data. In particular, under the GDPR, fines of up to 20 million euros, or up to 4% of the annual global revenue of the noncompliant company, whichever is greater, could be imposed for violations of certain of the GDPR’s requirements. If we were found to be in breach of the GDPR, the potential penalties we might face could have a material adverse impact on our business, financial condition, results of operations, and cash flows. Compliance with the GDPR requires time and expense and may require us to make changes to our business operations.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GDPR applies uniformly across the EU, each EU member state is permitted to issue nation-specific data protection legislation, which has created inconsistencies on a country-by-country basis. The decision by the U.K. to leave the EU (“Brexit”) has resulted in a new U.K. data privacy and protection law that essentially tracks the GDPR but is applicable in the U.K. which is no longer a part of the EU. The European Commission has adopted an adequacy decision for the U.K., allowing for transfer of most personal data from the European Economic Area (“EEA”) to the U.K, subject to a “sunset clause,” which limits the duration of adequacy to four years. However, there will likely be increasing scope for divergence in application, interpretation and enforcement of the data protection law as between the U.K. and EEA.</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on July 16, 2020, the European Court of Justice invalidated the EU-U.S. Privacy Shield Framework, a mechanism under which personal data could be transferred from the EEA to U.S. entities that had self-certified under the Privacy Shield Framework. The Court also called into question the Standard Contractual Clauses (“SCCs”), noting adequate safeguards must be met for SCCs to be valid. In December 2022, the European Commission launched the process towards the adoption of an adequacy decision for the EU-U.S. Data Privacy Framework, which will foster safe trans-Atlantic data flows and address the concerns raised by the Court of Justice of the European Union in its Schrems II decision of July 2020. Given that we had self-certified under the Privacy Shield Framework, and have adopted SCCs, we will continue to monitor these developments and review the mechanisms by which we make and/or receive certain personal data transfers to the United States and other jurisdictions to remain in compliance with the current laws and guidance.</w:t>
      </w:r>
    </w:p>
    <w:p>
      <w:pPr>
        <w:spacing w:after="0" w:line="13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effects of U.S. state, U.S. federal, local, and international laws and regulations that are currently in effect or that may go into effect in the future are significant and may require us to modify our data processing practices and policies, cease offering certain products and solutions, and incur substantial costs and potential liability in an effort to comply with such laws and regulations. Any actual or perceived failure to comply with these and other cybersecurity, privacy, and data protection laws and regulations could result in regulatory scrutiny or investigation and increased exposure to the risk of litigation or the imposition of consent orders, resolution agreements, requirements to take particular actions with respect to training, policies or other activities, and civil and criminal penalties, including fines, which could have an adverse effect on our business, results of operations, and financial condition. Moreover, allegations of non-compliance, whether or not true, could be costly, time-consuming, and distracting to management and cause reputational harm.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identify and successfully implement our growth strategies on a timely basis or at all.</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cannot guarantee that we will succeed in appropriately identifying and successfully executing our strategic plans to grow our businesses, and our inability to do so may be the result of external factors beyond our control. Our ability to grow our business will depend, in large part, on our ability to further penetrate our existing markets, attract new customers, and identify and effectively invest in growing industry verticals. The success of any enhancement of our current products and solutions or any new product or solution depends on several factors, including the timely completion, introduction, and market acceptance of enhanced or new products and solutions, adaptation to new industry standards and technological changes, the ability to maintain and to develop relationships with third parties, and the ability to attract, retain, and effectively train sales and marketing personnel. Our growth could be limited if we fail to innovate or adapt to market trends and product innovations adequately. Any new products and solutions we develop or acquire may not be introduced in a timely or cost-effective manner and may not achieve the market acceptance necessary to generate significant revenues, and any new markets in which we attempt to sell our products and solutions, including new countries or regions, may not be receptive or implementation may be delayed. Our future growth will be adversely affected if we do not identify and invest in faster-growing industry verticals. In addition, any expansion into new markets will require an investment in the continuous monitoring of local laws and regulations, which increases our costs and the risk of the products or service failing to comply with such local laws or regulations. We may also incur costs associated with such plans that are above anticipated amounts.</w:t>
      </w:r>
    </w:p>
    <w:p>
      <w:pPr>
        <w:spacing w:after="0" w:line="1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successfully manage our growth, we will also need to maintain appropriate staffing levels and update our operating, financial and other systems, procedures, and controls accordingly. Our efforts to grow our business and execute our business strategy may place significant demands on and strain our personnel and organizational structure, including our management, staff, and information systems. If we fail to effectively manage our growth, our business, results of operations, and financial condition could be materially adversely affected.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Any damage to our reputation or our brand could adversely affect our business, financial condition, and results of operations.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Developing, protecting, and maintaining our strong reputation among customers, applicants, and third-party partners and vendors is critical to our success. The importance of our brand may increase if competitors offer more products similar to ours or if more competitors enter the market. Our brand may suffer if our service quality declines or if our customer initiatives are not successful. Additionally, the successful protection and maintenance of our brand will depend on our ability to obtain, maintain, protect, and enforce trademark and other intellectual property protection for our brand. If we fail to successfully promote, protect, and maintain our brand, we may lose our existing customers to our competitors or be unable to attract new customers.</w:t>
      </w:r>
    </w:p>
    <w:p>
      <w:pPr>
        <w:spacing w:after="0" w:line="10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value of our intellectual property and other proprietary rights associated with our brand could diminish if others assert rights in or ownership of trademarks or service marks that are similar to our trademarks or service marks. Our registered or unregistered trademarks or trade names may be challenged, infringed, circumvented or declared generic or determined to be infringing on other marks. Opposition or cancellation proceedings may be filed against our trademarks, which may not survive such proceedings. We may be unable to prevent competitors or other third parties from acquiring or using trademarks or service marks that are similar to, infringe upon, misappropriate, dilute, or otherwise violate or diminish the value of our trademarks and service marks, thereby impeding our ability to build brand identity and possibly leading to market confusion. Damage to our reputation or our brand or loss of confidence in our products and solutions could result in decreased demand for our products and solutions, and our business, financial condition, and results of operations may be materially adversely affected.</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To the extent our customers reduce their operations, downsize their screening programs, or otherwise demand fewer of our products and solutions, our business could be adversely impacted.</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Demand for our products and solutions is subject to our customers’ continual evaluation of their need for our products and solutions and is impacted by several factors, including their budget availability, hiring and workforce needs, and a changing regulatory landscape. Demand for our offerings is also dependent on the size of our customers’ operations. Our customers could reduce their operations for a variety of reasons, including general economic slowdown, divestitures and spin-offs, business model disruption, poor financial performance, or as a result of increasing workforce automation. Demand for drug screenings may decline as a result of evolving U.S. drug laws. For example, the legalization of cannabis in several U.S. states has led to a decrease in orders for marijuana screenings. Our revenues may be significantly reduced should our customers decide to downsize their screening programs or take such programs in-house.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penetrated and competitive market.</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global market for our screening, verifications, and adjacent products is fragmented and competitive. Our competitors vary based on their targeted customer size, industry vertical, geography, and product focus. We compete with large players with broad capabilities and product suites, vertical-focused specialist firms that target customers operating in select industries, mid-size players and competitors that serve SMB customers. Some competitors are aligned to a specific product in certain pre-onboarding product lines, such as drug / health screening and executive screening. In our adjacent products market, we compete with certain companies specializing in fleet / vehicle compliance, hiring tax credits and incentives, resident / tenant screening, employment eligibility, and investigative research.</w:t>
      </w:r>
    </w:p>
    <w:p>
      <w:pPr>
        <w:spacing w:after="0" w:line="138"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New entrants to the market have in the past emerged, both as start-ups as well as participants in adjacent sectors such as applicant tracking systems and payroll processing companies that seek to integrate background screening into their onboarding products and solutions, and may emerge in the future, which would further increase competition. Additionally, our customers may also decide to insource work that has been traditionally outsourced to us.</w:t>
      </w:r>
    </w:p>
    <w:p>
      <w:pPr>
        <w:spacing w:after="0" w:line="9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our competitive market environment, we primarily compete on the basis of brand and awareness, accuracy, compliance, turnaround time, and price. We must continue to innovate and ensure market acceptance of our products and solutions in order to maintain and grow our business and market share. We are continually subject to the risk that our competitors may develop products and technologies that are superior to ours or achieve greater market acceptance than ours. Continuing strong competition could result in pricing pressure, increased sales and marketing expenses, loss of customers, and greater investments in research and development, each of which could negatively impact our results of operations. The revenues of our competitors and the resources they have available vary depending on size, specialty, and geographic footprint. Some competitors may be able to allocate resources more efficiently than we can or anticipate and respond to existing and emerging market trends, customer preferences, and technologies due to their size and resources. If we fail to compete successfully, our business, financial position, and results of operations could be materially and adversely affected.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ind w:right="720"/>
        <w:spacing w:after="0" w:line="277" w:lineRule="auto"/>
        <w:rPr>
          <w:sz w:val="20"/>
          <w:szCs w:val="20"/>
          <w:color w:val="auto"/>
        </w:rPr>
      </w:pPr>
      <w:r>
        <w:rPr>
          <w:rFonts w:ascii="Arial" w:cs="Arial" w:eastAsia="Arial" w:hAnsi="Arial"/>
          <w:sz w:val="18"/>
          <w:szCs w:val="18"/>
          <w:b w:val="1"/>
          <w:bCs w:val="1"/>
          <w:i w:val="1"/>
          <w:iCs w:val="1"/>
          <w:color w:val="auto"/>
        </w:rPr>
        <w:t>We rely on third-party data and service providers. If they are unable to deliver or perform as expected, our ability to operate effectively may be impaired, and our business may be materially and adversely affected.</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rely extensively on data, information, and services provided by or derived from a variety of external sources, including our suppliers, customers, strategic partners, various public filings, credit bureaus, publicly available information, and government authorities. Our suppliers could at any point decline to continue providing data or provide untimely or inaccurate data. These data sources have in the past increased the costs for their services, and we expect they will continue to do so from time to time. It may not be possible for us to recover any or all of the costs of any increases in fees by passing such costs along to our customers. If we try to do so, it could have a negative impact on customer relationships. In addition, the increase in such costs could cause our customers to choose to forgo certain services, thereby reducing demand for our products and solutions. Our suppliers could also request or require us to enter into minimum order contracts with clawback enforcement provisions. Some suppliers, such as certain criminal data suppliers and drug testing laboratories and collection sites we use, are also owned or may in the future be acquired by one or more of our competitors, which could make us especially vulnerable to unforeseen price increases or outright declinations to continue our relationships. Because our agreements with third-party data providers are generally non-exclusive, we are subject to the risk they may choose to enter into an exclusive arrangement with one of our competitors or maintain an exclusive proprietary database that is not shared with us. These risks could be exacerbated if our customers request we engage with a particular provider for their orders. We cannot guarantee that we will be able to identify and engage replacement providers on acceptable terms or obtain data from alternative sources in the event our suppliers are no longer able or are unwilling to provide us with certain data or services. If we were to lose access to external data or if our access or use were restricted or were to become less economical or desirable, our ability to timely complete requested services and products at a level of quality acceptable to our customers could be negatively impacted, which could adversely affect our business, results of operations and financial condition.</w:t>
      </w:r>
    </w:p>
    <w:p>
      <w:pPr>
        <w:spacing w:after="0" w:line="12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Data collection and verification by screening providers is dependent on access to databases run by government and law enforcement agencies, including the FBI, state, and federal courthouses, and records systems. If we were to lose or face diminished access to one or more of these data sources, or if government personnel were unable or unwilling to access these data sources on our behalf, our operations could be negatively impacted, and our sales could suffer. Such interruptions result from government shutdowns or slowdowns, such as those that occurred during the COVID-19 pandemic, changing laws and regulations, or natural disasters such as earthquakes, hurricanes, or floods. The inability to access or a delay in accessing essential information could result in lengthened and unsatisfactory turnaround times or our inability to offer certain of our products and solutions.</w:t>
      </w:r>
    </w:p>
    <w:p>
      <w:pPr>
        <w:spacing w:after="0" w:line="1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Due to the sensitive and privacy-driven nature of our products and solutions, we could face liability and legal or regulatory proceedings, which could be costly and time-consuming to defend and may not be fully covered by insurance.</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nature of the products and solutions we provide and the information and data collected, processed, transmitted, disclosed, used, and reported by us (including personal information, confidential information, and other sensitive and/or regulated information) subjects us to potential liability from customers, consumers, data subjects, third parties, and government authorities relating to claims of legal or regulatory non-compliance, defamation, invasion of privacy, false light, negligence, intellectual property infringement, misappropriation or other violation and/or other related causes of action. Such liability may depend on actions or events beyond our control, such as how our customers use the information we provide or the veracity of the data we are provided by third parties. For example, we may from time to time be subject to legal claims by applicants for allegedly failing to comply with the FCRA in relation to issues regarding the accuracy of our reports. Likewise, our customers may seek indemnification for losses allegedly caused by negligent hiring or retention by asserting our reports failed to disclose information that would have resulted in an adverse employment decision had it been reported or if we improperly interpret a customer’s custom processing instructions. Such lawsuits and other proceedings could divert resources from our management and potentially subject us to equitable remedies. In addition, punitive damages are available as a remedy under the FCRA, which we are subject to and are generally not covered by insurance. We may also face adverse publicity in connection with such incidents, which could have a negative effect on our reputation and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brand, and reputation may be harmed as a result of security breaches, cyber-attacks, employee or other internal misconduct, computer viruses, or the mishandling of personal data.</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products entail the collection, use, processing, disclosure, storage, and transmission of personal information, confidential information, and other sensitive and/or regulated information of individuals, including personal data.</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general, we utilize encryption and other technologies designed to provide system security for the transmission of confidential or personal data. There is no assurance that our use of applications and other technologies designed for data security, or that of our third-party vendors and service providers, will effectively counter security risks from hackers, computer viruses, and/or other intrusions or incidents. If one of more of our or our vendors’ facilities, computer networks, or databases were to experience a security breach, we could face a risk of loss of, or unauthorized access to and use of, personal data, confidential information, and other sensitive and/or regulated data, which could harm our business and reputation and result in a loss of customers or the imposition of fines or other penalties by governmental agencies, in addition to potential legal claims by our customers and their applicants and employees. Although we have put in place a number of controls and automated redundancies, our protocols and processes can also be violated due to human error, including as a result of phishing and other attempts by others to fraudulently induce the improper disclosure of sensitive information.</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techniques utilized and planned by hackers, bad actors, and other unauthorized entrants are varied and constantly evolving and may not be detected until a breach has occurred. As a result, despite our efforts, it may be difficult or impossible for us to implement measures that fully prevent such attacks or react in a timely manner. Unauthorized parties may in the future attempt to gain access to our systems or facilities through various means, including, among others, hacking into our or our consumers’ systems or facilities, or attempting to fraudulently induce our employees, consumers or others into disclosing usernames, passwords, or other sensitive information, which may, in turn, be used to access our information technology systems and gain access to our data or other confidential, proprietary, or sensitive information. Such efforts may be state-sponsored and supported by significant financial and technological resources, making them even more difficult to detect and prevent.</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certain of our employees have access to sensitive information about the applicants whom we perform background screenings and verifications on. In addition, certain of our third-party service providers and vendors have access to limited portions of our IT systems and may also be subject to such attempts, which then can be used to attempt to infiltrate our systems. Because we cannot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solutions.</w:t>
      </w:r>
    </w:p>
    <w:p>
      <w:pPr>
        <w:spacing w:after="0" w:line="11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Furthermore, international, federal and state regulators and many international, federal and state laws and regulations require notice of certain data security breaches that involve personal information, which, if applicable, could lead to widespread negative publicity, which may cause our customers to lose confidence in the effectiveness of our data security measures. In addition, we may incur significant costs and operational consequences in connection with investigating, mitigating, remediating, eliminating, and putting in place additional measures designed to prevent future actual or perceived security incidents, as well as in connection with complying with any notification or other obligations resulting from any security incidents.</w:t>
      </w:r>
    </w:p>
    <w:p>
      <w:pPr>
        <w:spacing w:after="0" w:line="10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insurance policies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we are unable to fully protect the security and privacy of our data and electronic transactions, or if we or our third-party service providers are unable to prevent any data security breach, incident, unauthorized access, and/or misuse of our information by our customers, employees, vendors, or hackers, it could result in significant liability (including litigation and regulatory actions and fines), cause lasting harm to our brand and reputation, and cause us to lose existing customers and fail to win new customers.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Our international business exposes us to a number of risks.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perform screenings and verifications internationally, including helping businesses screen their applicants with backgrounds that include international jurisdictions outside of the business’ domestic base of operations. In 2022, we performed screens for our customers on individuals from over 200 countries and territories, and we seek to continue to expand our international operations. The laws and regulations governing our international operations are numerous, varied, and evolving. It may be difficult to correctly identify, interpret, and ensure compliance with these laws and regulations, and we cannot be certain we will avoid liability for noncompliance or improper compliance with such laws and regulations. Any such cost or liability could have a material adverse effect on our business, financial condition, and results of operations. See “—We operate in a highly regulated industry and are subject to numerous and evolving laws and regulations” and “—If regulatory regimes continue to heighten their scrutiny over personal data and data security, it could lead to increased restrictions, loss of revenue opportunity, greater costs of compliance, and lost efficiency.”</w:t>
      </w:r>
    </w:p>
    <w:p>
      <w:pPr>
        <w:spacing w:after="0" w:line="11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Because we generate a portion of our revenues and operating income outside of the United States, we are exposed to market risk from changes in foreign currency exchange rates that could impact our results of operations, financial position, and cash flows. Such fluctuations could have a negative or positive impact on our revenues and results of operations in any given period, which may make it difficult to compare our operating results across different periods. Foreign currency exchange rate fluctuations may also adversely impact third-party vendors we rely on for services, which may be passed along to us in the form of price increases.</w:t>
      </w:r>
    </w:p>
    <w:p>
      <w:pPr>
        <w:spacing w:after="0" w:line="1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as a result of our international footprint, our business, financial condition, and results of operations could be subject to factors beyond our control, including, but not limited to:</w:t>
      </w:r>
    </w:p>
    <w:p>
      <w:pPr>
        <w:spacing w:after="0" w:line="62"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oversee and staff our international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controls that might prevent us from repatriating cash to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and related impacts on customer demand and our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foreign tax rules;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and cultural differences;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relations, political and economic instability, and international conflicts;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non-compliance with applicable currency exchange control regulations, transfer pricing regulations, or other similar regulations;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violations of the FCPA or similar anticorruption laws by acts of agents and other intermediaries whom we have limited or no ability to control; and</w:t>
      </w:r>
    </w:p>
    <w:p>
      <w:pPr>
        <w:spacing w:after="0" w:line="62" w:lineRule="exact"/>
        <w:rPr>
          <w:rFonts w:ascii="Arial" w:cs="Arial" w:eastAsia="Arial" w:hAnsi="Arial"/>
          <w:sz w:val="18"/>
          <w:szCs w:val="18"/>
          <w:color w:val="auto"/>
        </w:rPr>
      </w:pPr>
    </w:p>
    <w:p>
      <w:pPr>
        <w:ind w:left="1020" w:right="140" w:hanging="503"/>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sanction laws and regulations such as those by the U.S. Department of The Treasury’s Office of Foreign Assets Control, that restrict our dealings with certain sanctioned countries, territories, individuals and entities; these laws and regulations are complex, frequently changing, and increasing in number, and may impose additional prohibitions or compliance obligations on our dealings in certain countries and territories, including sanctions imposed on Russia and certain Ukraine territories.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right="28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products could adversely affect our business, results of operations, financial condition, and growth prospects.</w:t>
      </w:r>
    </w:p>
    <w:p>
      <w:pPr>
        <w:spacing w:after="0" w:line="1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products are complex, and therefore undetected errors, failures, bugs, or defects may be present in our products or occur in the future in our products, our technology or software or technology or software we license in from third parties, including open source software, especially when updates or new products are released. Such software and technology are used in IT environments with different operating systems, system management software, devices, databases, servers, storage, middleware, custom, and third-party applications and equipment and networking configurations, which may cause errors, failures, bugs, or defects in the IT environment into which such software and technology are deployed. This diversity increases the likelihood of errors, failures, bugs, or defects in those IT environments. Despite testing by us, real or perceived errors, failures, bugs, or defects may not be found until our customers use our products. Real or perceived errors, failures, bugs or defects in our products could result in negative publicity, loss of or delay in market acceptance of our products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products could also impair our ability to attract new customers, retain existing customers or expand their use of our products, which would adversely affect our business, results of operations, and financial condition.</w:t>
      </w:r>
    </w:p>
    <w:p>
      <w:pPr>
        <w:spacing w:after="0" w:line="11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Additionally, if customers fail to adequately deploy protection measures or update our products, customers and the public may erroneously believe that our products are especially susceptible to cyber-attacks. Real or perceived security breaches against our products could cause disruption or damage to our customers’ networks or other negative consequences and could result in negative publicity to us, damage to our reputation, lead to other customer relations issues and adversely affect our revenue and results of operations. We may also be subject to liability claims for damages related to real or perceived errors, failures, bugs, or defects in our products. A material liability claim or other occurrence that harms our reputation or decreases market acceptance of our products may harm our business and results of operations. Finally, since some of our customers use our products for compliance reasons, any errors, failures, bugs, defects, disruptions in service, or other performance problems with our products may damage our customers’ business and could hurt our reputation.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identify attractive acquisition targets and strategic partnerships or successfully complete such transactions.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Part of our strategy is to selectively pursue complementary acquisitions and strategic partnerships. Opportunities to grow our business through acquisitions, joint ventures, and other alliances may not be available to us in the future. We cannot guarantee that we will be able to identify attractive targets that are a strategic fit with our business or that we will be able to agree upon acceptable terms. Our ability to successfully identify and complete future acquisitions with reasonable valuations may also be affected by factors out of our control, including general market conditions, volatility in the capital and debt markets, and other macroeconomic and geopolitical risks. Furthermore, a number of our competitors expand and diversify through acquisitions, and we likely will experience competition in our effort to execute our acquisition strategy. As a result, we may be unable to continue to make acquisitions or may be forced to pay more for the companies we are able to acquire.</w:t>
      </w:r>
    </w:p>
    <w:p>
      <w:pPr>
        <w:spacing w:after="0" w:line="12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may not be able to integrate or manage acquired businesses, including the business we acquired in January 2022, Form I-9 Compliance, and strategic partnerships so as to produce returns that justify the investment. Integrating acquisitions or other business relationships may result in unforeseen operating difficulties and expenditures, disrupt our ongoing business, divert our resources, and require significant management attention that would otherwise be available for the ongoing development of our business. In particular, it may prove difficult to integrate the personnel, operations, intellectual property, and/or technology systems of any acquired organizations, and to maintain uniform standards, policies, and procedures across multiple platforms and locations, including for those located outside of the United States. This may result in a greater than anticipated increase in the transaction, remediation, and integration costs and could discourage us from entering into acquisitions where the potential for such costs outweigh the perceived benefit. Further, although we conduct due diligence with respect to the business and operations of each of the companies we acquire, we may not have identified all material facts concerning these companies, which could result in unanticipated events or liabilities. We cannot guarantee that any acquisitions we seek to enter into will be carried out on favorable terms or that the anticipated benefits of any acquisition, investment, or business relationship will materialize as intended or that no unanticipated liabilities will arise.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200"/>
        <w:spacing w:after="0" w:line="277" w:lineRule="auto"/>
        <w:rPr>
          <w:sz w:val="20"/>
          <w:szCs w:val="20"/>
          <w:color w:val="auto"/>
        </w:rPr>
      </w:pPr>
      <w:r>
        <w:rPr>
          <w:rFonts w:ascii="Arial" w:cs="Arial" w:eastAsia="Arial" w:hAnsi="Arial"/>
          <w:sz w:val="18"/>
          <w:szCs w:val="18"/>
          <w:b w:val="1"/>
          <w:bCs w:val="1"/>
          <w:i w:val="1"/>
          <w:iCs w:val="1"/>
          <w:color w:val="auto"/>
        </w:rPr>
        <w:t>Failure to comply with anti-corruption, economic and trade sanctions, and anti-money laundering laws and regulations could have an adverse effect on our business.</w:t>
      </w:r>
    </w:p>
    <w:p>
      <w:pPr>
        <w:spacing w:after="0" w:line="11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are subject to evolving anti-corruption laws, economic and trade sanctions, and anti-money laundering rules in several jurisdictions in which we operate, including the U.S. FCPA and the U.K. Bribery Act. The evolution of this regulatory regime has generally brought about more aggressive investigations and enforcement, which, if targeted towards us, could materially adversely impact our business. We have policies and procedures in place to assist us with monitoring the evolution of these laws and ensuring our ongoing compliance. We are continuously in the process of reviewing, upgrading, and enhancing these protocols. However, we cannot guarantee that our employees, consultants, or agents will not take actions that amount to a violation of these laws and regulations for which we may be ultimately responsible or that our policies and procedures will be adequate in protecting us from liability. Further, our services agreements with several customers contain contractual provisions mandating our ongoing compliance with applicable anticorruption, economic, and trade sanctions or anti-money laundering laws or regulations. If we are deemed to be in violation of any such rules, our business activities could be restricted or terminated. In addition, we could face civil and criminal penalties, including fines, which could damage our reputation and customer relationships and materially impact our results of operations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at our Global Operating Center and other operational sites could adversely impact our business.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Global Operating Center in Bangalore, India provides critical support for our operations by processing screening requests, undertaking a manual review of records and verifications work, handling certain customer calls and interactions, and completing certain internal shared service support functions. We also have other important operational sites, including Fishers, Indiana; Atlanta, Georgia; Manila, Philippines; and Mumbai, India. If our operations at our Global Operating Center or such other sites are disrupted, even for a brief period of time, whether due to malevolent acts, defects, computer viruses, climate change, natural disasters such as earthquakes, fires, hurricanes or floods, power or telecommunications failures, or other external events beyond our control, it could result in interruptions in service to our customers, damage to our reputation, harm to our customer relationships, and reduced revenues and profitability. In addition, strikes, wars, terrorism, and other geopolitical unrest could cause disruptions in our business and lead to interruptions, delays, or loss of critical data. We may not have sufficient protection or recovery plans in certain circumstances, such as a significant natural disaster, and our business interruption insurance may be insufficient to compensate us for losses that occur. In the case of such an event, customers could elect to terminate our relationship, delay or withhold payment to us, or even make claims against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guaranteed exclusivity or volumes in our contracts with our customers.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enjoy long-standing relationships with many of our customers, but our customer contracts and services agreements do not typically require our customers to use our products exclusively or commit to minimum engagement or order volumes. As a result, we rely on our customers’ continuing demand for our products and solutions, our technology, our value proposition, and our brand and reputation to compete. Our customers can stop doing business with us for any reason at any time with minimal notice and without penalty, which they may leverage to renegotiate our arrangements on terms less favorable to us. The loss of a significant customer or any reduced demand for our products and solutions by our customers, especially our large customers, would have a negative impact on our business. For the year ended December 31, 2022, we had one customer who accounted for approximately 10% of our revenues. We cannot guarantee that we will maintain relationships with any of our customers on acceptable terms or at all or retain, renew or expand upon our existing agreements. The failure to do so could negatively affect our business, financial condition,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b w:val="1"/>
          <w:bCs w:val="1"/>
          <w:i w:val="1"/>
          <w:iCs w:val="1"/>
          <w:color w:val="auto"/>
        </w:rPr>
        <w:t>Disruptions with our technology and network infrastructure, including our data centers, servers, and third-party cloud and internet providers, and our migration to the cloud, could have an adverse impact on our business.</w:t>
      </w:r>
    </w:p>
    <w:p>
      <w:pPr>
        <w:spacing w:after="0" w:line="11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operating model depends on the efficient and unimpeded operation of our global technology and data processing systems. We currently operate data centers and servers around the world and rely on our third-party cloud providers to host certain of our websites, databases, and web-based services. Our property and business interruption insurance coverage may not be adequate to fully compensate us for losses that may occur. Severe impairment or total destruction of our data centers could occur, and recovery could be difficult and may not be possible at all. In the event of an accessibility outage or other incident at our data centers or with respect to our third-party cloud providers, our operations could be disrupted, data could be lost, our systems or the quality of our products and solutions could be compromised, and we could suffer financial loss, reputation damage, potential liability, or customer loss, any of which could have an adverse impact on our business, results of operations, and financial condition. Such outages may be impossible to predict, plan for, or avoid.</w:t>
      </w:r>
    </w:p>
    <w:p>
      <w:pPr>
        <w:spacing w:after="0" w:line="1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we rely on such third-party cloud providers, we are subject to risks that we can neither control nor mitigate, including their vulnerability to damage from climate change, earthquakes, hurricanes, floods, acts of terrorism, power loss, telecommunications and other service failures, break-ins, human error, and similar events. Our current or future third-party cloud providers could decide to close their facilities without adequate notice or otherwise cease doing business with us. We cannot guarantee that our current or future third-party cloud providers will keep up with our increasing capacity needs or customer demand. In addition, our users depend on internet service providers, online service providers, and other website operators for access to our systems. These providers could experience outages, delays, and other difficulties due to system failures unrelated to our systems, events which are beyond our control, or mitigation. Any changes in service levels by our current or future third-party cloud providers could result in loss or damage to our stored information and result in operational delays. Any of these events could seriously harm our business, results of operations, and financial condition.</w:t>
      </w:r>
    </w:p>
    <w:p>
      <w:pPr>
        <w:spacing w:after="0" w:line="1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currently transitioning towards hosting certain of our software and systems on cloud-based technology. This transition is complex and will require significant changes to our platforms. Scaling and adapting our technology will require a significant lead time and investment in financial and human capital. We cannot guarantee that this transition will be without operational interruptions or other forms of disruption, including loss of information, delayed turnaround times, and deficiencies in our design, implementation, or maintenance of the system. If we experience outages or interruptions in the products and solutions we provide for extended periods of time, our customers could face accessibility issues which would have an adverse impact on our business, results of operations, and financial condition.</w:t>
      </w:r>
    </w:p>
    <w:p>
      <w:pPr>
        <w:spacing w:after="0" w:line="1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fail to continue to integrate our platforms and solutions with that of human resource software providers or if our relationships with human resource software providers deteriorate, our business could be adversely affected.</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engage and integrate with many third-party human resource software providers, including applicant tracking systems and human capital management systems, to ensure that customers benefit from an integrated solution that allows them to easily perform both human resource functions and screenings and verifications through a core platform. This depends on our ability to seamlessly integrate our platforms and systems with those of the human resource software providers. If our engagement or arrangements with such providers are terminated for any reason, we risk losing the opportunity for continued integration with the software applications of these companies, which could jeopardize our ability to provide a seamless interface for our customers, result in service disruptions, increase costs and reduce the quality of our products, and ultimately put us at a competitive disadvantage in maintaining our customer relationships and obtaining new ones. Further, if a provider updates its products without providing sufficient notice to us, there could be disruptions to the integration, which could result in errors, delays, and interruptions.</w:t>
      </w:r>
    </w:p>
    <w:p>
      <w:pPr>
        <w:spacing w:after="0" w:line="12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addition, these third-party human resource software providers are often sources of positive references when a customer is looking to make a purchase or contract renewal decision and may also be a source of new business referrals. If our relationships with these third parties were to deteriorate or if our arrangements with them were to expire, our business and our ability to win new customers and retain existing customers may be adversely affected.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relating to public opinion, which may be magnified by incidents or adverse publicity concerning our industry or operations.</w:t>
      </w:r>
    </w:p>
    <w:p>
      <w:pPr>
        <w:spacing w:after="0" w:line="1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operate in an industry that involves the risk of negative publicity, especially relating to cybersecurity, privacy, and data protection, and adverse developments with respect to our industry may also, by association, negatively impact our reputation. For example, when information services companies are involved in high-profile events involving data theft, these events could result in increased legal and regulatory scrutiny, adverse publicity, and potential litigation concerning the commercial use of such information for our industry in general. If there is a perception that the practices of our business or our industry constitute an invasion of privacy, our business and results of operations may be negatively impacted. There have been and may continue to be perception issues, social stigmas, and negative media attention regarding the collection, use, accuracy, correction, and sharing of personal data, which could materially adversely affect our business, results of operations, and financial condition.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right="60"/>
        <w:spacing w:after="0" w:line="342" w:lineRule="auto"/>
        <w:rPr>
          <w:sz w:val="20"/>
          <w:szCs w:val="20"/>
          <w:color w:val="auto"/>
        </w:rPr>
      </w:pPr>
      <w:r>
        <w:rPr>
          <w:rFonts w:ascii="Arial" w:cs="Arial" w:eastAsia="Arial" w:hAnsi="Arial"/>
          <w:sz w:val="16"/>
          <w:szCs w:val="16"/>
          <w:b w:val="1"/>
          <w:bCs w:val="1"/>
          <w:i w:val="1"/>
          <w:iCs w:val="1"/>
          <w:color w:val="auto"/>
        </w:rPr>
        <w:t>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ability to deliver products to our customers effectively requires us to work with certain third-party vendors and service providers. For example, we engage third-party vendors to maintain and upgrade portions of our software and technology. In addition, from time to time and in certain geographic locations, we engage third-party support service providers depending on demand requirements on our operations and customer service call centers. Our business, therefore, depends on such third parties meeting our expectations and the expectations of our customers in timeliness, quality, and volume. We cannot guarantee our third-party providers will be able to do so on a cost-effective basis or at all due to a number of factors. Some of the third-party vendors that we rely on conduct operations outside of the United States, which subjects us to the risk that economic, political, and military events in foreign jurisdictions might cause an interruption to our operations. We may not be able to ensure that our third-party vendors perform in accordance with agreed-upon, regulated, and expected standards. We could be held accountable for their failure to do so, which may subject us to fines or other sanctions. If our third-party vendors do not meet our expectations and those of our customers, it could negatively affect our reputation, harm our relationships with existing customers, and hamper our ability to win new customers.</w:t>
      </w:r>
    </w:p>
    <w:p>
      <w:pPr>
        <w:spacing w:after="0" w:line="13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While we have entered into agreements with some of these third-party service providers, they have no obligation to renew their agreements with us on commercially reasonable terms or at all. If any one of our third-party service provider’s ability to perform their obligations was impaired, we may not be able to find an alternative supplier in a timely manner or on acceptable financial terms, which could result in operational interruptions.</w:t>
      </w:r>
    </w:p>
    <w:p>
      <w:pPr>
        <w:spacing w:after="0" w:line="1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any shift in business strategy, corporate reorganization, or financial difficulties, such as bankruptcy faced by our third-party providers, may have negative effects on our ability to implement our business strategy.</w:t>
      </w:r>
    </w:p>
    <w:p>
      <w:pPr>
        <w:spacing w:after="0" w:line="11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Any termination of our agreements with, or disruption in the performance of, one or more of these third-party providers could result in operational disruptions and delayed turnaround times. This could adversely impact our relationships with our existing customers, reduce our ability to attract new customers, impact our ability to innovate and introduce new products and solutions, and result in an inability to meet our obligations or require us to seek alternative service providers on less favorable terms, any of which can adversely affect our business,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continued success depends in large part on the service of our key executives and our ability to find and retain qualified employees.</w:t>
      </w:r>
    </w:p>
    <w:p>
      <w:pPr>
        <w:spacing w:after="0" w:line="18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depend to a large degree on the personal efforts, abilities, and performance of the members of our senior leadership team and other key personnel. Over the past several years, our management team has driven strategic and transformational initiatives across operations, product, engineering, and sales to accelerate growth and product development. Although we maintain employment contracts with certain of our officers, the possibility remains they may terminate their employment relationship with us at any time. If any of our key personnel were unable or unwilling to continue in their present positions, it may be difficult to replace them, and their departure could adversely affect our business, financial condition, and results of operations.</w:t>
      </w:r>
    </w:p>
    <w:p>
      <w:pPr>
        <w:spacing w:after="0" w:line="10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ability to grow our business and provide our customers with the products and solutions they have grown to expect from us is also dependent on our ability to attract and retain highly motivated and qualified people. Competition for skilled employees in our industry is intense and, if we are unable to attract and retain an able workforce, our business, results of operations, and financial condition may suffer. Any unplanned turnover or sustained labor shortage, or failure to attract, develop, and maintain a highly skilled and diverse workforce, including key capabilities such as product development, sales, customer success, and operations, can deplete our institutional knowledge base, erode our competitive advantage or result in increased costs due to increased competition for employees, higher employee turnover or increased employee benefit costs.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ind w:right="80"/>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intellectual property rights and other proprietary rights are important to our business, and our ability to compete and our success depend, in part, on obtaining, maintaining, protecting, and enforcing such rights. In particular, the technology solutions we have created to deliver screening solutions, automate and integrate our platforms with third-party human capital management and applicant tracking systems, and gather and process information from various data sources and suppliers are critical to the success of our business. We rely on a combination of patent, copyright, trademark, and trade secret laws, as well as licensing agreements, intellectual property assignment agreements, third-party nondisclosure agreements, and other confidentiality agreements with our employees, customers, vendors, partners, and others to protect our intellectual property rights. These protections may not be adequate to prevent our competitors from copying our products and solutions or otherwise infringing on, misappropriating, or violating our intellectual property rights, and we may need to devote significant additional resources and time to ensure our intellectual property rights are adequately protected, including by bringing litigation against third parties to enforce our intellectual property rights. We cannot guarantee that we will be successful in prevailing in any such matters, regardless of our expenditures and efforts.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 property and other proprietary rights. In addition, some of the laws in foreign markets in which we operate do not protect intellectual property and other proprietary rights to the same level of protection as do the laws of the United States, and the mechanisms for enforcement of intellectual property and other proprietary rights in such countries may be inadequate.</w:t>
      </w:r>
    </w:p>
    <w:p>
      <w:pPr>
        <w:spacing w:after="0" w:line="12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addition, our competitors and other third parties may also design around or independently develop similar technology or otherwise duplicate or mimic our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Furthermore, we may also be subject to claims of intellectual property infringement, misappropriation, or violation by third parties, including our competitors. Even if we are unaware of such rights, we may be found by courts to be infringing upon, misappropriating, or violating them. If successfully asserted against us or if we decide to settle such matters, we could be required to pay substantial damages or ongoing royalty payments, obtain licenses, which may not be available on commercially reasonable terms, or at all, modify our products and solutions (including our applications), or discontinue certain products. We may also be obligated to indemnify applicants, customers, vendors, or partners in connection with any such claim or litigation. Even if we prevail in a dispute, any litigation regarding intellectual property could be costly, time-consuming, and require the deployment of significant resources, and could result in lasting harm being done to our brand and reputation, results of operations or financial condition, or have other adverse consequences.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protect and enforce the confidentiality of our trade secrets, our business and competitive position would be harmed.</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order to safeguard our innovations and competitive advantages, we partially rely on trade secrets. We cannot guarantee that we will be successful in maintaining, protecting, or enforcing the confidentiality of our trade secrets or that our non-disclosure agreements will provide sufficient protection of our trade secrets, know-how, or other proprietary information in the event of any unauthorized use, misappropriation, or other disclosure. Although we have taken steps to protect our trade secrets, including entering into confidentiality agreements with third parties and confidential information and inventions agreements with employees, consultants, and advisors, we cannot provide any assurances that any of these parties may not breach the agreements and disclose our proprietary information, including our trade secrets. For example, if a party to one of our non-disclosure agreements were to breach said agreement, we cannot guarantee that adequate remedies will be available to rectify any subsequent damages or losses of confidential and proprietary information.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It is also possible that our trade secrets will become known by some other mechanism or independently developed by our competitors, and we would have no right to prevent them from using that technology or information to compete with us. For example, a significant portion of our proprietary databases is assembled from publicly available information sources, and third parties, including our competitors, could compile similar or competing databases by accessing the same publicly available information sources.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The use of open-source software in our applications may expose us to additional risks and harm our intellectual property rights.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in the past incorporated, and may in the future continue to incorporate, certain “open source” software into our codebase and our products and solutions. Open-source software is generally licensed by its authors or other third parties under open source licenses, which typically do not provide any representations, warranties, or indemnity coverage by the licensor. Some of these licenses provide that combinations of open source software with a licensee’s proprietary software are subject to the open source license and require that the combination be made available to third parties in source code form, at no cost, or subject to other unfavorable conditions. Some open-source licenses may also require the licensee to grant licenses under certain of its own intellectual property to third parties. From time to time, there have been claims challenging the ownership of open source software against companies that incorporate such software into their products or applications. The terms of various open-source licenses have not been interpreted by courts, and there is a risk that such licenses could be construed in a manner that imposes unanticipated conditions or restrictions on our use of open-source software or our proprietary rights. In addition, if we were to combine our applications with open source software in a certain manner, we could, under certain of the open-source licenses, be required to publicly release or license, at no cost, our products that incorporate the open source software or the affected portions of our source code, which could allow our competitors or other third parties to create similar products and solutions with lower development effort, time, and costs, and could ultimately result in a loss of transaction volume for us. If we inappropriately use open-source software, we may be required to redesign our applications, seek licenses from third parties in order to continue offering our products, which may not be available on commercially reasonable terms, or at all, discontinue the sale of our products or solutions, or take other remedial actions, each of which could reduce or eliminate the value of our technologies and could adversely impact our business, operating results, or financial condition.</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solutions, and be required to comply with onerous conditions or restrictions on our products and solutions, any of which could be materially disruptive to our business. Litigation could be costly for us to defend, have a negative effect on our operating results and financial condition, or require us to devote additional development resources to change our applications.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our operating results to fluctuate from quarter to quarter.</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experience seasonality with respect to certain industries we service due to fluctuations in hiring volumes and other economic activity. For example, pre-onboarding revenues generated from our customers in the retail and transportation industries are historically highest during the months of October and November leading up to the holiday season and lowest at the beginning of the first quarter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In addition, apartment rental activity and associated screening activity historically declines in the fourth quarter heading into the holiday season.</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customers may elect to complete post-onboarding screening such as workforce re-screens and other products at different periods and intervals during any given year. It is not always possible to accurately forecast the timing and magnitude of these programs.</w:t>
      </w:r>
    </w:p>
    <w:p>
      <w:pPr>
        <w:spacing w:after="0" w:line="1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Further, digital transformation, growth in e-commerce, and other economic, demographic, and labor market shifts can impact seasonality trends, making it difficult for us to predict how our seasonality may evolve in the future. As a result, it may be difficult to forecast our results of operations accurately, and there can be no assurance that the results of any particular quarter or other period will serve as an indication of our future performance.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The interpretation of tax laws may have a material adverse effect on our business.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Tax laws and related interpretations with respect to income taxation are frequently reviewed and amended by governmental bodies, officials, and regulatory agencies in the United States and other jurisdictions in which we do business. As our net operating loss carryforward is expected to be fully utilized in 2023, income taxes are expected to become a material use of funds beginning in 2023, depending on our future profitability and tax rates. Our provision for income taxes and liquidity, may therefore be adversely affected by changes to our operating model, changes in the mix of income and expenses in countries with differing tax rates, changes in the valuation of deferred tax assets and liabilities, or changes in tax laws, regulations, or administrative interpretations. For example, there are several proposals to change the current tax law, including changes in global intangible low-taxed income (“GILTI”). Additionally, the Inflation Reduction Act was enacted on August 16, 2022, and includes a new 15% minimum tax on “adjusted financial statement income” beginning with the Company’s fiscal year 2024, and a new 1% excise tax on stock repurchases after December 31, 2022. While these tax law changes and proposals had no immediate effect, if any or all of these (or similar) proposals are ultimately enacted into law, in whole or in part, they could have a negative impact on our effective tax rate. It cannot be predicted whether or when tax laws, regulations, and rulings may be enacted, issued, or amended that could materially and adversely impact our financial position, results of operations, or cash flows.</w:t>
      </w:r>
    </w:p>
    <w:p>
      <w:pPr>
        <w:spacing w:after="0" w:line="1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implementation cycles can be lengthy and variable, depend upon factors outside our control, and could cause us unexpected delays in generating revenues or result in lower than anticipated revenues.</w:t>
      </w:r>
    </w:p>
    <w:p>
      <w:pPr>
        <w:spacing w:after="0" w:line="1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Unexpected delays and difficulties can occur as customers implement and test our products and solutions. Implementation typically involves integration with our customers’ and third-party systems and internal processes, as well as adding customer and third-party data to our platforms. This can be complex and time-consuming for our customers and can result in delays. We provide our customers with upfront estimates regarding the duration and resources associated with the implementation of our products and solutions. However, delays may occur due to discoveries made during the implementation process, such as unique or unusual customer requirements or our internal limitations. If we are unable to resolve these issues and we fail to meet the upfront estimates and the expectations of our customers, it could result in customer dissatisfaction, loss of customers, delays in generating revenues, or negative brand perception about us and our products and solutions. Our implementation cycles could also be disrupted by factors outside of our control, such as deficiencies in the platform of our customers or third-party ATS or HCM systems, which could adversely affect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Our failure to comply with the agreements relating to our outstanding indebtedness, including as a result of events beyond our control, could result in an event of default that could materially adversely affect our business, results of operations, and financial condition.</w:t>
      </w:r>
    </w:p>
    <w:p>
      <w:pPr>
        <w:spacing w:after="0" w:line="9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If there were an event of default under any of the agreements relating to our outstanding debt, the holders of the defaulted debt could cause all amounts outstanding with respect to that debt to be due and payable immediately. Our assets or cash flow may not be sufficient to fully repay borrowing under our outstanding debt instruments if accelerated upon an event of default. Further, if we are unable to repay, refinance or restructure our secured debt, the holders of such debt could proceed against the collateral securing such debt. In addition, any event of default or declaration of acceleration under one debt instrument could also result in an event of default under one or more of our other debt instruments. As a result, any default by us on our debt could have a materially adverse effect on our business, results of operations, and financial condition.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right="66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ability to raise additional capital to fund our operations, limit our ability to react to changes in the economy or our industry, and prevent us from meeting our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have a significant amount of indebtedness. As of December 31, 2022, we had $564.7 million of total debt outstanding.</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indebtedness increases the risk that we may be unable to generate cash sufficient to pay amounts due in respect of our indebtedness. Our indebtedness could have other important consequences to us, including:</w:t>
      </w:r>
    </w:p>
    <w:p>
      <w:pPr>
        <w:spacing w:after="0" w:line="116"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adverse changes in the general economy, industry, and competitive conditions;</w:t>
      </w:r>
    </w:p>
    <w:p>
      <w:pPr>
        <w:spacing w:after="0" w:line="117" w:lineRule="exact"/>
        <w:rPr>
          <w:rFonts w:ascii="Arial" w:cs="Arial" w:eastAsia="Arial" w:hAnsi="Arial"/>
          <w:sz w:val="18"/>
          <w:szCs w:val="18"/>
          <w:color w:val="auto"/>
        </w:rPr>
      </w:pPr>
    </w:p>
    <w:p>
      <w:pPr>
        <w:ind w:left="1020" w:right="340" w:hanging="503"/>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repatriate cash from our foreign subsidiaries to accommodate debt service payments;</w:t>
      </w:r>
    </w:p>
    <w:p>
      <w:pPr>
        <w:spacing w:after="0" w:line="117" w:lineRule="exact"/>
        <w:rPr>
          <w:rFonts w:ascii="Arial" w:cs="Arial" w:eastAsia="Arial" w:hAnsi="Arial"/>
          <w:sz w:val="18"/>
          <w:szCs w:val="18"/>
          <w:color w:val="auto"/>
        </w:rPr>
      </w:pPr>
    </w:p>
    <w:p>
      <w:pPr>
        <w:ind w:left="1020" w:right="60" w:hanging="503"/>
        <w:spacing w:after="0" w:line="34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as certain of our borrowings, including borrowings under our term loan facility are at variable rates, and we may not be able to enter into interest rate swaps, and any swaps we enter into may not fully mitigate our interest rate risk;</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 us from capitalizing on business opportunities;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including payments on our indebtedness;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w:t>
      </w:r>
    </w:p>
    <w:p>
      <w:pPr>
        <w:spacing w:after="0" w:line="11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addition, the credit agreement governing our term loan facility and revolving credit facility contains, and the agreements governing future indebtedness may contain, restrictive covenants that limit our ability to engage in activities that may be in our long-term best interests. Our failure to comply with those covenants could result in an event of default that, if not cured or waived, could result in the acceleration of all of our indebtedness.</w:t>
      </w:r>
    </w:p>
    <w:p>
      <w:pPr>
        <w:spacing w:after="0" w:line="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be able to incur significant additional indebtedness in the future. Although the credit agreement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 associated with our indebtedness described above will increase. See “Management’s Discussion and Analysis of Financial Condition and Results of Operations—Liquidity and Capital Resources—Long-Term Debt.”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right="40"/>
        <w:spacing w:after="0" w:line="342" w:lineRule="auto"/>
        <w:rPr>
          <w:sz w:val="20"/>
          <w:szCs w:val="20"/>
          <w:color w:val="auto"/>
        </w:rPr>
      </w:pPr>
      <w:r>
        <w:rPr>
          <w:rFonts w:ascii="Arial" w:cs="Arial" w:eastAsia="Arial" w:hAnsi="Arial"/>
          <w:sz w:val="16"/>
          <w:szCs w:val="16"/>
          <w:b w:val="1"/>
          <w:bCs w:val="1"/>
          <w:i w:val="1"/>
          <w:iCs w:val="1"/>
          <w:color w:val="auto"/>
        </w:rPr>
        <w:t>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ability to make payments on and to refinance our indebtedness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effect any of these actions, if necessary, on commercially reasonable terms or at all. Our ability to restructure or refinance our indebtedness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including the credit agreement governing our term loan facility and revolving credit facility, may limit or prevent us from taking any of these actions.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would have an adverse effect, which could be material, on our business, results of operations, and financial condition, as well as on our ability to satisfy our obligations in respect of our term loan facility and revolving credit facility.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instruments restrict our current and future operations, particularly our ability to respond to changes or take certain actions.</w:t>
      </w:r>
    </w:p>
    <w:p>
      <w:pPr>
        <w:spacing w:after="0" w:line="1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credit agreement governing our term loan facility and revolving credit facility impose significant operating and financial restrictions and limit our ability to:</w:t>
      </w:r>
    </w:p>
    <w:p>
      <w:pPr>
        <w:spacing w:after="0" w:line="116"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acquisitions, investments, loans, and advances;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certain fundamental changes, including changes in the nature of our business.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these covenants and restrictions, we are and will be limited in how we conduct our business, and we may be unable to raise additional debt or equity financing to compete effectively or to take advantage of new business opportunities. In addition, we are required to maintain specified financial ratios and satisfy other financial condition tests.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13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due date. If we are forced to refinance these borrowings on less favorable terms, our results of operations and financial condition could be adversely affected.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The phase-out of LIBOR could affect interest rates under our credit facilities.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United Kingdom’s Financial Conduct Authority has announced it intends to stop compelling banks to submit rates for the calculation of the London Interbank Offered Rate (“LIBOR”). LIBOR was phased out starting on January 1, 2022 for the one-week and two-month USD LIBOR settings and is expected to be phased out starting on July 1, 2023 for the remaining USD LIBOR settings and companies and firms have been urged to be able to run their business without LIBOR and to reduce the stock of “legacy” LIBOR contracts. It is unclear if a new method of calculating LIBOR will be established, or if an alternative reference rate will be established. The Federal Reserve Board and the Federal Reserve Bank of New York organized the Alternative Reference Rates Committee, which identified the Secured Overnight Financing Rate (“SOFR”) as its preferred alternative to U.S. dollar LIBOR in derivatives and other financial contracts. In addition, since April 2018, the Bank of England has been setting the primary sterling interest rate benchmark using Sterling Over Night Index Average rate (“SONIA”) so that SONIA will be established as the primary sterling interest rate benchmark. We are not able to predict when LIBOR will cease to be available or if SOFR, SONIA, or another alternative reference rate, will attain market traction as a LIBOR replacement. LIBOR is used as the reference rate for certain borrowings under our credit facilities. If LIBOR ceases to exist, we and the administrative agent for our credit facilities may amend our credit agreement to replace LIBOR with a different benchmark index and make certain other conforming changes to our credit agreement. As such, the interest rate on certain of our borrowings under our credit facilities may change. The new rate may not be as favorable as those in effect prior to any LIBOR phase-out. Furthermore, the transition process may result in delays in funding, higher interest expense, additional expenses, and increased volatility in markets for instruments that currently rely on LIBOR, all of which could negatively impact our interest expense, results of operations, and cash flow.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18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2022, our Board of Directors approved our repurchase program totaling $150.0 million which expires on December 31, 2023. We are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Our repurchase program may be modified, suspended or terminated at any time and, even if fully implemented, may not enhance long-term stockholder value.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Silver Lake controls us and its interests may conflict with yours in the future.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Silver Lake beneficially owned 60.4% of our outstanding common stock as of December 31, 2022. As a result, Silver Lake is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Silver Lake and its affiliates retain significant ownership of us. This concentration of our ownership may delay or deter possible changes in control of the Company, which may reduce the value of an investment in our common stock. So long as Silver Lake continues to own a significant amount of our combined voting power, even if such amount is less than 50%, Silver Lake will continue to be able to strongly influence or effectively control our decisions and, so long as Silver Lake and its affiliates collectively own at least 5% of all outstanding shares of our stock entitled to vote generally in the election of directors, Silver Lake will be able to nominate individuals to our Board of Directors under our stockholders’ agreement. In addition, the stockholders’ agreement grants to Silver Lake and its affiliates and certain of their transferees certain governance rights for as long as Silver Lake and its affiliates and certain of their transferees maintain ownership of at least 25% of our outstanding common stock, including rights of approval over the entry into joint ventures or similar business alliances having a fair market value of more than $100 million, incurrence of debt for borrowed money in excess of $100 million, the increase or reduction in the size of our Board of Directors, initiation of any liquidation, dissolution, bankruptcy or other insolvency proceeding, the appointment or termination of our chief executive officer, or any material change in the nature of our business. The interests of Silver Lake may not coincide with the interests of other holders of our common stock.</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ordinary course of their business activities, Silver Lake and its affiliates may engage in activities where their interests conflict with our interests or those of our stockholders. Our certificate of incorporation provides that Silver Lake, any of its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Silver Lake also may pursue acquisition opportunities that may be complementary to our business and, as a result, those acquisition opportunities may not be available to us. In addition, Silver Lake may have an interest in pursuing acquisitions, divestitures and other transactions that, in their judgment, could enhance its investment, even though such transactions might involve risks to you.</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right="100"/>
        <w:spacing w:after="0" w:line="273" w:lineRule="auto"/>
        <w:rPr>
          <w:sz w:val="20"/>
          <w:szCs w:val="20"/>
          <w:color w:val="auto"/>
        </w:rPr>
      </w:pPr>
      <w:r>
        <w:rPr>
          <w:rFonts w:ascii="Arial" w:cs="Arial" w:eastAsia="Arial" w:hAnsi="Arial"/>
          <w:sz w:val="17"/>
          <w:szCs w:val="17"/>
          <w:color w:val="auto"/>
        </w:rPr>
        <w:t>In addition, Silver Lake and its affiliates are able to determine the outcome of all matters requiring stockholder approval and are able to cause or prevent a change of control of the Company or a change in the composition of our Board of Directors and could preclude any acquisition of the Company. Further, under the stockholders’ agreement, so long as Silver Lake and its affiliates and certain of their transferees maintain ownership of at least 25% of our outstanding common stock, they will have approval rights of any change of control transaction, which could preclude any unsolicited acquisition of our shares. This concentration of voting control could deprive you of an opportunity to receive a premium for your shares of common stock as part of a sale of the Company and ultimately might affect the market price of our common stock.</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116"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declines in the market prices of stocks generally;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1020" w:right="300" w:hanging="503"/>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announcements by us, our competitors, our suppliers or our distributors of significant contracts, price reductions, new products or technologies, acquisitions, dispositions, joint marketing relationships, joint ventures, other strategic relationships or capital commitments;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stock relative to other investment alternatives;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11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right="60"/>
        <w:spacing w:after="0" w:line="263"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paying cash dividends on our common stock.</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have no history of paying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we start paying dividends in the future, you may not receive any return on an investment in our common stock unless you sell our common stock for a price greater than your purchase price.</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First Advantage Corporation is a holding company with no operations of its own and, as such, it depends on its subsidiaries for cash to fund all of its operations and expenses, including future dividend payments, if any.</w:t>
      </w:r>
    </w:p>
    <w:p>
      <w:pPr>
        <w:spacing w:after="0" w:line="11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have not historically paid dividends on our common stock;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12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qualify as a “controlled company” within the meaning of Nasdaq rules and the rules of the SEC and, as a result, qualify for exemptions from certain corporate governance requirements.</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Silver Lake controls a majority of the voting power of our outstanding common stock. As a result, we qualify as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133"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Nasdaq rules;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director nominees be selected, or recommended for our Board of Directors’ selection by a nominating/governance committee comprised solely of independent directors; and</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of our executive officers be determined, or recommended to our Board of Directors for determination, by a compensation committee comprised solely of independent directors.</w:t>
      </w:r>
    </w:p>
    <w:p>
      <w:pPr>
        <w:spacing w:after="0" w:line="11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are not relying on the exemptions from these corporate governance requirements, if we do rely on such exemptions in the future, you will not have the same protections afforded to stockholders of companies that are subject to all of the corporate governance requirements of Nasdaq.</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diluted by the future issuance of additional common stock in connection with our incentive plans, acquisitions or otherwise.</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December 31, 2022, we had approximately 851,267,397 shares of authorized but unissued common stock. Our amended and restated certificate of incorporation authorizes us to issue these shares of common stock and securities relating to common stock for the consideration and on the terms and conditions established by our Board of Directors in its sole discretion, whether in connection with acquisitions or otherwise. We have reserved shares for issuance under the 2021 Equity Plan and the ESPP. Any common stock that we issue, including under the 2021 Equity Plan or the ESPP or other equity incentive plans that we may adopt in the future, would dilute the percentage ownership held by the investors who purchase common stock.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300"/>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of our common stock, by us or our existing stockholders in the public market could cause the market price for our common stock to decline.</w:t>
      </w:r>
    </w:p>
    <w:p>
      <w:pPr>
        <w:spacing w:after="0" w:line="11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including sales by Silver Lake,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3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Shares held by Silver Lake and certain of our directors, officers and employees are eligible for resale, subject to volume, manner of sale and other limitations under Rule 144, and subject to transfer restrictions applicable to certain members of our management and Silver Lake who are party to our stockholders’ agreement. In addition, pursuant to our stockholders’ agreement, Silver Lake has the right, subject to certain conditions, to require us to register the sale of their shares of our common stock under the Securities Act of 1933 (as amended, the “Securities Act”). Certain of our stockholders will also have “piggyback” registration rights with respect to future registered offerings of our common stock.</w:t>
      </w:r>
    </w:p>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such registration rights are exercised, the market price of our shares of common stock could drop significantly. This could also make it more difficult for us to raise additional funds through future offerings of our shares of common stock or other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7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71" w:lineRule="exact"/>
        <w:rPr>
          <w:sz w:val="20"/>
          <w:szCs w:val="20"/>
          <w:color w:val="auto"/>
        </w:rPr>
      </w:pPr>
    </w:p>
    <w:p>
      <w:pPr>
        <w:ind w:left="1020" w:right="14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21" w:lineRule="exact"/>
        <w:rPr>
          <w:rFonts w:ascii="Arial" w:cs="Arial" w:eastAsia="Arial" w:hAnsi="Arial"/>
          <w:sz w:val="18"/>
          <w:szCs w:val="18"/>
          <w:color w:val="auto"/>
        </w:rPr>
      </w:pPr>
    </w:p>
    <w:p>
      <w:pPr>
        <w:ind w:left="1020" w:right="320" w:hanging="503"/>
        <w:spacing w:after="0" w:line="23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4"/>
          <w:szCs w:val="24"/>
          <w:color w:val="auto"/>
          <w:vertAlign w:val="superscript"/>
        </w:rPr>
        <w:t>2/3</w:t>
      </w:r>
      <w:r>
        <w:rPr>
          <w:rFonts w:ascii="Arial" w:cs="Arial" w:eastAsia="Arial" w:hAnsi="Arial"/>
          <w:sz w:val="18"/>
          <w:szCs w:val="18"/>
          <w:color w:val="auto"/>
        </w:rPr>
        <w:t>% of the shares of common stock entitled to vote generally in the election of directors if Silver Lake and its affiliates cease to beneficially own at least 50% of shares of common stock entitled to vote generally in the election of directors; and</w:t>
      </w:r>
    </w:p>
    <w:p>
      <w:pPr>
        <w:spacing w:after="0" w:line="98"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4"/>
          <w:szCs w:val="24"/>
          <w:color w:val="auto"/>
          <w:vertAlign w:val="superscript"/>
        </w:rPr>
        <w:t>2/3</w:t>
      </w:r>
      <w:r>
        <w:rPr>
          <w:rFonts w:ascii="Arial" w:cs="Arial" w:eastAsia="Arial" w:hAnsi="Arial"/>
          <w:sz w:val="18"/>
          <w:szCs w:val="18"/>
          <w:color w:val="auto"/>
        </w:rPr>
        <w:t>% of shares of common stock entitled to vote generally in the election of directors if Silver Lake and its affiliates cease to beneficially own at least 50% of shares of common stock entitled to vote generally in the election of directors.</w:t>
      </w:r>
    </w:p>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9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250,000,000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right="1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subject to limited exceptions, that state and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The choice of forum provision described in the preceding sentence does not apply to claims brought under the Securities Act or the Securities Exchange Act of 1934 (as amended, the “Exchange Act”), meaning that nothing in our amended and restated certificate of incorporation or amended and restated by-laws will preclude stockholders that assert claims under the Securities Act or the Exchange Act, from bringing such claims in state or federal court, subject to applicable law.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incur additional costs associated with the requirements of being a public company, and our management is required to devote substantial time to compliance matters, adding complexity to running our business.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public company, we incur significant legal, regulatory, finance, accounting, investor relations, and other expenses that we did not incur as a private company, including costs associated with public company reporting requirements and costs of recruiting and retaining non-executive directors. We also have incurred and will continue to incur costs associated with the Sarbanes-Oxley Act, and the Dodd-Frank Act, and related rules implemented by the SEC, and costs in connection with continued listing on Nasdaq. The expenses incurred by public companies generally for reporting and corporate governance purposes have been increasing. Our efforts to comply with these rules and regulations have significantly increased our legal and financial compliance costs and have made some activities more time-consuming and/or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right="20"/>
        <w:spacing w:after="0" w:line="308" w:lineRule="auto"/>
        <w:rPr>
          <w:sz w:val="20"/>
          <w:szCs w:val="20"/>
          <w:color w:val="auto"/>
        </w:rPr>
      </w:pPr>
      <w:r>
        <w:rPr>
          <w:rFonts w:ascii="Arial" w:cs="Arial" w:eastAsia="Arial" w:hAnsi="Arial"/>
          <w:sz w:val="17"/>
          <w:szCs w:val="17"/>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may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and we may encounter problems or delays in completing the remediation of any such deficiencies that we identify or that are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(to the extent it is required to issue a report), investors could lose confidence in our reported financial information, which could have a material adverse effect on the trading price of our common stock.</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11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cover us downgrade our stock or our industry, or change their views regarding the stock of any of our competitors, or publish inaccurate or unfavorable research about our business, or if we fail to meet their expectations for our financial results,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have a long-term impact on our business.</w:t>
      </w:r>
    </w:p>
    <w:p>
      <w:pPr>
        <w:spacing w:after="0" w:line="17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While we seek to partner with organizations that mitigate their business risks associated with climate change, we recognize that there are inherent risks wherever business is conducted. Access to clean water and reliable energy in the communities where we conduct our business, whether for our offices or for our vendors, is a priority. Our major sites in the United States and India are vulnerable to climate change effects. While this danger has a low-assessed risk of disrupting normal business operations, it has the potential impact on employees’ abilities to commute to work or to work from home and stay connected effectively. Climate-related events, including the increasing frequency of extreme weather events and their impact on the United States, India and other major regions’ critical infrastructure, have the potential to disrupt our business, our third-party suppliers and/or the business of our customers, and may cause us to experience higher attrition, losses and additional costs to maintain or resume operations.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office is located at 1 Concourse Parkway NE, Suite 200, Atlanta, GA 30328 under a lease agreement that expires on January 31, 2025, with two five-year renewal options. This property also houses our executive offices. We also lease office space in Bangalore, India, where our Global Operating Center is located. Additionally, we lease office space in Fishers, Indiana; Nottingham, United Kingdom; Manila, Philippines; and Mumbai, India for certain significant operational and support functions. We believe that our executive and other offices are adequate for our immediate needs and that we will obtain additional or substitute space, as needed, on commercially reasonable terms.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leveraging public cloud vendors, we maintain five data centers across the globe, with two located in the United States (Atlanta and Indianapolis) and one in each of Europe (Amsterdam), Canada (Toronto), and India (Bangalore). We also have a disaster recovery site in Suwanee, Georgia. Our data centers are fully PCI compliant and equipped with redundant power, cooling, and fire suppression. We also ensure that our data centers maintain connectivity to major internet service providers and are protected and surveilled by our Global Network Operations Center. In the event of a disaster or emergency, each data center can rely on a backup site located outside of the primary site’s region where all critical data is replicated. In the event of a service failure, critical customer-facing solutions are set to resume service at the designated backup location.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under this Item 3 is set forth in Note 13 within “Notes to Consolidated Financial Statements” included in Part IV, Item 15 of this Annual Report and is incorporated herein by this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June 23, 2021, our common stock began trading on the Nasdaq under the symbol “FA.” Prior to that time, there was no public market for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 of February 23, 2023, the closing price of our common stock on the Nasdaq was $13.62 per share and we had 15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never declared or paid cash dividends on our capital stock. Any further determination to pay dividends on our capital stock will be at the discretion of our Board of Directors, subject to applicable laws, and will depend on our financial condition, operating results, capital requirements, general business conditions, and other factors that our Board of Directors considers relevant.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August 2, 2022, the Company’s Board of Directors authorized the repurchase of up to $50.0 million of the Company’s common stock over the 12-month period ending August 2, 2023 (the “Repurchase Program”).</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November 8, 2022, the Company’s Board of Directors authorized an increase to the total available amount under its Repurchase Program to $150.0 million and extended the program through December 31, 2023.</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share repurchases were made under the Company's publicly announced program, and there are no other programs under which the Company repurchases shares. The following information relates to the Company’s purchase of its common stock during each month within the fourth quarter of 2022:</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214"/>
              <w:spacing w:after="0"/>
              <w:rPr>
                <w:sz w:val="20"/>
                <w:szCs w:val="20"/>
                <w:color w:val="auto"/>
              </w:rPr>
            </w:pPr>
            <w:r>
              <w:rPr>
                <w:rFonts w:ascii="Arial" w:cs="Arial" w:eastAsia="Arial" w:hAnsi="Arial"/>
                <w:sz w:val="14"/>
                <w:szCs w:val="14"/>
                <w:b w:val="1"/>
                <w:bCs w:val="1"/>
                <w:color w:val="auto"/>
                <w:w w:val="94"/>
              </w:rPr>
              <w:t>Average Price</w:t>
            </w:r>
          </w:p>
        </w:tc>
      </w:tr>
      <w:tr>
        <w:trPr>
          <w:trHeight w:val="189"/>
        </w:trPr>
        <w:tc>
          <w:tcPr>
            <w:tcW w:w="432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Shares Purchased</w:t>
            </w:r>
          </w:p>
        </w:tc>
        <w:tc>
          <w:tcPr>
            <w:tcW w:w="12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94"/>
              <w:spacing w:after="0" w:line="189" w:lineRule="exact"/>
              <w:rPr>
                <w:sz w:val="20"/>
                <w:szCs w:val="20"/>
                <w:color w:val="auto"/>
              </w:rPr>
            </w:pPr>
            <w:r>
              <w:rPr>
                <w:rFonts w:ascii="Arial" w:cs="Arial" w:eastAsia="Arial" w:hAnsi="Arial"/>
                <w:sz w:val="14"/>
                <w:szCs w:val="14"/>
                <w:b w:val="1"/>
                <w:bCs w:val="1"/>
                <w:color w:val="auto"/>
                <w:w w:val="96"/>
              </w:rPr>
              <w:t xml:space="preserve">Paid Per Share </w:t>
            </w:r>
            <w:r>
              <w:rPr>
                <w:rFonts w:ascii="Arial" w:cs="Arial" w:eastAsia="Arial" w:hAnsi="Arial"/>
                <w:sz w:val="19"/>
                <w:szCs w:val="19"/>
                <w:b w:val="1"/>
                <w:bCs w:val="1"/>
                <w:color w:val="auto"/>
                <w:w w:val="96"/>
                <w:vertAlign w:val="superscript"/>
              </w:rPr>
              <w:t>(1)</w:t>
            </w: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10/1/2022 - 10/31/2022</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1,024,046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13.42</w:t>
            </w:r>
          </w:p>
        </w:tc>
      </w:tr>
      <w:tr>
        <w:trPr>
          <w:trHeight w:val="242"/>
        </w:trPr>
        <w:tc>
          <w:tcPr>
            <w:tcW w:w="4320" w:type="dxa"/>
            <w:vAlign w:val="bottom"/>
          </w:tcPr>
          <w:p>
            <w:pPr>
              <w:spacing w:after="0"/>
              <w:rPr>
                <w:sz w:val="20"/>
                <w:szCs w:val="20"/>
                <w:color w:val="auto"/>
              </w:rPr>
            </w:pPr>
            <w:r>
              <w:rPr>
                <w:rFonts w:ascii="Arial" w:cs="Arial" w:eastAsia="Arial" w:hAnsi="Arial"/>
                <w:sz w:val="18"/>
                <w:szCs w:val="18"/>
                <w:color w:val="auto"/>
              </w:rPr>
              <w:t>11/1/2022 - 11/30/2022</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2,428,818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12.56</w:t>
            </w:r>
          </w:p>
        </w:tc>
      </w:tr>
      <w:tr>
        <w:trPr>
          <w:trHeight w:val="256"/>
        </w:trPr>
        <w:tc>
          <w:tcPr>
            <w:tcW w:w="4320" w:type="dxa"/>
            <w:vAlign w:val="bottom"/>
          </w:tcPr>
          <w:p>
            <w:pPr>
              <w:spacing w:after="0"/>
              <w:rPr>
                <w:sz w:val="20"/>
                <w:szCs w:val="20"/>
                <w:color w:val="auto"/>
              </w:rPr>
            </w:pPr>
            <w:r>
              <w:rPr>
                <w:rFonts w:ascii="Arial" w:cs="Arial" w:eastAsia="Arial" w:hAnsi="Arial"/>
                <w:sz w:val="18"/>
                <w:szCs w:val="18"/>
                <w:color w:val="auto"/>
              </w:rPr>
              <w:t>12/1/2022 - 12/31/2022</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1,062,414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13.21</w:t>
            </w: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4,515,278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-633730</wp:posOffset>
            </wp:positionV>
            <wp:extent cx="641223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2230" cy="342900"/>
                    </a:xfrm>
                    <a:prstGeom prst="rect">
                      <a:avLst/>
                    </a:prstGeom>
                    <a:noFill/>
                  </pic:spPr>
                </pic:pic>
              </a:graphicData>
            </a:graphic>
          </wp:anchor>
        </w:drawing>
      </w:r>
    </w:p>
    <w:p>
      <w:pPr>
        <w:spacing w:after="0" w:line="2" w:lineRule="exact"/>
        <w:rPr>
          <w:sz w:val="20"/>
          <w:szCs w:val="20"/>
          <w:color w:val="auto"/>
        </w:rPr>
      </w:pPr>
    </w:p>
    <w:p>
      <w:pPr>
        <w:ind w:left="680" w:hanging="148"/>
        <w:spacing w:after="0"/>
        <w:tabs>
          <w:tab w:leader="none" w:pos="680"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Average price paid per share for shares purchased as part of our Repurchase Program (includes brokerage commissions).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4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0" w:type="dxa"/>
            <w:vAlign w:val="bottom"/>
            <w:gridSpan w:val="2"/>
          </w:tcPr>
          <w:p>
            <w:pPr>
              <w:jc w:val="center"/>
              <w:ind w:right="58"/>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8"/>
        </w:trPr>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1400" w:type="dxa"/>
            <w:vAlign w:val="bottom"/>
            <w:gridSpan w:val="2"/>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8"/>
        </w:trPr>
        <w:tc>
          <w:tcPr>
            <w:tcW w:w="13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85"/>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4"/>
        </w:trPr>
        <w:tc>
          <w:tcPr>
            <w:tcW w:w="1340" w:type="dxa"/>
            <w:vAlign w:val="bottom"/>
          </w:tcPr>
          <w:p>
            <w:pPr>
              <w:jc w:val="right"/>
              <w:ind w:right="20"/>
              <w:spacing w:after="0"/>
              <w:rPr>
                <w:sz w:val="20"/>
                <w:szCs w:val="20"/>
                <w:color w:val="auto"/>
              </w:rPr>
            </w:pPr>
            <w:r>
              <w:rPr>
                <w:rFonts w:ascii="Arial" w:cs="Arial" w:eastAsia="Arial" w:hAnsi="Arial"/>
                <w:sz w:val="18"/>
                <w:szCs w:val="18"/>
                <w:color w:val="auto"/>
              </w:rPr>
              <w:t>1,024,046</w:t>
            </w:r>
          </w:p>
        </w:tc>
        <w:tc>
          <w:tcPr>
            <w:tcW w:w="10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34,012,948</w:t>
            </w:r>
          </w:p>
        </w:tc>
        <w:tc>
          <w:tcPr>
            <w:tcW w:w="0" w:type="dxa"/>
            <w:vAlign w:val="bottom"/>
          </w:tcPr>
          <w:p>
            <w:pPr>
              <w:spacing w:after="0"/>
              <w:rPr>
                <w:sz w:val="1"/>
                <w:szCs w:val="1"/>
                <w:color w:val="auto"/>
              </w:rPr>
            </w:pPr>
          </w:p>
        </w:tc>
      </w:tr>
      <w:tr>
        <w:trPr>
          <w:trHeight w:val="242"/>
        </w:trPr>
        <w:tc>
          <w:tcPr>
            <w:tcW w:w="1340" w:type="dxa"/>
            <w:vAlign w:val="bottom"/>
          </w:tcPr>
          <w:p>
            <w:pPr>
              <w:jc w:val="right"/>
              <w:ind w:right="20"/>
              <w:spacing w:after="0"/>
              <w:rPr>
                <w:sz w:val="20"/>
                <w:szCs w:val="20"/>
                <w:color w:val="auto"/>
              </w:rPr>
            </w:pPr>
            <w:r>
              <w:rPr>
                <w:rFonts w:ascii="Arial" w:cs="Arial" w:eastAsia="Arial" w:hAnsi="Arial"/>
                <w:sz w:val="18"/>
                <w:szCs w:val="18"/>
                <w:color w:val="auto"/>
              </w:rPr>
              <w:t>2,428,818</w:t>
            </w:r>
          </w:p>
        </w:tc>
        <w:tc>
          <w:tcPr>
            <w:tcW w:w="2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103,499,614</w:t>
            </w:r>
          </w:p>
        </w:tc>
        <w:tc>
          <w:tcPr>
            <w:tcW w:w="0" w:type="dxa"/>
            <w:vAlign w:val="bottom"/>
          </w:tcPr>
          <w:p>
            <w:pPr>
              <w:spacing w:after="0"/>
              <w:rPr>
                <w:sz w:val="1"/>
                <w:szCs w:val="1"/>
                <w:color w:val="auto"/>
              </w:rPr>
            </w:pPr>
          </w:p>
        </w:tc>
      </w:tr>
      <w:tr>
        <w:trPr>
          <w:trHeight w:val="256"/>
        </w:trPr>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1,062,414</w:t>
            </w:r>
          </w:p>
        </w:tc>
        <w:tc>
          <w:tcPr>
            <w:tcW w:w="2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89,468,646</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4,515,278</w:t>
            </w:r>
          </w:p>
        </w:tc>
        <w:tc>
          <w:tcPr>
            <w:tcW w:w="2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89,468,646</w:t>
            </w: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ectPr>
          <w:pgSz w:w="11900" w:h="16838" w:orient="portrait"/>
          <w:cols w:equalWidth="0" w:num="2">
            <w:col w:w="7740" w:space="100"/>
            <w:col w:w="3400"/>
          </w:cols>
          <w:pgMar w:left="320" w:top="499" w:right="339" w:bottom="1440" w:gutter="0" w:footer="0" w:header="0"/>
          <w:type w:val="continuous"/>
        </w:sectPr>
      </w:pPr>
    </w:p>
    <w:p>
      <w:pPr>
        <w:spacing w:after="0" w:line="272" w:lineRule="auto"/>
        <w:rPr>
          <w:sz w:val="20"/>
          <w:szCs w:val="20"/>
          <w:color w:val="auto"/>
        </w:rPr>
      </w:pPr>
      <w:r>
        <w:rPr>
          <w:rFonts w:ascii="Arial" w:cs="Arial" w:eastAsia="Arial" w:hAnsi="Arial"/>
          <w:sz w:val="17"/>
          <w:szCs w:val="17"/>
          <w:color w:val="auto"/>
        </w:rPr>
        <w:t>Stock repurchases may be effected through open market repurchases at prevailing market prices, including through the use of block trades and trading plans intended to qualify under Rule 10b5-1 under the Exchange Act,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spacing w:after="0" w:line="12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February 2023, the Company’s Board of Directors authorized an increase to the total available amount under its Repurchase Program to $200.0 million effective February 28, 2023. Through February 23, 2023, the Company had made $75.7 million of purchases under the Repurchase Program.</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3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following graph depicts the total cumulative stockholder return on our common stock from the closing price on June 23, 2021, the first day of trading of our common stock on the Nasdaq, through December 31, 2022, relative to the performance of the Russell 2000 and S&amp;P 500 Index. The graph assumes an initial investment of $100.00 at the close of trading on June 23, 2021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74295</wp:posOffset>
            </wp:positionV>
            <wp:extent cx="6172200" cy="2802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25, 2021, we completed our IPO. All shares sold were registered pursuant to a registration statement on Form S-1 (File No. 333-256622), declared effective by the SEC on June 22, 2021.</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Annual Report on Form 10-K filed with the SEC on March 23,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Management’s Discussion and Analysis (“MD&amp;A”) is intended to help the reader understand the results of operations and financial condition of First Advantage. MD&amp;A is provided as a supplement to and should be read in conjunction with our consolidated financial statements included elsewhere in this Annual Report. This section discusses the results of operations for the year ended December 31, 2022 (Successor) compared to the year ended December 31, 2021 (Successor) and for the year ended December 31, 2021 (Successor) compared to the period from February 1, 2020 through December 31, 2020 (Successor) and for the period from January 1, 2020 through January 31, 2020 (Predecessor).</w:t>
      </w:r>
    </w:p>
    <w:p>
      <w:pPr>
        <w:spacing w:after="0" w:line="12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discussion contains forward-looking statements involving risks, uncertainties and assumptions that could cause our results to differ materially from expectations. See “Cautionary Notice Regarding Forward-Looking Statements.” Factors that might cause such differences include those described in Item 1A. “Risk Factors” and elsewhere in this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First Advantage is a leading global provider of employment background screening and verification solutions. We deliver innovative services and insights that help our customers manage risk and hire the best talent. Enabled by our proprietary technology, our products help companies protect their brands and provide safer environments for their customers and their most important resources: employees, contractors, contingent workers, tenants, and drivers.</w:t>
      </w:r>
    </w:p>
    <w:p>
      <w:pPr>
        <w:spacing w:after="0" w:line="9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approximately 33,000 customers are global enterprises, mid-sized companies, and small companies, and our products and solutions are used by personnel in recruiting, human resources, risk, compliance, vendor management, safety, and/or security.</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products are sold both individually and packaged.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spacing w:after="0" w:line="14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Through our ongoing dialogue with our customers, we have visibility into their expected future order volumes, although these can be difficult to accurately forecast due to the dynamic nature of forecasting hiring and business needs. We typically bill our customers at the end of each month and recognize revenues as completed orders are reported or otherwise made available to our customers. Over 92% of the criminal searches performed in the United States are completed the same day they are submitted.</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generated revenues of $810.0 million for the year ended December 31, 2022, which represents 13.7% growth as compared to $712.3 million for the year ended December 31, 2021. Approximately 85% of our revenues for the year ended December 31, 2022 was generated in the Americas, predominantly in the U.S., while the remaining 15% was generated internationally. Other than the United States, no single country accounted for 10% or more of our total revenues for the year ended December 31, 2022.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January 31, 2020, Silver Lake acquired substantially all of the equity interests of the Company from Symphony Technology Group (“STG”) pursuant to an Agreement and Plan of Merger, dated as of November 19, 2019 (the “Silver Lake Transaction”). For the purposes of the consolidated financial data included in this Annual Report, periods on or prior to January 31, 2020 reflect the financial position, results of operations, and cash flows of the Company and its consolidated subsidiaries prior to the Silver Lake Transaction, referred to herein as the Predecessor, and periods beginning after January 31, 2020 reflect the financial position, results of operations and cash flows of the Company and its consolidated subsidiaries as a result of the Silver Lake Transaction, referred to herein as the Successor. As a result of the Silver Lake Transaction, the results of operations and financial position of the Predecessor and Successor are not directly comparable.</w:t>
      </w:r>
    </w:p>
    <w:p>
      <w:pPr>
        <w:spacing w:after="0" w:line="141"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To facilitate comparability across periods, we have presented in this “Management’s Discussion and Analysis of Financial Condition and Results of Operations” section certain financial information on a pro forma basis, giving pro forma effect to the Silver Lake Transaction as if it had occurred on January 1, 2020. Please refer to “Results of Operations” for further details.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first quarter of 2022, the Company made organizational changes and modified additional information provided to its chief operating decision maker (“CODM”) to better align with how its CODM assesses performance and allocates resources. As a result, the Company has two reportable segments, Americas and International:</w:t>
      </w:r>
    </w:p>
    <w:p>
      <w:pPr>
        <w:spacing w:after="0" w:line="130" w:lineRule="exact"/>
        <w:rPr>
          <w:sz w:val="20"/>
          <w:szCs w:val="20"/>
          <w:color w:val="auto"/>
        </w:rPr>
      </w:pPr>
    </w:p>
    <w:p>
      <w:pPr>
        <w:ind w:left="1020" w:right="120" w:hanging="503"/>
        <w:spacing w:after="0" w:line="30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Americas. </w:t>
      </w:r>
      <w:r>
        <w:rPr>
          <w:rFonts w:ascii="Arial" w:cs="Arial" w:eastAsia="Arial" w:hAnsi="Arial"/>
          <w:sz w:val="16"/>
          <w:szCs w:val="16"/>
          <w:color w:val="auto"/>
        </w:rPr>
        <w:t>This segment performs a variety of background check and compliance services across all phases of the workforce lifecycle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vertical industries in the United States, Canada, and Latin America markets.</w:t>
      </w:r>
    </w:p>
    <w:p>
      <w:pPr>
        <w:spacing w:after="0" w:line="49"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The International segment provides services similar to our Americas segment in regions outside of the Americas. We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our solutions across multiple vertical industries in the Europe, India, and Asia Pacific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25, 2021, the Company completed its IPO in which it sold 22,856,250 shares of its common stock, including 2,981,250 shares that were sold pursuant to the full exercise of the underwriters’ option to purchase additional shares, $0.001 par value per share (the “Common Stock”) at an offering price of $15.00 per share, resulting in net proceeds to us of $316.5 million, after deducting the underwriting discount of $22.3 million and offering costs of $4.0 million. Additionally, certain existing stockholders sold an aggregate of 6,468,750 shares, including 843,750 shares that were sold pursuant to the full exercise of the underwriters’ option to purchase additional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2021 Follow-On Offering</w:t>
      </w:r>
    </w:p>
    <w:p>
      <w:pPr>
        <w:spacing w:after="0" w:line="17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November 15, 2021, the Company completed a follow-on offering (“November 2021 Follow-On”) where certain existing stockholders sold an aggregate of 15,000,000 shares, plus an additional 2,250,000 shares that were sold pursuant to the full exercise of the underwriters’ option to purchase additional shares. The Company did not sell any shares of its common stock in the November 2021 Follow-On Offering and did not receive any of the proceeds from the sale of shares.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and Current Economic Conditions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Macroeconomic factors, including inflation, increased interest rates, significant capital market volatility, the prolonged COVID-19 pandemic, global supply chain constraints, and global economic and geopolitical developments, have negatively impacted significant portions of the global economy, and created volatility in the financial markets. Additionally, foreign exchange rate fluctuations, particularly the strengthening of the U.S. Dollar relative to the British Pound and Indian Rupee, have led to further economic impacts.</w:t>
      </w:r>
    </w:p>
    <w:p>
      <w:pPr>
        <w:spacing w:after="0" w:line="13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While our overall productivity has not been materially adversely impacted, recently, we have started to experience, and may continue to experience, the lengthening of certain sales cycles and impact of foreign exchange rate fluctuations within operating results as cyclical concerns begin to factor into customer hiring plans. If the economic uncertainty is sustained or increases, we may experience a negative impact on new business, customer renewals and demand levels, sales and marketing efforts, revenues growth rates, customer deployments, customer collections, product development, or other financial metrics. Any of these factors could harm our business, financial condition, and operating results.</w:t>
      </w:r>
    </w:p>
    <w:p>
      <w:pPr>
        <w:spacing w:after="0" w:line="12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Despite the continuing uncertainty associated with these events, we are confident in the long-term overall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w:t>
      </w:r>
    </w:p>
    <w:p>
      <w:pPr>
        <w:spacing w:after="0" w:line="9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additional information, see Part I, Item 1A, “Risk Factors—Risks Related to Our Business— The impact of COVID-19 and related risks have affected and may continue to materially affect our business, results of operations, financial position, and/or liquidity” and “—Macroeconomic factors beyond our control, including the state of the economy, could impact demand and the fulfillment costs for our products and solutions.”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future growth and profitability of our business depend on numerous factors, including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M&amp;A</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selectively evaluate acquisitions as a means to expand our business and to enter new markets. Since the Silver Lake Transaction, we have completed the following acquisitions, including those that impact the comparability of our results between periods:</w:t>
      </w:r>
    </w:p>
    <w:p>
      <w:pPr>
        <w:spacing w:after="0" w:line="1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March 31, 2021, the Company completed its acquisition of selected assets and specified liabilities comprising the United Kingdom background screening business unit of a United Kingdom based company. Results of operations have been included in our International segment from the date of the acquisition.</w:t>
      </w:r>
    </w:p>
    <w:p>
      <w:pPr>
        <w:spacing w:after="0" w:line="130"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On November 30, 2021, the Company acquired 100% of the equity interest of MultiLatin Advisors, S.A. de C.V. (“MultiLatin”), a Mexico-based background screening and verifications provider. This acquisition strategically expands the Company’s presence and screening capabilities in Latin America. Results of operations have been included in our Americas segment from the date of the acquisition.</w:t>
      </w:r>
    </w:p>
    <w:p>
      <w:pPr>
        <w:spacing w:after="0" w:line="1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November 30, 2021, the Company acquired 100% of the equity interest of Corporate Screening Services, LLC (“Corporate Screening”), a U.S.-based healthcare and higher education focused screening and compliance solutions provider headquartered in Cleveland, Ohio. Results of operations have been included in our Americas segment from the date of the acquisition.</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10, 2022, the Company completed its asset acquisition of Form I-9 Compliance (“Form I-9”), a U.S.-based technology solution and consulting service provider for I-9 and E-Verify compliance. The acquisition was effective as of January 1, 2022 and strategically expands the Company’s product suite offerings through the addition of new I-9 and employment eligibility solutions. Results of operations have been included in our Americas segment from the effective date of the acquisition.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focused on continuing to grow our customer base, particularly with respect to high-growth Enterprise customers in attractive industry verticals. In 2022, we performed over 100 million screens on behalf of approximately 33,000 customers, including 235 Enterprise customers as of December 31, 2022, spanning the globe and all major industry verticals. Our customer acquisition strategy depends on our ability to continue to cost-effectively offer innovative and comprehensive products and solutions, execute our verticalized go-to-market strategy, and maintain our reputation and brand. New customers typically begin generating revenues within one to three months of executing a contract and ramp up order volumes over the subsequent three to five month period.</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We believe there is opportunity to continue to increase our domestic and international market share, grow our non-U.S. international customer base, and increase adoption and expansion of screening products and solutions.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Wallet Share with Existing Customers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growth in revenues depends on our ability to sell more products and solutions to existing customers. We typically grow our revenues over time with customers as their underlying screening volumes grow and as they roll out our products and solutions to new divisions or geographies, increase our wallet share in multi-provider programs, perform more extensive screens, and purchase additional products and solutions such as continuous screening, hiring tax credits, employment eligibility, and fleet solutions. Our Customer Success teams work closely with our customers to further develop their screening, compliance, and risk management programs within their organization and in doing so, frequently identify opportunities to expand their relationship with First Advantage. Our revenue growth with existing customers is also dependent upon our ability to retain customers. We achieved a gross retention rate of approximately 97% for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Performance Through Macroeconomic Environments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results are also impacted by our customers’ underlying business performance and hiring trends, which drive their demand for background screening and adjacent products. Our customers’ business can be affected by a variety of factors, including general economic conditions, hiring velocity and turnover, and other industry-related trends. We are also exposed to macroeconomic cyclicality, as companies typically reduce employee hiring and flexible workforces in weaker economic environments, which can impact demand for our products and solutions. Our ability to grow our business will also depend on the long-term strength, diversity, and durability of the verticals that we focus on and rely upon to drive our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Developing New Products to Expand Our Revenue Opportunity with Existing Customers</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plan to continue to expand our data solutions and adjacent sources of revenues. For example, we are currently investing in criminal and verifications data products and identity services. In addition, we are developing innovative solutions that align with our capabilities in areas such as biometric verification, fraud mitigation, driver and vehicle compliance, franchise screening programs, and remote drug testing.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Profitably Managing our Growth</w:t>
      </w:r>
    </w:p>
    <w:p>
      <w:pPr>
        <w:spacing w:after="0" w:line="171"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Our ability to grow profitably depends on our ability to manage our cost structure. Our costs are affected by third-party costs including government fees and data vendors, as these third parties have discretion to adjust pricing, although these third-party fees are typically invoiced to our customers as pass-through costs. Continued pricing increases in third-party fees may lead our existing and potential customers to reduce the scope of their spending.</w:t>
      </w:r>
    </w:p>
    <w:p>
      <w:pPr>
        <w:spacing w:after="0" w:line="9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historical margin expansion has been largely driven by increased automation and deployment of RPA technologies in the background screening process, which has increased our speed, efficiency, quality, and operating leverage. Additionally, we have gained operating leverage from efficiencies and control in managing general and administrative costs. In order to grow profitably, we make strategic investments that generate incremental revenues and enable us to deliver our products and solutions and support our customers in a cost-effective manner. Our ability to innovate and drive future reductions of operating costs through automation and digitization does require upfront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Note 2 to the audited consolidated financial statements included elsewhere in this Annual Report for disclosure of the impact that recent accounting pronouncements may have on the consolidated financial statements.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technology, proprietary internal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productive, and compliant. Adjacent products include products that complement our pre-onboarding and post-onboarding solutions such as fleet / vehicle compliance, hiring tax credits and incentives, resident / tenant screening, employment eligibility, and investigative research.</w:t>
      </w:r>
    </w:p>
    <w:p>
      <w:pPr>
        <w:spacing w:after="0" w:line="11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incur the following expenses related to our cost of revenues and operating expenses:</w:t>
      </w:r>
    </w:p>
    <w:p>
      <w:pPr>
        <w:spacing w:after="0" w:line="171" w:lineRule="exact"/>
        <w:rPr>
          <w:sz w:val="20"/>
          <w:szCs w:val="20"/>
          <w:color w:val="auto"/>
        </w:rPr>
      </w:pPr>
    </w:p>
    <w:p>
      <w:pPr>
        <w:ind w:left="1020" w:hanging="503"/>
        <w:spacing w:after="0" w:line="27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Cost of Services</w:t>
      </w:r>
      <w:r>
        <w:rPr>
          <w:rFonts w:ascii="Arial" w:cs="Arial" w:eastAsia="Arial" w:hAnsi="Arial"/>
          <w:sz w:val="17"/>
          <w:szCs w:val="17"/>
          <w:color w:val="auto"/>
        </w:rPr>
        <w:t>: Consists of amounts paid to third parties for access to government records, other third-party data and services,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70" w:lineRule="exact"/>
        <w:rPr>
          <w:rFonts w:ascii="Arial" w:cs="Arial" w:eastAsia="Arial" w:hAnsi="Arial"/>
          <w:sz w:val="17"/>
          <w:szCs w:val="17"/>
          <w:color w:val="auto"/>
        </w:rPr>
      </w:pPr>
    </w:p>
    <w:p>
      <w:pPr>
        <w:ind w:left="1020" w:right="60" w:hanging="503"/>
        <w:spacing w:after="0" w:line="272"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Product and Technology Expense</w:t>
      </w:r>
      <w:r>
        <w:rPr>
          <w:rFonts w:ascii="Arial" w:cs="Arial" w:eastAsia="Arial" w:hAnsi="Arial"/>
          <w:sz w:val="17"/>
          <w:szCs w:val="17"/>
          <w:color w:val="auto"/>
        </w:rPr>
        <w:t>: Consists of salaries and benefits of personnel involved in the maintenance of our technology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69" w:lineRule="exact"/>
        <w:rPr>
          <w:rFonts w:ascii="Arial" w:cs="Arial" w:eastAsia="Arial" w:hAnsi="Arial"/>
          <w:sz w:val="17"/>
          <w:szCs w:val="17"/>
          <w:color w:val="auto"/>
        </w:rPr>
      </w:pPr>
    </w:p>
    <w:p>
      <w:pPr>
        <w:ind w:left="1020" w:hanging="503"/>
        <w:spacing w:after="0" w:line="270"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Consists of sales, customer success,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customer success, and marketing expenses consist primarily of employee compensation such as salaries, bonuses, sales commissions, stock-based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72" w:lineRule="exact"/>
        <w:rPr>
          <w:rFonts w:ascii="Arial" w:cs="Arial" w:eastAsia="Arial" w:hAnsi="Arial"/>
          <w:sz w:val="17"/>
          <w:szCs w:val="17"/>
          <w:color w:val="auto"/>
        </w:rPr>
      </w:pPr>
    </w:p>
    <w:p>
      <w:pPr>
        <w:ind w:left="1020" w:right="80" w:hanging="503"/>
        <w:spacing w:after="0" w:line="25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Depreciation and Amortizatio</w:t>
      </w:r>
      <w:r>
        <w:rPr>
          <w:rFonts w:ascii="Arial" w:cs="Arial" w:eastAsia="Arial" w:hAnsi="Arial"/>
          <w:sz w:val="18"/>
          <w:szCs w:val="18"/>
          <w:color w:val="auto"/>
        </w:rPr>
        <w:t>n: Property and equipment consisting mainly of capitalized software costs, furniture, hardware, and leasehold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are depreciated or amortized and reflected as operating expenses. We also amortize the capitalized costs of finite-life intangible assets acquired in connection with the Silver Lake Transaction and other business combinations. The comparability of our operating expenses over time is affected by the increased depreciation and amortization recorded as a result of applying purchase accounting at the time of the Silver Lake Transaction.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ind w:right="80"/>
        <w:spacing w:after="0" w:line="254" w:lineRule="auto"/>
        <w:rPr>
          <w:sz w:val="20"/>
          <w:szCs w:val="20"/>
          <w:color w:val="auto"/>
        </w:rPr>
      </w:pPr>
      <w:r>
        <w:rPr>
          <w:rFonts w:ascii="Arial" w:cs="Arial" w:eastAsia="Arial" w:hAnsi="Arial"/>
          <w:sz w:val="18"/>
          <w:szCs w:val="18"/>
          <w:color w:val="auto"/>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see in the business in order to align with our overall financial objectives. While we expect internal operating expenses to increase in absolute dollars to support our continued growth, we believe that, in the long term, operating expenses will decline gradually as a percentage of total revenues in the future as our business grows and our operating efficiency and automation initiatives continue to advance.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other expense, net consists of the following:</w:t>
      </w:r>
    </w:p>
    <w:p>
      <w:pPr>
        <w:spacing w:after="0" w:line="171" w:lineRule="exact"/>
        <w:rPr>
          <w:sz w:val="20"/>
          <w:szCs w:val="20"/>
          <w:color w:val="auto"/>
        </w:rPr>
      </w:pPr>
    </w:p>
    <w:p>
      <w:pPr>
        <w:ind w:left="1020" w:right="320" w:hanging="503"/>
        <w:spacing w:after="0" w:line="30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Relates primarily to our debt service costs, the interest-related unrealized gains and losses of our interest rate swaps</w:t>
      </w:r>
      <w:r>
        <w:rPr>
          <w:rFonts w:ascii="Arial" w:cs="Arial" w:eastAsia="Arial" w:hAnsi="Arial"/>
          <w:sz w:val="16"/>
          <w:szCs w:val="16"/>
          <w:i w:val="1"/>
          <w:iCs w:val="1"/>
          <w:color w:val="auto"/>
        </w:rPr>
        <w:t xml:space="preserve"> </w:t>
      </w:r>
      <w:r>
        <w:rPr>
          <w:rFonts w:ascii="Arial" w:cs="Arial" w:eastAsia="Arial" w:hAnsi="Arial"/>
          <w:sz w:val="16"/>
          <w:szCs w:val="16"/>
          <w:color w:val="auto"/>
        </w:rPr>
        <w:t>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spacing w:after="0" w:line="49"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Reflects losses on the extinguishment of debt.</w:t>
      </w:r>
    </w:p>
    <w:p>
      <w:pPr>
        <w:spacing w:after="0" w:line="117" w:lineRule="exact"/>
        <w:rPr>
          <w:rFonts w:ascii="Arial" w:cs="Arial" w:eastAsia="Arial" w:hAnsi="Arial"/>
          <w:sz w:val="18"/>
          <w:szCs w:val="18"/>
          <w:color w:val="auto"/>
        </w:rPr>
      </w:pPr>
    </w:p>
    <w:p>
      <w:pPr>
        <w:jc w:val="both"/>
        <w:ind w:left="1020" w:right="520" w:hanging="503"/>
        <w:spacing w:after="0" w:line="342"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Transaction Expenses, Change in Control</w:t>
      </w:r>
      <w:r>
        <w:rPr>
          <w:rFonts w:ascii="Arial" w:cs="Arial" w:eastAsia="Arial" w:hAnsi="Arial"/>
          <w:sz w:val="16"/>
          <w:szCs w:val="16"/>
          <w:color w:val="auto"/>
        </w:rPr>
        <w:t>: Includes transaction expenses related to the change of control resulting from the Silver Lake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as well as transaction costs related to other business combinations completed as part of our historic business combinations.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 For example, there are several proposals to change the current tax law, including changes in GILTI. If any or all of these (or similar) proposals are ultimately enacted into law, in whole or in part, they could increase our effective tax 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of Operations for the Year Ended December 31, 2022 compared to the Year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3"/>
                <w:szCs w:val="13"/>
                <w:b w:val="1"/>
                <w:bCs w:val="1"/>
                <w:color w:val="auto"/>
              </w:rPr>
              <w:t>Successor</w:t>
            </w:r>
          </w:p>
        </w:tc>
        <w:tc>
          <w:tcPr>
            <w:tcW w:w="1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3"/>
        </w:trPr>
        <w:tc>
          <w:tcPr>
            <w:tcW w:w="6520" w:type="dxa"/>
            <w:vAlign w:val="bottom"/>
          </w:tcPr>
          <w:p>
            <w:pPr>
              <w:spacing w:after="0"/>
              <w:rPr>
                <w:sz w:val="12"/>
                <w:szCs w:val="12"/>
                <w:color w:val="auto"/>
              </w:rPr>
            </w:pPr>
          </w:p>
        </w:tc>
        <w:tc>
          <w:tcPr>
            <w:tcW w:w="1620" w:type="dxa"/>
            <w:vAlign w:val="bottom"/>
          </w:tcPr>
          <w:p>
            <w:pPr>
              <w:jc w:val="center"/>
              <w:ind w:left="545"/>
              <w:spacing w:after="0" w:line="143" w:lineRule="exact"/>
              <w:rPr>
                <w:sz w:val="20"/>
                <w:szCs w:val="20"/>
                <w:color w:val="auto"/>
              </w:rPr>
            </w:pPr>
            <w:r>
              <w:rPr>
                <w:rFonts w:ascii="Arial" w:cs="Arial" w:eastAsia="Arial" w:hAnsi="Arial"/>
                <w:sz w:val="13"/>
                <w:szCs w:val="13"/>
                <w:b w:val="1"/>
                <w:bCs w:val="1"/>
                <w:color w:val="auto"/>
                <w:w w:val="95"/>
              </w:rPr>
              <w:t>Year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gridSpan w:val="2"/>
          </w:tcPr>
          <w:p>
            <w:pPr>
              <w:jc w:val="center"/>
              <w:ind w:right="600"/>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520" w:type="dxa"/>
            <w:vAlign w:val="bottom"/>
          </w:tcPr>
          <w:p>
            <w:pPr>
              <w:spacing w:after="0"/>
              <w:rPr>
                <w:sz w:val="15"/>
                <w:szCs w:val="15"/>
                <w:color w:val="auto"/>
              </w:rPr>
            </w:pPr>
          </w:p>
        </w:tc>
        <w:tc>
          <w:tcPr>
            <w:tcW w:w="1620" w:type="dxa"/>
            <w:vAlign w:val="bottom"/>
          </w:tcPr>
          <w:p>
            <w:pPr>
              <w:jc w:val="center"/>
              <w:ind w:left="565"/>
              <w:spacing w:after="0"/>
              <w:rPr>
                <w:sz w:val="20"/>
                <w:szCs w:val="20"/>
                <w:color w:val="auto"/>
              </w:rPr>
            </w:pPr>
            <w:r>
              <w:rPr>
                <w:rFonts w:ascii="Arial" w:cs="Arial" w:eastAsia="Arial" w:hAnsi="Arial"/>
                <w:sz w:val="13"/>
                <w:szCs w:val="13"/>
                <w:b w:val="1"/>
                <w:bCs w:val="1"/>
                <w:color w:val="auto"/>
                <w:w w:val="92"/>
              </w:rPr>
              <w:t>December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December 31,</w:t>
            </w:r>
          </w:p>
        </w:tc>
      </w:tr>
      <w:tr>
        <w:trPr>
          <w:trHeight w:val="176"/>
        </w:trPr>
        <w:tc>
          <w:tcPr>
            <w:tcW w:w="65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20" w:type="dxa"/>
            <w:vAlign w:val="bottom"/>
            <w:tcBorders>
              <w:bottom w:val="single" w:sz="8" w:color="auto"/>
            </w:tcBorders>
          </w:tcPr>
          <w:p>
            <w:pPr>
              <w:jc w:val="center"/>
              <w:ind w:left="585"/>
              <w:spacing w:after="0"/>
              <w:rPr>
                <w:sz w:val="20"/>
                <w:szCs w:val="20"/>
                <w:color w:val="auto"/>
              </w:rPr>
            </w:pPr>
            <w:r>
              <w:rPr>
                <w:rFonts w:ascii="Arial" w:cs="Arial" w:eastAsia="Arial" w:hAnsi="Arial"/>
                <w:sz w:val="13"/>
                <w:szCs w:val="13"/>
                <w:b w:val="1"/>
                <w:bCs w:val="1"/>
                <w:color w:val="auto"/>
                <w:w w:val="96"/>
              </w:rPr>
              <w:t>2022</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418"/>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5"/>
                <w:szCs w:val="15"/>
                <w:color w:val="auto"/>
              </w:rPr>
            </w:pPr>
          </w:p>
        </w:tc>
      </w:tr>
      <w:tr>
        <w:trPr>
          <w:trHeight w:val="223"/>
        </w:trPr>
        <w:tc>
          <w:tcPr>
            <w:tcW w:w="65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Revenues</w:t>
            </w:r>
          </w:p>
        </w:tc>
        <w:tc>
          <w:tcPr>
            <w:tcW w:w="1620" w:type="dxa"/>
            <w:vAlign w:val="bottom"/>
            <w:shd w:val="clear" w:color="auto" w:fill="CFF0FC"/>
          </w:tcPr>
          <w:p>
            <w:pPr>
              <w:jc w:val="right"/>
              <w:ind w:right="144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w w:val="97"/>
              </w:rPr>
              <w:t>810,023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712,295</w:t>
            </w:r>
          </w:p>
        </w:tc>
        <w:tc>
          <w:tcPr>
            <w:tcW w:w="40" w:type="dxa"/>
            <w:vAlign w:val="bottom"/>
          </w:tcPr>
          <w:p>
            <w:pPr>
              <w:spacing w:after="0"/>
              <w:rPr>
                <w:sz w:val="19"/>
                <w:szCs w:val="19"/>
                <w:color w:val="auto"/>
              </w:rPr>
            </w:pPr>
          </w:p>
        </w:tc>
      </w:tr>
      <w:tr>
        <w:trPr>
          <w:trHeight w:val="229"/>
        </w:trPr>
        <w:tc>
          <w:tcPr>
            <w:tcW w:w="6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Expenses:</w:t>
            </w:r>
          </w:p>
        </w:tc>
        <w:tc>
          <w:tcPr>
            <w:tcW w:w="16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520" w:type="dxa"/>
            <w:vAlign w:val="bottom"/>
          </w:tcPr>
          <w:p>
            <w:pPr>
              <w:ind w:left="200"/>
              <w:spacing w:after="0"/>
              <w:rPr>
                <w:sz w:val="20"/>
                <w:szCs w:val="20"/>
                <w:color w:val="auto"/>
              </w:rPr>
            </w:pPr>
            <w:r>
              <w:rPr>
                <w:rFonts w:ascii="Arial" w:cs="Arial" w:eastAsia="Arial" w:hAnsi="Arial"/>
                <w:sz w:val="17"/>
                <w:szCs w:val="17"/>
                <w:color w:val="auto"/>
              </w:rPr>
              <w:t>Cost of services (exclusive of depreciation and amortization below)</w:t>
            </w:r>
          </w:p>
        </w:tc>
        <w:tc>
          <w:tcPr>
            <w:tcW w:w="1620" w:type="dxa"/>
            <w:vAlign w:val="bottom"/>
          </w:tcPr>
          <w:p>
            <w:pPr>
              <w:spacing w:after="0"/>
              <w:rPr>
                <w:sz w:val="19"/>
                <w:szCs w:val="19"/>
                <w:color w:val="auto"/>
              </w:rPr>
            </w:pPr>
          </w:p>
        </w:tc>
        <w:tc>
          <w:tcPr>
            <w:tcW w:w="760" w:type="dxa"/>
            <w:vAlign w:val="bottom"/>
          </w:tcPr>
          <w:p>
            <w:pPr>
              <w:jc w:val="right"/>
              <w:ind w:right="56"/>
              <w:spacing w:after="0"/>
              <w:rPr>
                <w:sz w:val="20"/>
                <w:szCs w:val="20"/>
                <w:color w:val="auto"/>
              </w:rPr>
            </w:pPr>
            <w:r>
              <w:rPr>
                <w:rFonts w:ascii="Arial" w:cs="Arial" w:eastAsia="Arial" w:hAnsi="Arial"/>
                <w:sz w:val="17"/>
                <w:szCs w:val="17"/>
                <w:color w:val="auto"/>
                <w:w w:val="97"/>
              </w:rPr>
              <w:t>408,928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ind w:right="38"/>
              <w:spacing w:after="0"/>
              <w:rPr>
                <w:sz w:val="20"/>
                <w:szCs w:val="20"/>
                <w:color w:val="auto"/>
              </w:rPr>
            </w:pPr>
            <w:r>
              <w:rPr>
                <w:rFonts w:ascii="Arial" w:cs="Arial" w:eastAsia="Arial" w:hAnsi="Arial"/>
                <w:sz w:val="17"/>
                <w:szCs w:val="17"/>
                <w:color w:val="auto"/>
              </w:rPr>
              <w:t>352,170</w:t>
            </w:r>
          </w:p>
        </w:tc>
        <w:tc>
          <w:tcPr>
            <w:tcW w:w="40" w:type="dxa"/>
            <w:vAlign w:val="bottom"/>
          </w:tcPr>
          <w:p>
            <w:pPr>
              <w:spacing w:after="0"/>
              <w:rPr>
                <w:sz w:val="19"/>
                <w:szCs w:val="19"/>
                <w:color w:val="auto"/>
              </w:rPr>
            </w:pPr>
          </w:p>
        </w:tc>
      </w:tr>
      <w:tr>
        <w:trPr>
          <w:trHeight w:val="236"/>
        </w:trPr>
        <w:tc>
          <w:tcPr>
            <w:tcW w:w="65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Product and technology expense</w:t>
            </w:r>
          </w:p>
        </w:tc>
        <w:tc>
          <w:tcPr>
            <w:tcW w:w="16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51,931</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45,507</w:t>
            </w:r>
          </w:p>
        </w:tc>
        <w:tc>
          <w:tcPr>
            <w:tcW w:w="40" w:type="dxa"/>
            <w:vAlign w:val="bottom"/>
          </w:tcPr>
          <w:p>
            <w:pPr>
              <w:spacing w:after="0"/>
              <w:rPr>
                <w:sz w:val="20"/>
                <w:szCs w:val="20"/>
                <w:color w:val="auto"/>
              </w:rPr>
            </w:pPr>
          </w:p>
        </w:tc>
      </w:tr>
      <w:tr>
        <w:trPr>
          <w:trHeight w:val="223"/>
        </w:trPr>
        <w:tc>
          <w:tcPr>
            <w:tcW w:w="6520" w:type="dxa"/>
            <w:vAlign w:val="bottom"/>
          </w:tcPr>
          <w:p>
            <w:pPr>
              <w:ind w:left="200"/>
              <w:spacing w:after="0"/>
              <w:rPr>
                <w:sz w:val="20"/>
                <w:szCs w:val="20"/>
                <w:color w:val="auto"/>
              </w:rPr>
            </w:pPr>
            <w:r>
              <w:rPr>
                <w:rFonts w:ascii="Arial" w:cs="Arial" w:eastAsia="Arial" w:hAnsi="Arial"/>
                <w:sz w:val="17"/>
                <w:szCs w:val="17"/>
                <w:color w:val="auto"/>
              </w:rPr>
              <w:t>Selling, general, and administrative expense</w:t>
            </w:r>
          </w:p>
        </w:tc>
        <w:tc>
          <w:tcPr>
            <w:tcW w:w="1620" w:type="dxa"/>
            <w:vAlign w:val="bottom"/>
          </w:tcPr>
          <w:p>
            <w:pPr>
              <w:spacing w:after="0"/>
              <w:rPr>
                <w:sz w:val="19"/>
                <w:szCs w:val="19"/>
                <w:color w:val="auto"/>
              </w:rPr>
            </w:pPr>
          </w:p>
        </w:tc>
        <w:tc>
          <w:tcPr>
            <w:tcW w:w="760" w:type="dxa"/>
            <w:vAlign w:val="bottom"/>
          </w:tcPr>
          <w:p>
            <w:pPr>
              <w:jc w:val="right"/>
              <w:ind w:right="56"/>
              <w:spacing w:after="0"/>
              <w:rPr>
                <w:sz w:val="20"/>
                <w:szCs w:val="20"/>
                <w:color w:val="auto"/>
              </w:rPr>
            </w:pPr>
            <w:r>
              <w:rPr>
                <w:rFonts w:ascii="Arial" w:cs="Arial" w:eastAsia="Arial" w:hAnsi="Arial"/>
                <w:sz w:val="17"/>
                <w:szCs w:val="17"/>
                <w:color w:val="auto"/>
                <w:w w:val="97"/>
              </w:rPr>
              <w:t>116,640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ind w:right="38"/>
              <w:spacing w:after="0"/>
              <w:rPr>
                <w:sz w:val="20"/>
                <w:szCs w:val="20"/>
                <w:color w:val="auto"/>
              </w:rPr>
            </w:pPr>
            <w:r>
              <w:rPr>
                <w:rFonts w:ascii="Arial" w:cs="Arial" w:eastAsia="Arial" w:hAnsi="Arial"/>
                <w:sz w:val="17"/>
                <w:szCs w:val="17"/>
                <w:color w:val="auto"/>
              </w:rPr>
              <w:t>107,980</w:t>
            </w:r>
          </w:p>
        </w:tc>
        <w:tc>
          <w:tcPr>
            <w:tcW w:w="40" w:type="dxa"/>
            <w:vAlign w:val="bottom"/>
          </w:tcPr>
          <w:p>
            <w:pPr>
              <w:spacing w:after="0"/>
              <w:rPr>
                <w:sz w:val="19"/>
                <w:szCs w:val="19"/>
                <w:color w:val="auto"/>
              </w:rPr>
            </w:pPr>
          </w:p>
        </w:tc>
      </w:tr>
      <w:tr>
        <w:trPr>
          <w:trHeight w:val="230"/>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Depreciation and amortization</w:t>
            </w:r>
          </w:p>
        </w:tc>
        <w:tc>
          <w:tcPr>
            <w:tcW w:w="16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7"/>
                <w:szCs w:val="17"/>
                <w:color w:val="auto"/>
                <w:w w:val="97"/>
              </w:rPr>
              <w:t>138,246</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142,815</w:t>
            </w:r>
          </w:p>
        </w:tc>
        <w:tc>
          <w:tcPr>
            <w:tcW w:w="40" w:type="dxa"/>
            <w:vAlign w:val="bottom"/>
          </w:tcPr>
          <w:p>
            <w:pPr>
              <w:spacing w:after="0"/>
              <w:rPr>
                <w:sz w:val="19"/>
                <w:szCs w:val="19"/>
                <w:color w:val="auto"/>
              </w:rPr>
            </w:pPr>
          </w:p>
        </w:tc>
      </w:tr>
      <w:tr>
        <w:trPr>
          <w:trHeight w:val="223"/>
        </w:trPr>
        <w:tc>
          <w:tcPr>
            <w:tcW w:w="6520" w:type="dxa"/>
            <w:vAlign w:val="bottom"/>
          </w:tcPr>
          <w:p>
            <w:pPr>
              <w:ind w:left="380"/>
              <w:spacing w:after="0"/>
              <w:rPr>
                <w:sz w:val="20"/>
                <w:szCs w:val="20"/>
                <w:color w:val="auto"/>
              </w:rPr>
            </w:pPr>
            <w:r>
              <w:rPr>
                <w:rFonts w:ascii="Arial" w:cs="Arial" w:eastAsia="Arial" w:hAnsi="Arial"/>
                <w:sz w:val="17"/>
                <w:szCs w:val="17"/>
                <w:color w:val="auto"/>
              </w:rPr>
              <w:t>Total operating expenses</w:t>
            </w:r>
          </w:p>
        </w:tc>
        <w:tc>
          <w:tcPr>
            <w:tcW w:w="1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7"/>
              </w:rPr>
              <w:t>715,745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648,472</w:t>
            </w:r>
          </w:p>
        </w:tc>
        <w:tc>
          <w:tcPr>
            <w:tcW w:w="40" w:type="dxa"/>
            <w:vAlign w:val="bottom"/>
          </w:tcPr>
          <w:p>
            <w:pPr>
              <w:spacing w:after="0"/>
              <w:rPr>
                <w:sz w:val="19"/>
                <w:szCs w:val="19"/>
                <w:color w:val="auto"/>
              </w:rPr>
            </w:pPr>
          </w:p>
        </w:tc>
      </w:tr>
      <w:tr>
        <w:trPr>
          <w:trHeight w:val="225"/>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16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7"/>
                <w:szCs w:val="17"/>
                <w:color w:val="auto"/>
              </w:rPr>
              <w:t>94,278</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63,823</w:t>
            </w:r>
          </w:p>
        </w:tc>
        <w:tc>
          <w:tcPr>
            <w:tcW w:w="40" w:type="dxa"/>
            <w:vAlign w:val="bottom"/>
          </w:tcPr>
          <w:p>
            <w:pPr>
              <w:spacing w:after="0"/>
              <w:rPr>
                <w:sz w:val="19"/>
                <w:szCs w:val="19"/>
                <w:color w:val="auto"/>
              </w:rPr>
            </w:pPr>
          </w:p>
        </w:tc>
      </w:tr>
      <w:tr>
        <w:trPr>
          <w:trHeight w:val="228"/>
        </w:trPr>
        <w:tc>
          <w:tcPr>
            <w:tcW w:w="6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Expense, Net:</w:t>
            </w:r>
          </w:p>
        </w:tc>
        <w:tc>
          <w:tcPr>
            <w:tcW w:w="16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520" w:type="dxa"/>
            <w:vAlign w:val="bottom"/>
          </w:tcPr>
          <w:p>
            <w:pPr>
              <w:ind w:left="200"/>
              <w:spacing w:after="0"/>
              <w:rPr>
                <w:sz w:val="20"/>
                <w:szCs w:val="20"/>
                <w:color w:val="auto"/>
              </w:rPr>
            </w:pPr>
            <w:r>
              <w:rPr>
                <w:rFonts w:ascii="Arial" w:cs="Arial" w:eastAsia="Arial" w:hAnsi="Arial"/>
                <w:sz w:val="17"/>
                <w:szCs w:val="17"/>
                <w:color w:val="auto"/>
              </w:rPr>
              <w:t>Interest expense, net</w:t>
            </w:r>
          </w:p>
        </w:tc>
        <w:tc>
          <w:tcPr>
            <w:tcW w:w="1620" w:type="dxa"/>
            <w:vAlign w:val="bottom"/>
          </w:tcPr>
          <w:p>
            <w:pPr>
              <w:spacing w:after="0"/>
              <w:rPr>
                <w:sz w:val="19"/>
                <w:szCs w:val="19"/>
                <w:color w:val="auto"/>
              </w:rPr>
            </w:pP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9,199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ind w:right="38"/>
              <w:spacing w:after="0"/>
              <w:rPr>
                <w:sz w:val="20"/>
                <w:szCs w:val="20"/>
                <w:color w:val="auto"/>
              </w:rPr>
            </w:pPr>
            <w:r>
              <w:rPr>
                <w:rFonts w:ascii="Arial" w:cs="Arial" w:eastAsia="Arial" w:hAnsi="Arial"/>
                <w:sz w:val="17"/>
                <w:szCs w:val="17"/>
                <w:color w:val="auto"/>
              </w:rPr>
              <w:t>24,972</w:t>
            </w:r>
          </w:p>
        </w:tc>
        <w:tc>
          <w:tcPr>
            <w:tcW w:w="40" w:type="dxa"/>
            <w:vAlign w:val="bottom"/>
          </w:tcPr>
          <w:p>
            <w:pPr>
              <w:spacing w:after="0"/>
              <w:rPr>
                <w:sz w:val="19"/>
                <w:szCs w:val="19"/>
                <w:color w:val="auto"/>
              </w:rPr>
            </w:pPr>
          </w:p>
        </w:tc>
      </w:tr>
      <w:tr>
        <w:trPr>
          <w:trHeight w:val="230"/>
        </w:trPr>
        <w:tc>
          <w:tcPr>
            <w:tcW w:w="65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Loss on extinguishment of debt</w:t>
            </w:r>
          </w:p>
        </w:tc>
        <w:tc>
          <w:tcPr>
            <w:tcW w:w="16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13,938</w:t>
            </w:r>
          </w:p>
        </w:tc>
        <w:tc>
          <w:tcPr>
            <w:tcW w:w="40" w:type="dxa"/>
            <w:vAlign w:val="bottom"/>
          </w:tcPr>
          <w:p>
            <w:pPr>
              <w:spacing w:after="0"/>
              <w:rPr>
                <w:sz w:val="19"/>
                <w:szCs w:val="19"/>
                <w:color w:val="auto"/>
              </w:rPr>
            </w:pPr>
          </w:p>
        </w:tc>
      </w:tr>
      <w:tr>
        <w:trPr>
          <w:trHeight w:val="223"/>
        </w:trPr>
        <w:tc>
          <w:tcPr>
            <w:tcW w:w="6520" w:type="dxa"/>
            <w:vAlign w:val="bottom"/>
            <w:tcBorders>
              <w:top w:val="single" w:sz="8" w:color="CFF0FC"/>
            </w:tcBorders>
          </w:tcPr>
          <w:p>
            <w:pPr>
              <w:ind w:left="380"/>
              <w:spacing w:after="0"/>
              <w:rPr>
                <w:sz w:val="20"/>
                <w:szCs w:val="20"/>
                <w:color w:val="auto"/>
              </w:rPr>
            </w:pPr>
            <w:r>
              <w:rPr>
                <w:rFonts w:ascii="Arial" w:cs="Arial" w:eastAsia="Arial" w:hAnsi="Arial"/>
                <w:sz w:val="17"/>
                <w:szCs w:val="17"/>
                <w:color w:val="auto"/>
              </w:rPr>
              <w:t>Total other expense, net</w:t>
            </w:r>
          </w:p>
        </w:tc>
        <w:tc>
          <w:tcPr>
            <w:tcW w:w="16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color w:val="auto"/>
              </w:rPr>
              <w:t>9,199</w:t>
            </w:r>
          </w:p>
        </w:tc>
        <w:tc>
          <w:tcPr>
            <w:tcW w:w="10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38,910</w:t>
            </w:r>
          </w:p>
        </w:tc>
        <w:tc>
          <w:tcPr>
            <w:tcW w:w="40" w:type="dxa"/>
            <w:vAlign w:val="bottom"/>
          </w:tcPr>
          <w:p>
            <w:pPr>
              <w:spacing w:after="0"/>
              <w:rPr>
                <w:sz w:val="19"/>
                <w:szCs w:val="19"/>
                <w:color w:val="auto"/>
              </w:rPr>
            </w:pPr>
          </w:p>
        </w:tc>
      </w:tr>
      <w:tr>
        <w:trPr>
          <w:trHeight w:val="230"/>
        </w:trPr>
        <w:tc>
          <w:tcPr>
            <w:tcW w:w="6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16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85,079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24,913</w:t>
            </w:r>
          </w:p>
        </w:tc>
        <w:tc>
          <w:tcPr>
            <w:tcW w:w="40" w:type="dxa"/>
            <w:vAlign w:val="bottom"/>
          </w:tcPr>
          <w:p>
            <w:pPr>
              <w:spacing w:after="0"/>
              <w:rPr>
                <w:sz w:val="19"/>
                <w:szCs w:val="19"/>
                <w:color w:val="auto"/>
              </w:rPr>
            </w:pPr>
          </w:p>
        </w:tc>
      </w:tr>
      <w:tr>
        <w:trPr>
          <w:trHeight w:val="223"/>
        </w:trPr>
        <w:tc>
          <w:tcPr>
            <w:tcW w:w="6520" w:type="dxa"/>
            <w:vAlign w:val="bottom"/>
          </w:tcPr>
          <w:p>
            <w:pPr>
              <w:ind w:left="200"/>
              <w:spacing w:after="0"/>
              <w:rPr>
                <w:sz w:val="20"/>
                <w:szCs w:val="20"/>
                <w:color w:val="auto"/>
              </w:rPr>
            </w:pPr>
            <w:r>
              <w:rPr>
                <w:rFonts w:ascii="Arial" w:cs="Arial" w:eastAsia="Arial" w:hAnsi="Arial"/>
                <w:sz w:val="17"/>
                <w:szCs w:val="17"/>
                <w:color w:val="auto"/>
              </w:rPr>
              <w:t>Provision for income taxes</w:t>
            </w:r>
          </w:p>
        </w:tc>
        <w:tc>
          <w:tcPr>
            <w:tcW w:w="1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20,475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8,862</w:t>
            </w:r>
          </w:p>
        </w:tc>
        <w:tc>
          <w:tcPr>
            <w:tcW w:w="40" w:type="dxa"/>
            <w:vAlign w:val="bottom"/>
          </w:tcPr>
          <w:p>
            <w:pPr>
              <w:spacing w:after="0"/>
              <w:rPr>
                <w:sz w:val="19"/>
                <w:szCs w:val="19"/>
                <w:color w:val="auto"/>
              </w:rPr>
            </w:pPr>
          </w:p>
        </w:tc>
      </w:tr>
      <w:tr>
        <w:trPr>
          <w:trHeight w:val="265"/>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Net income</w:t>
            </w:r>
          </w:p>
        </w:tc>
        <w:tc>
          <w:tcPr>
            <w:tcW w:w="1620" w:type="dxa"/>
            <w:vAlign w:val="bottom"/>
            <w:tcBorders>
              <w:bottom w:val="single" w:sz="8" w:color="auto"/>
            </w:tcBorders>
            <w:shd w:val="clear" w:color="auto" w:fill="CFF0FC"/>
          </w:tcPr>
          <w:p>
            <w:pPr>
              <w:jc w:val="right"/>
              <w:ind w:right="144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7"/>
                <w:szCs w:val="17"/>
                <w:color w:val="auto"/>
              </w:rPr>
              <w:t>64,604</w:t>
            </w:r>
          </w:p>
        </w:tc>
        <w:tc>
          <w:tcPr>
            <w:tcW w:w="10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5"/>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16,051</w:t>
            </w:r>
          </w:p>
        </w:tc>
        <w:tc>
          <w:tcPr>
            <w:tcW w:w="40" w:type="dxa"/>
            <w:vAlign w:val="bottom"/>
          </w:tcPr>
          <w:p>
            <w:pPr>
              <w:spacing w:after="0"/>
              <w:rPr>
                <w:sz w:val="23"/>
                <w:szCs w:val="23"/>
                <w:color w:val="auto"/>
              </w:rPr>
            </w:pPr>
          </w:p>
        </w:tc>
      </w:tr>
      <w:tr>
        <w:trPr>
          <w:trHeight w:val="201"/>
        </w:trPr>
        <w:tc>
          <w:tcPr>
            <w:tcW w:w="6520" w:type="dxa"/>
            <w:vAlign w:val="bottom"/>
          </w:tcPr>
          <w:p>
            <w:pPr>
              <w:ind w:left="20"/>
              <w:spacing w:after="0"/>
              <w:rPr>
                <w:sz w:val="20"/>
                <w:szCs w:val="20"/>
                <w:color w:val="auto"/>
              </w:rPr>
            </w:pPr>
            <w:r>
              <w:rPr>
                <w:rFonts w:ascii="Arial" w:cs="Arial" w:eastAsia="Arial" w:hAnsi="Arial"/>
                <w:sz w:val="17"/>
                <w:szCs w:val="17"/>
                <w:color w:val="auto"/>
              </w:rPr>
              <w:t>Net income margin</w:t>
            </w:r>
          </w:p>
        </w:tc>
        <w:tc>
          <w:tcPr>
            <w:tcW w:w="16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8.0 %</w:t>
            </w:r>
          </w:p>
        </w:tc>
        <w:tc>
          <w:tcPr>
            <w:tcW w:w="40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-1671320</wp:posOffset>
            </wp:positionV>
            <wp:extent cx="685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-1362710</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-770890</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3"/>
                <w:szCs w:val="13"/>
                <w:b w:val="1"/>
                <w:bCs w:val="1"/>
                <w:color w:val="auto"/>
              </w:rPr>
              <w:t>Successor</w:t>
            </w:r>
          </w:p>
        </w:tc>
        <w:tc>
          <w:tcPr>
            <w:tcW w:w="1820" w:type="dxa"/>
            <w:vAlign w:val="bottom"/>
            <w:tcBorders>
              <w:bottom w:val="single" w:sz="8" w:color="auto"/>
            </w:tcBorders>
          </w:tcPr>
          <w:p>
            <w:pPr>
              <w:spacing w:after="0"/>
              <w:rPr>
                <w:sz w:val="15"/>
                <w:szCs w:val="15"/>
                <w:color w:val="auto"/>
              </w:rPr>
            </w:pPr>
          </w:p>
        </w:tc>
      </w:tr>
      <w:tr>
        <w:trPr>
          <w:trHeight w:val="143"/>
        </w:trPr>
        <w:tc>
          <w:tcPr>
            <w:tcW w:w="6620" w:type="dxa"/>
            <w:vAlign w:val="bottom"/>
          </w:tcPr>
          <w:p>
            <w:pPr>
              <w:spacing w:after="0"/>
              <w:rPr>
                <w:sz w:val="12"/>
                <w:szCs w:val="12"/>
                <w:color w:val="auto"/>
              </w:rPr>
            </w:pPr>
          </w:p>
        </w:tc>
        <w:tc>
          <w:tcPr>
            <w:tcW w:w="1520" w:type="dxa"/>
            <w:vAlign w:val="bottom"/>
          </w:tcPr>
          <w:p>
            <w:pPr>
              <w:jc w:val="center"/>
              <w:ind w:left="525"/>
              <w:spacing w:after="0" w:line="143" w:lineRule="exact"/>
              <w:rPr>
                <w:sz w:val="20"/>
                <w:szCs w:val="20"/>
                <w:color w:val="auto"/>
              </w:rPr>
            </w:pPr>
            <w:r>
              <w:rPr>
                <w:rFonts w:ascii="Arial" w:cs="Arial" w:eastAsia="Arial" w:hAnsi="Arial"/>
                <w:sz w:val="13"/>
                <w:szCs w:val="13"/>
                <w:b w:val="1"/>
                <w:bCs w:val="1"/>
                <w:color w:val="auto"/>
                <w:w w:val="95"/>
              </w:rPr>
              <w:t>Year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20" w:type="dxa"/>
            <w:vAlign w:val="bottom"/>
          </w:tcPr>
          <w:p>
            <w:pPr>
              <w:jc w:val="center"/>
              <w:ind w:right="502"/>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620" w:type="dxa"/>
            <w:vAlign w:val="bottom"/>
          </w:tcPr>
          <w:p>
            <w:pPr>
              <w:spacing w:after="0"/>
              <w:rPr>
                <w:sz w:val="15"/>
                <w:szCs w:val="15"/>
                <w:color w:val="auto"/>
              </w:rPr>
            </w:pPr>
          </w:p>
        </w:tc>
        <w:tc>
          <w:tcPr>
            <w:tcW w:w="1520" w:type="dxa"/>
            <w:vAlign w:val="bottom"/>
          </w:tcPr>
          <w:p>
            <w:pPr>
              <w:jc w:val="center"/>
              <w:ind w:left="545"/>
              <w:spacing w:after="0"/>
              <w:rPr>
                <w:sz w:val="20"/>
                <w:szCs w:val="20"/>
                <w:color w:val="auto"/>
              </w:rPr>
            </w:pPr>
            <w:r>
              <w:rPr>
                <w:rFonts w:ascii="Arial" w:cs="Arial" w:eastAsia="Arial" w:hAnsi="Arial"/>
                <w:sz w:val="13"/>
                <w:szCs w:val="13"/>
                <w:b w:val="1"/>
                <w:bCs w:val="1"/>
                <w:color w:val="auto"/>
                <w:w w:val="92"/>
              </w:rPr>
              <w:t>December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jc w:val="center"/>
              <w:ind w:right="442"/>
              <w:spacing w:after="0"/>
              <w:rPr>
                <w:sz w:val="20"/>
                <w:szCs w:val="20"/>
                <w:color w:val="auto"/>
              </w:rPr>
            </w:pPr>
            <w:r>
              <w:rPr>
                <w:rFonts w:ascii="Arial" w:cs="Arial" w:eastAsia="Arial" w:hAnsi="Arial"/>
                <w:sz w:val="13"/>
                <w:szCs w:val="13"/>
                <w:b w:val="1"/>
                <w:bCs w:val="1"/>
                <w:color w:val="auto"/>
                <w:w w:val="92"/>
              </w:rPr>
              <w:t>December 31,</w:t>
            </w:r>
          </w:p>
        </w:tc>
      </w:tr>
      <w:tr>
        <w:trPr>
          <w:trHeight w:val="176"/>
        </w:trPr>
        <w:tc>
          <w:tcPr>
            <w:tcW w:w="66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520" w:type="dxa"/>
            <w:vAlign w:val="bottom"/>
            <w:tcBorders>
              <w:bottom w:val="single" w:sz="8" w:color="auto"/>
            </w:tcBorders>
          </w:tcPr>
          <w:p>
            <w:pPr>
              <w:jc w:val="center"/>
              <w:ind w:left="565"/>
              <w:spacing w:after="0"/>
              <w:rPr>
                <w:sz w:val="20"/>
                <w:szCs w:val="20"/>
                <w:color w:val="auto"/>
              </w:rPr>
            </w:pPr>
            <w:r>
              <w:rPr>
                <w:rFonts w:ascii="Arial" w:cs="Arial" w:eastAsia="Arial" w:hAnsi="Arial"/>
                <w:sz w:val="13"/>
                <w:szCs w:val="13"/>
                <w:b w:val="1"/>
                <w:bCs w:val="1"/>
                <w:color w:val="auto"/>
                <w:w w:val="96"/>
              </w:rPr>
              <w:t>2022</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442"/>
              <w:spacing w:after="0"/>
              <w:rPr>
                <w:sz w:val="20"/>
                <w:szCs w:val="20"/>
                <w:color w:val="auto"/>
              </w:rPr>
            </w:pPr>
            <w:r>
              <w:rPr>
                <w:rFonts w:ascii="Arial" w:cs="Arial" w:eastAsia="Arial" w:hAnsi="Arial"/>
                <w:sz w:val="13"/>
                <w:szCs w:val="13"/>
                <w:b w:val="1"/>
                <w:bCs w:val="1"/>
                <w:color w:val="auto"/>
                <w:w w:val="89"/>
              </w:rPr>
              <w:t>2021</w:t>
            </w: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Revenues</w:t>
            </w:r>
          </w:p>
        </w:tc>
        <w:tc>
          <w:tcPr>
            <w:tcW w:w="1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r>
      <w:tr>
        <w:trPr>
          <w:trHeight w:val="223"/>
        </w:trPr>
        <w:tc>
          <w:tcPr>
            <w:tcW w:w="6620" w:type="dxa"/>
            <w:vAlign w:val="bottom"/>
          </w:tcPr>
          <w:p>
            <w:pPr>
              <w:ind w:left="120"/>
              <w:spacing w:after="0"/>
              <w:rPr>
                <w:sz w:val="20"/>
                <w:szCs w:val="20"/>
                <w:color w:val="auto"/>
              </w:rPr>
            </w:pPr>
            <w:r>
              <w:rPr>
                <w:rFonts w:ascii="Arial" w:cs="Arial" w:eastAsia="Arial" w:hAnsi="Arial"/>
                <w:sz w:val="17"/>
                <w:szCs w:val="17"/>
                <w:color w:val="auto"/>
              </w:rPr>
              <w:t>Americas</w:t>
            </w:r>
          </w:p>
        </w:tc>
        <w:tc>
          <w:tcPr>
            <w:tcW w:w="1520" w:type="dxa"/>
            <w:vAlign w:val="bottom"/>
          </w:tcPr>
          <w:p>
            <w:pPr>
              <w:jc w:val="right"/>
              <w:ind w:right="134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58"/>
              <w:spacing w:after="0"/>
              <w:rPr>
                <w:sz w:val="20"/>
                <w:szCs w:val="20"/>
                <w:color w:val="auto"/>
              </w:rPr>
            </w:pPr>
            <w:r>
              <w:rPr>
                <w:rFonts w:ascii="Arial" w:cs="Arial" w:eastAsia="Arial" w:hAnsi="Arial"/>
                <w:sz w:val="17"/>
                <w:szCs w:val="17"/>
                <w:color w:val="auto"/>
                <w:w w:val="97"/>
              </w:rPr>
              <w:t>694,865</w:t>
            </w:r>
          </w:p>
        </w:tc>
        <w:tc>
          <w:tcPr>
            <w:tcW w:w="52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42"/>
              <w:spacing w:after="0"/>
              <w:rPr>
                <w:sz w:val="20"/>
                <w:szCs w:val="20"/>
                <w:color w:val="auto"/>
              </w:rPr>
            </w:pPr>
            <w:r>
              <w:rPr>
                <w:rFonts w:ascii="Arial" w:cs="Arial" w:eastAsia="Arial" w:hAnsi="Arial"/>
                <w:sz w:val="17"/>
                <w:szCs w:val="17"/>
                <w:color w:val="auto"/>
              </w:rPr>
              <w:t>604,413</w:t>
            </w:r>
          </w:p>
        </w:tc>
      </w:tr>
      <w:tr>
        <w:trPr>
          <w:trHeight w:val="236"/>
        </w:trPr>
        <w:tc>
          <w:tcPr>
            <w:tcW w:w="66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International</w:t>
            </w:r>
          </w:p>
        </w:tc>
        <w:tc>
          <w:tcPr>
            <w:tcW w:w="15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8"/>
              <w:spacing w:after="0"/>
              <w:rPr>
                <w:sz w:val="20"/>
                <w:szCs w:val="20"/>
                <w:color w:val="auto"/>
              </w:rPr>
            </w:pPr>
            <w:r>
              <w:rPr>
                <w:rFonts w:ascii="Arial" w:cs="Arial" w:eastAsia="Arial" w:hAnsi="Arial"/>
                <w:sz w:val="17"/>
                <w:szCs w:val="17"/>
                <w:color w:val="auto"/>
                <w:w w:val="97"/>
              </w:rPr>
              <w:t>122,599</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114,009</w:t>
            </w:r>
          </w:p>
        </w:tc>
      </w:tr>
      <w:tr>
        <w:trPr>
          <w:trHeight w:val="228"/>
        </w:trPr>
        <w:tc>
          <w:tcPr>
            <w:tcW w:w="6620" w:type="dxa"/>
            <w:vAlign w:val="bottom"/>
          </w:tcPr>
          <w:p>
            <w:pPr>
              <w:ind w:left="120"/>
              <w:spacing w:after="0"/>
              <w:rPr>
                <w:sz w:val="20"/>
                <w:szCs w:val="20"/>
                <w:color w:val="auto"/>
              </w:rPr>
            </w:pPr>
            <w:r>
              <w:rPr>
                <w:rFonts w:ascii="Arial" w:cs="Arial" w:eastAsia="Arial" w:hAnsi="Arial"/>
                <w:sz w:val="17"/>
                <w:szCs w:val="17"/>
                <w:color w:val="auto"/>
              </w:rPr>
              <w:t>Eliminations</w:t>
            </w:r>
          </w:p>
        </w:tc>
        <w:tc>
          <w:tcPr>
            <w:tcW w:w="1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(7,441 )</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(6,127 )</w:t>
            </w:r>
          </w:p>
        </w:tc>
      </w:tr>
      <w:tr>
        <w:trPr>
          <w:trHeight w:val="258"/>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revenues</w:t>
            </w:r>
          </w:p>
        </w:tc>
        <w:tc>
          <w:tcPr>
            <w:tcW w:w="1520" w:type="dxa"/>
            <w:vAlign w:val="bottom"/>
            <w:tcBorders>
              <w:bottom w:val="single" w:sz="8" w:color="auto"/>
            </w:tcBorders>
            <w:shd w:val="clear" w:color="auto" w:fill="CFF0FC"/>
          </w:tcPr>
          <w:p>
            <w:pPr>
              <w:jc w:val="right"/>
              <w:ind w:right="134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7"/>
                <w:szCs w:val="17"/>
                <w:color w:val="auto"/>
                <w:w w:val="97"/>
              </w:rPr>
              <w:t>810,023</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5"/>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712,295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were $810.0 million for the year ended December 31, 2022, compared to $712.3 million for the year ended December 31, 2021. Revenues for the year ended December 31, 2022 increased by $97.7 million, or 13.7%, compared to the year ended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due to:</w:t>
      </w:r>
    </w:p>
    <w:p>
      <w:pPr>
        <w:spacing w:after="0" w:line="171"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of $37.0 million attributable to the Company’s acquisitions in the Americas and International segments;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revenues of $35.4 million attributable to new customers in both the Americas and International segments; and</w:t>
      </w:r>
    </w:p>
    <w:p>
      <w:pPr>
        <w:spacing w:after="0" w:line="117" w:lineRule="exact"/>
        <w:rPr>
          <w:rFonts w:ascii="Arial" w:cs="Arial" w:eastAsia="Arial" w:hAnsi="Arial"/>
          <w:sz w:val="18"/>
          <w:szCs w:val="18"/>
          <w:color w:val="auto"/>
        </w:rPr>
      </w:pPr>
    </w:p>
    <w:p>
      <w:pPr>
        <w:jc w:val="both"/>
        <w:ind w:left="1020" w:right="260" w:hanging="503"/>
        <w:spacing w:after="0" w:line="311"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net increase of $25.3 million in existing customer revenues, primarily driven by strength across our Americas business in the first half of 2022, which was supported by positive jobs market trends including sustained job switching and churn. These existing customer increases were offset by the impact of lost accounts, slower hiring in the second half of 2022, and the effects of changes in foreign currencies.</w:t>
      </w:r>
    </w:p>
    <w:p>
      <w:pPr>
        <w:spacing w:after="0" w:line="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2022, the Company experienced growing demand among customers across numerous industry verticals and account sizes in both its Americas and International segments. However, during the second half of 2022, certain industry verticals in the Americas segment and select International segment markets experienced reduced revenue volumes as a result of macro-economic headwinds and negative foreign currency impacts due to strengthening of the U.S. Dollar. Pricing remained relatively stable across all periods.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Cost of Services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3"/>
                <w:szCs w:val="13"/>
                <w:b w:val="1"/>
                <w:bCs w:val="1"/>
                <w:color w:val="auto"/>
              </w:rPr>
              <w:t>Successor</w:t>
            </w:r>
          </w:p>
        </w:tc>
        <w:tc>
          <w:tcPr>
            <w:tcW w:w="1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3"/>
        </w:trPr>
        <w:tc>
          <w:tcPr>
            <w:tcW w:w="6520" w:type="dxa"/>
            <w:vAlign w:val="bottom"/>
          </w:tcPr>
          <w:p>
            <w:pPr>
              <w:spacing w:after="0"/>
              <w:rPr>
                <w:sz w:val="12"/>
                <w:szCs w:val="12"/>
                <w:color w:val="auto"/>
              </w:rPr>
            </w:pPr>
          </w:p>
        </w:tc>
        <w:tc>
          <w:tcPr>
            <w:tcW w:w="1620" w:type="dxa"/>
            <w:vAlign w:val="bottom"/>
          </w:tcPr>
          <w:p>
            <w:pPr>
              <w:jc w:val="center"/>
              <w:ind w:left="548"/>
              <w:spacing w:after="0" w:line="143" w:lineRule="exact"/>
              <w:rPr>
                <w:sz w:val="20"/>
                <w:szCs w:val="20"/>
                <w:color w:val="auto"/>
              </w:rPr>
            </w:pPr>
            <w:r>
              <w:rPr>
                <w:rFonts w:ascii="Arial" w:cs="Arial" w:eastAsia="Arial" w:hAnsi="Arial"/>
                <w:sz w:val="13"/>
                <w:szCs w:val="13"/>
                <w:b w:val="1"/>
                <w:bCs w:val="1"/>
                <w:color w:val="auto"/>
                <w:w w:val="95"/>
              </w:rPr>
              <w:t>Year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gridSpan w:val="2"/>
          </w:tcPr>
          <w:p>
            <w:pPr>
              <w:jc w:val="center"/>
              <w:ind w:right="600"/>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520" w:type="dxa"/>
            <w:vAlign w:val="bottom"/>
          </w:tcPr>
          <w:p>
            <w:pPr>
              <w:spacing w:after="0"/>
              <w:rPr>
                <w:sz w:val="15"/>
                <w:szCs w:val="15"/>
                <w:color w:val="auto"/>
              </w:rPr>
            </w:pPr>
          </w:p>
        </w:tc>
        <w:tc>
          <w:tcPr>
            <w:tcW w:w="1620" w:type="dxa"/>
            <w:vAlign w:val="bottom"/>
          </w:tcPr>
          <w:p>
            <w:pPr>
              <w:jc w:val="center"/>
              <w:ind w:left="568"/>
              <w:spacing w:after="0"/>
              <w:rPr>
                <w:sz w:val="20"/>
                <w:szCs w:val="20"/>
                <w:color w:val="auto"/>
              </w:rPr>
            </w:pPr>
            <w:r>
              <w:rPr>
                <w:rFonts w:ascii="Arial" w:cs="Arial" w:eastAsia="Arial" w:hAnsi="Arial"/>
                <w:sz w:val="13"/>
                <w:szCs w:val="13"/>
                <w:b w:val="1"/>
                <w:bCs w:val="1"/>
                <w:color w:val="auto"/>
                <w:w w:val="92"/>
              </w:rPr>
              <w:t>December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December 31,</w:t>
            </w:r>
          </w:p>
        </w:tc>
      </w:tr>
      <w:tr>
        <w:trPr>
          <w:trHeight w:val="176"/>
        </w:trPr>
        <w:tc>
          <w:tcPr>
            <w:tcW w:w="65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20" w:type="dxa"/>
            <w:vAlign w:val="bottom"/>
            <w:tcBorders>
              <w:bottom w:val="single" w:sz="8" w:color="auto"/>
            </w:tcBorders>
          </w:tcPr>
          <w:p>
            <w:pPr>
              <w:jc w:val="center"/>
              <w:ind w:left="588"/>
              <w:spacing w:after="0"/>
              <w:rPr>
                <w:sz w:val="20"/>
                <w:szCs w:val="20"/>
                <w:color w:val="auto"/>
              </w:rPr>
            </w:pPr>
            <w:r>
              <w:rPr>
                <w:rFonts w:ascii="Arial" w:cs="Arial" w:eastAsia="Arial" w:hAnsi="Arial"/>
                <w:sz w:val="13"/>
                <w:szCs w:val="13"/>
                <w:b w:val="1"/>
                <w:bCs w:val="1"/>
                <w:color w:val="auto"/>
                <w:w w:val="96"/>
              </w:rPr>
              <w:t>2022</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424"/>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5"/>
                <w:szCs w:val="15"/>
                <w:color w:val="auto"/>
              </w:rPr>
            </w:pPr>
          </w:p>
        </w:tc>
      </w:tr>
      <w:tr>
        <w:trPr>
          <w:trHeight w:val="223"/>
        </w:trPr>
        <w:tc>
          <w:tcPr>
            <w:tcW w:w="6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Revenues</w:t>
            </w:r>
          </w:p>
        </w:tc>
        <w:tc>
          <w:tcPr>
            <w:tcW w:w="1620" w:type="dxa"/>
            <w:vAlign w:val="bottom"/>
            <w:shd w:val="clear" w:color="auto" w:fill="CFF0FC"/>
          </w:tcPr>
          <w:p>
            <w:pPr>
              <w:jc w:val="right"/>
              <w:ind w:right="1448"/>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w w:val="97"/>
              </w:rPr>
              <w:t>810,023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712,295</w:t>
            </w:r>
          </w:p>
        </w:tc>
        <w:tc>
          <w:tcPr>
            <w:tcW w:w="40" w:type="dxa"/>
            <w:vAlign w:val="bottom"/>
          </w:tcPr>
          <w:p>
            <w:pPr>
              <w:spacing w:after="0"/>
              <w:rPr>
                <w:sz w:val="19"/>
                <w:szCs w:val="19"/>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7"/>
                <w:szCs w:val="17"/>
                <w:color w:val="auto"/>
              </w:rPr>
              <w:t>Cost of services</w:t>
            </w:r>
          </w:p>
        </w:tc>
        <w:tc>
          <w:tcPr>
            <w:tcW w:w="16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7"/>
                <w:szCs w:val="17"/>
                <w:color w:val="auto"/>
                <w:w w:val="97"/>
              </w:rPr>
              <w:t>408,928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right"/>
              <w:ind w:right="44"/>
              <w:spacing w:after="0"/>
              <w:rPr>
                <w:sz w:val="20"/>
                <w:szCs w:val="20"/>
                <w:color w:val="auto"/>
              </w:rPr>
            </w:pPr>
            <w:r>
              <w:rPr>
                <w:rFonts w:ascii="Arial" w:cs="Arial" w:eastAsia="Arial" w:hAnsi="Arial"/>
                <w:sz w:val="17"/>
                <w:szCs w:val="17"/>
                <w:color w:val="auto"/>
              </w:rPr>
              <w:t>352,170</w:t>
            </w:r>
          </w:p>
        </w:tc>
        <w:tc>
          <w:tcPr>
            <w:tcW w:w="40" w:type="dxa"/>
            <w:vAlign w:val="bottom"/>
          </w:tcPr>
          <w:p>
            <w:pPr>
              <w:spacing w:after="0"/>
              <w:rPr>
                <w:sz w:val="18"/>
                <w:szCs w:val="18"/>
                <w:color w:val="auto"/>
              </w:rPr>
            </w:pPr>
          </w:p>
        </w:tc>
      </w:tr>
      <w:tr>
        <w:trPr>
          <w:trHeight w:val="225"/>
        </w:trPr>
        <w:tc>
          <w:tcPr>
            <w:tcW w:w="6520" w:type="dxa"/>
            <w:vAlign w:val="bottom"/>
          </w:tcPr>
          <w:p>
            <w:pPr>
              <w:ind w:left="20"/>
              <w:spacing w:after="0"/>
              <w:rPr>
                <w:sz w:val="20"/>
                <w:szCs w:val="20"/>
                <w:color w:val="auto"/>
              </w:rPr>
            </w:pPr>
            <w:r>
              <w:rPr>
                <w:rFonts w:ascii="Arial" w:cs="Arial" w:eastAsia="Arial" w:hAnsi="Arial"/>
                <w:sz w:val="17"/>
                <w:szCs w:val="17"/>
                <w:color w:val="auto"/>
              </w:rPr>
              <w:t>Cost of services as a % of revenue</w:t>
            </w:r>
          </w:p>
        </w:tc>
        <w:tc>
          <w:tcPr>
            <w:tcW w:w="16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50.5 %</w:t>
            </w:r>
          </w:p>
        </w:tc>
        <w:tc>
          <w:tcPr>
            <w:tcW w:w="40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49.4 %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Cost of services was $408.9 million for the year ended December 31, 2022, compared to $352.2 million for the year ended December 31, 2021. Cost of services for the year ended December 31, 2022 increased by $56.8 million, or 16.1%, compared to the year ended December 31,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71" w:lineRule="exact"/>
        <w:rPr>
          <w:sz w:val="20"/>
          <w:szCs w:val="20"/>
          <w:color w:val="auto"/>
        </w:rPr>
      </w:pPr>
    </w:p>
    <w:p>
      <w:pPr>
        <w:ind w:left="1020" w:right="360" w:hanging="503"/>
        <w:spacing w:after="0" w:line="30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increase in variable third-party data expenses of $42.7 million as a direct result of increased revenues, increases in the prices of certain third-party data usage, variation in customer ordering mix, and acquisitions having a larger mix of third-party data expenses;</w:t>
      </w:r>
    </w:p>
    <w:p>
      <w:pPr>
        <w:spacing w:after="0" w:line="38" w:lineRule="exact"/>
        <w:rPr>
          <w:rFonts w:ascii="Arial" w:cs="Arial" w:eastAsia="Arial" w:hAnsi="Arial"/>
          <w:sz w:val="17"/>
          <w:szCs w:val="17"/>
          <w:color w:val="auto"/>
        </w:rPr>
      </w:pPr>
    </w:p>
    <w:p>
      <w:pPr>
        <w:ind w:left="1020" w:right="4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$12.5 million increase in personnel related expenses in our operations and customer care functions as a result of additional operational support headcount to process and fulfill the Company’s order volume growth;</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$1.4 million increase in liability insurance related expenses; and</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number of cost of services related operating expense increases attributable to travel, software licenses, and other expenses related to the increased revenue volumes experienced in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partially offset by:</w:t>
      </w:r>
    </w:p>
    <w:p>
      <w:pPr>
        <w:spacing w:after="0" w:line="171"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exchange gains of $1.8 million due to the impact of foreign exchange rate volatility.</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Cost of services as a percentage of revenues was 50.5% for the year ended December 31, 2022, compared to 49.4% for the year ended December 31, 2021. The cost of services percentage of revenues for the year ended December 31, 2022 was impacted by increases in certain third-party data costs, variation in customer ordering mix to lower margin products, and acquisitions having a larger mix of third-party data expenses. This increase was partially offset by cost savings from the Company’s continued implementation of automation and other process efficiencies, as well as certain cost savings actions taken by the Company in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Technology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3"/>
                <w:szCs w:val="13"/>
                <w:b w:val="1"/>
                <w:bCs w:val="1"/>
                <w:color w:val="auto"/>
              </w:rPr>
              <w:t>Successor</w:t>
            </w:r>
          </w:p>
        </w:tc>
        <w:tc>
          <w:tcPr>
            <w:tcW w:w="1820" w:type="dxa"/>
            <w:vAlign w:val="bottom"/>
            <w:tcBorders>
              <w:bottom w:val="single" w:sz="8" w:color="auto"/>
            </w:tcBorders>
          </w:tcPr>
          <w:p>
            <w:pPr>
              <w:spacing w:after="0"/>
              <w:rPr>
                <w:sz w:val="15"/>
                <w:szCs w:val="15"/>
                <w:color w:val="auto"/>
              </w:rPr>
            </w:pPr>
          </w:p>
        </w:tc>
      </w:tr>
      <w:tr>
        <w:trPr>
          <w:trHeight w:val="143"/>
        </w:trPr>
        <w:tc>
          <w:tcPr>
            <w:tcW w:w="6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center"/>
              <w:ind w:right="469"/>
              <w:spacing w:after="0" w:line="143" w:lineRule="exact"/>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Pr>
          <w:p>
            <w:pPr>
              <w:jc w:val="center"/>
              <w:ind w:right="508"/>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center"/>
              <w:ind w:right="429"/>
              <w:spacing w:after="0"/>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jc w:val="center"/>
              <w:ind w:right="468"/>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6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429"/>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468"/>
              <w:spacing w:after="0"/>
              <w:rPr>
                <w:sz w:val="20"/>
                <w:szCs w:val="20"/>
                <w:color w:val="auto"/>
              </w:rPr>
            </w:pPr>
            <w:r>
              <w:rPr>
                <w:rFonts w:ascii="Arial" w:cs="Arial" w:eastAsia="Arial" w:hAnsi="Arial"/>
                <w:sz w:val="13"/>
                <w:szCs w:val="13"/>
                <w:b w:val="1"/>
                <w:bCs w:val="1"/>
                <w:color w:val="auto"/>
                <w:w w:val="96"/>
              </w:rPr>
              <w:t>2021</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Product and technology expense</w:t>
            </w: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FF0FC"/>
          </w:tcPr>
          <w:p>
            <w:pPr>
              <w:jc w:val="right"/>
              <w:ind w:right="49"/>
              <w:spacing w:after="0"/>
              <w:rPr>
                <w:sz w:val="20"/>
                <w:szCs w:val="20"/>
                <w:color w:val="auto"/>
              </w:rPr>
            </w:pPr>
            <w:r>
              <w:rPr>
                <w:rFonts w:ascii="Arial" w:cs="Arial" w:eastAsia="Arial" w:hAnsi="Arial"/>
                <w:sz w:val="17"/>
                <w:szCs w:val="17"/>
                <w:color w:val="auto"/>
              </w:rPr>
              <w:t>51,931</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FF0FC"/>
          </w:tcPr>
          <w:p>
            <w:pPr>
              <w:jc w:val="right"/>
              <w:ind w:right="48"/>
              <w:spacing w:after="0"/>
              <w:rPr>
                <w:sz w:val="20"/>
                <w:szCs w:val="20"/>
                <w:color w:val="auto"/>
              </w:rPr>
            </w:pPr>
            <w:r>
              <w:rPr>
                <w:rFonts w:ascii="Arial" w:cs="Arial" w:eastAsia="Arial" w:hAnsi="Arial"/>
                <w:sz w:val="17"/>
                <w:szCs w:val="17"/>
                <w:color w:val="auto"/>
              </w:rPr>
              <w:t>45,507</w:t>
            </w:r>
          </w:p>
        </w:tc>
      </w:tr>
    </w:tbl>
    <w:p>
      <w:pPr>
        <w:spacing w:after="0" w:line="14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Product and technology expense was $51.9 million for the year ended December 31, 2022, compared to $45.5 million for the year ended December 31, 2021. Product and technology expense for the year ended December 31, 2022 increased by $6.4 million, or 14.1%, compared to the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71"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$5.9 million increase in software licensing related expenses.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3" w:right="29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3"/>
                <w:szCs w:val="13"/>
                <w:b w:val="1"/>
                <w:bCs w:val="1"/>
                <w:color w:val="auto"/>
              </w:rPr>
              <w:t>Successor</w:t>
            </w:r>
          </w:p>
        </w:tc>
        <w:tc>
          <w:tcPr>
            <w:tcW w:w="1820" w:type="dxa"/>
            <w:vAlign w:val="bottom"/>
            <w:tcBorders>
              <w:bottom w:val="single" w:sz="8" w:color="auto"/>
            </w:tcBorders>
          </w:tcPr>
          <w:p>
            <w:pPr>
              <w:spacing w:after="0"/>
              <w:rPr>
                <w:sz w:val="15"/>
                <w:szCs w:val="15"/>
                <w:color w:val="auto"/>
              </w:rPr>
            </w:pPr>
          </w:p>
        </w:tc>
      </w:tr>
      <w:tr>
        <w:trPr>
          <w:trHeight w:val="143"/>
        </w:trPr>
        <w:tc>
          <w:tcPr>
            <w:tcW w:w="6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center"/>
              <w:ind w:right="469"/>
              <w:spacing w:after="0" w:line="143" w:lineRule="exact"/>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Pr>
          <w:p>
            <w:pPr>
              <w:jc w:val="center"/>
              <w:ind w:right="508"/>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center"/>
              <w:ind w:right="429"/>
              <w:spacing w:after="0"/>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jc w:val="center"/>
              <w:ind w:right="468"/>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6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429"/>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468"/>
              <w:spacing w:after="0"/>
              <w:rPr>
                <w:sz w:val="20"/>
                <w:szCs w:val="20"/>
                <w:color w:val="auto"/>
              </w:rPr>
            </w:pPr>
            <w:r>
              <w:rPr>
                <w:rFonts w:ascii="Arial" w:cs="Arial" w:eastAsia="Arial" w:hAnsi="Arial"/>
                <w:sz w:val="13"/>
                <w:szCs w:val="13"/>
                <w:b w:val="1"/>
                <w:bCs w:val="1"/>
                <w:color w:val="auto"/>
                <w:w w:val="96"/>
              </w:rPr>
              <w:t>2021</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FF0FC"/>
          </w:tcPr>
          <w:p>
            <w:pPr>
              <w:jc w:val="right"/>
              <w:ind w:right="49"/>
              <w:spacing w:after="0"/>
              <w:rPr>
                <w:sz w:val="20"/>
                <w:szCs w:val="20"/>
                <w:color w:val="auto"/>
              </w:rPr>
            </w:pPr>
            <w:r>
              <w:rPr>
                <w:rFonts w:ascii="Arial" w:cs="Arial" w:eastAsia="Arial" w:hAnsi="Arial"/>
                <w:sz w:val="17"/>
                <w:szCs w:val="17"/>
                <w:color w:val="auto"/>
              </w:rPr>
              <w:t>116,640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FF0FC"/>
          </w:tcPr>
          <w:p>
            <w:pPr>
              <w:jc w:val="right"/>
              <w:ind w:right="48"/>
              <w:spacing w:after="0"/>
              <w:rPr>
                <w:sz w:val="20"/>
                <w:szCs w:val="20"/>
                <w:color w:val="auto"/>
              </w:rPr>
            </w:pPr>
            <w:r>
              <w:rPr>
                <w:rFonts w:ascii="Arial" w:cs="Arial" w:eastAsia="Arial" w:hAnsi="Arial"/>
                <w:sz w:val="17"/>
                <w:szCs w:val="17"/>
                <w:color w:val="auto"/>
              </w:rPr>
              <w:t>107,980</w:t>
            </w:r>
          </w:p>
        </w:tc>
      </w:tr>
    </w:tbl>
    <w:p>
      <w:pPr>
        <w:spacing w:after="0" w:line="14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Selling, general, and administrative expense was $116.6 million for the year ended December 31, 2022, compared to $108.0 million for the year ended December 31, 2021. Selling, general, and administrative expense for the year ended December 31, 2022 increased by $8.7 million, or 8.0%, compared to the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71" w:lineRule="exact"/>
        <w:rPr>
          <w:sz w:val="20"/>
          <w:szCs w:val="20"/>
          <w:color w:val="auto"/>
        </w:rPr>
      </w:pPr>
    </w:p>
    <w:p>
      <w:pPr>
        <w:ind w:left="1020" w:right="320" w:hanging="503"/>
        <w:spacing w:after="0" w:line="30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$6.7 million increase in personnel related expenses primarily due to additional investments made in the Company’s Sales and Customer Success functions and additional headcount related to the Company’s growth and operating as a public company;</w:t>
      </w:r>
    </w:p>
    <w:p>
      <w:pPr>
        <w:spacing w:after="0" w:line="92"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$2.0 million increase in liability insurance expenses;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$3.2 million increase in expenses related to litigation activities in the ordinary course of business;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$1.4 million increase in marketing expenses;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$0.9 million increase in travel expenses; and</w:t>
      </w:r>
    </w:p>
    <w:p>
      <w:pPr>
        <w:spacing w:after="0" w:line="171"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number of other corporate expenses that increased primarily as a result of the Company now being a publicly traded company and the Company’s acquisition activity.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71" w:lineRule="exact"/>
        <w:rPr>
          <w:sz w:val="20"/>
          <w:szCs w:val="20"/>
          <w:color w:val="auto"/>
        </w:rPr>
      </w:pPr>
    </w:p>
    <w:p>
      <w:pPr>
        <w:ind w:left="1020" w:right="60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$2.7 million decrease in commissions and bonus related expenses due to lower variable commissions based on actual results against internal performance targets;</w:t>
      </w:r>
    </w:p>
    <w:p>
      <w:pPr>
        <w:spacing w:after="0" w:line="62"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$3.5 million decrease in share-based compensation expenses as a result of performance related vesting due to the Company’s IPO and incremental awards granted in conjunction with the IPO in 2021 which did not reoccur in 2022; and</w:t>
      </w:r>
    </w:p>
    <w:p>
      <w:pPr>
        <w:spacing w:after="0" w:line="62"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$4.2 million decrease in professional service fees incurred related to the Company’s preparation for its 2021 IPO and secondary offering that did not reoccur in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3"/>
                <w:szCs w:val="13"/>
                <w:b w:val="1"/>
                <w:bCs w:val="1"/>
                <w:color w:val="auto"/>
              </w:rPr>
              <w:t>Successor</w:t>
            </w:r>
          </w:p>
        </w:tc>
        <w:tc>
          <w:tcPr>
            <w:tcW w:w="1820" w:type="dxa"/>
            <w:vAlign w:val="bottom"/>
            <w:tcBorders>
              <w:bottom w:val="single" w:sz="8" w:color="auto"/>
            </w:tcBorders>
          </w:tcPr>
          <w:p>
            <w:pPr>
              <w:spacing w:after="0"/>
              <w:rPr>
                <w:sz w:val="15"/>
                <w:szCs w:val="15"/>
                <w:color w:val="auto"/>
              </w:rPr>
            </w:pPr>
          </w:p>
        </w:tc>
      </w:tr>
      <w:tr>
        <w:trPr>
          <w:trHeight w:val="143"/>
        </w:trPr>
        <w:tc>
          <w:tcPr>
            <w:tcW w:w="6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center"/>
              <w:ind w:right="469"/>
              <w:spacing w:after="0" w:line="143" w:lineRule="exact"/>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Pr>
          <w:p>
            <w:pPr>
              <w:jc w:val="center"/>
              <w:ind w:right="508"/>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center"/>
              <w:ind w:right="429"/>
              <w:spacing w:after="0"/>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jc w:val="center"/>
              <w:ind w:right="468"/>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6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429"/>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468"/>
              <w:spacing w:after="0"/>
              <w:rPr>
                <w:sz w:val="20"/>
                <w:szCs w:val="20"/>
                <w:color w:val="auto"/>
              </w:rPr>
            </w:pPr>
            <w:r>
              <w:rPr>
                <w:rFonts w:ascii="Arial" w:cs="Arial" w:eastAsia="Arial" w:hAnsi="Arial"/>
                <w:sz w:val="13"/>
                <w:szCs w:val="13"/>
                <w:b w:val="1"/>
                <w:bCs w:val="1"/>
                <w:color w:val="auto"/>
                <w:w w:val="96"/>
              </w:rPr>
              <w:t>2021</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Depreciation and amortization</w:t>
            </w: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FF0FC"/>
          </w:tcPr>
          <w:p>
            <w:pPr>
              <w:jc w:val="right"/>
              <w:ind w:right="49"/>
              <w:spacing w:after="0"/>
              <w:rPr>
                <w:sz w:val="20"/>
                <w:szCs w:val="20"/>
                <w:color w:val="auto"/>
              </w:rPr>
            </w:pPr>
            <w:r>
              <w:rPr>
                <w:rFonts w:ascii="Arial" w:cs="Arial" w:eastAsia="Arial" w:hAnsi="Arial"/>
                <w:sz w:val="17"/>
                <w:szCs w:val="17"/>
                <w:color w:val="auto"/>
              </w:rPr>
              <w:t>138,246</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FF0FC"/>
          </w:tcPr>
          <w:p>
            <w:pPr>
              <w:jc w:val="right"/>
              <w:ind w:right="48"/>
              <w:spacing w:after="0"/>
              <w:rPr>
                <w:sz w:val="20"/>
                <w:szCs w:val="20"/>
                <w:color w:val="auto"/>
              </w:rPr>
            </w:pPr>
            <w:r>
              <w:rPr>
                <w:rFonts w:ascii="Arial" w:cs="Arial" w:eastAsia="Arial" w:hAnsi="Arial"/>
                <w:sz w:val="17"/>
                <w:szCs w:val="17"/>
                <w:color w:val="auto"/>
              </w:rPr>
              <w:t>142,815</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was $138.2 million for the year ended December 31, 2022, compared to $142.8 million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Depreciation and amortization for the year ended December 31, 2022 decreased by $4.6 million, or 3.2% compared to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2021. This decrease was partially offset by increases in depreciation related to assets placed in service during the year ended December 31, 2022.</w:t>
      </w:r>
    </w:p>
    <w:p>
      <w:pPr>
        <w:spacing w:after="0" w:line="1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Interest Expense, Net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3"/>
                <w:szCs w:val="13"/>
                <w:b w:val="1"/>
                <w:bCs w:val="1"/>
                <w:color w:val="auto"/>
              </w:rPr>
              <w:t>Successor</w:t>
            </w:r>
          </w:p>
        </w:tc>
        <w:tc>
          <w:tcPr>
            <w:tcW w:w="1820" w:type="dxa"/>
            <w:vAlign w:val="bottom"/>
            <w:tcBorders>
              <w:bottom w:val="single" w:sz="8" w:color="auto"/>
            </w:tcBorders>
          </w:tcPr>
          <w:p>
            <w:pPr>
              <w:spacing w:after="0"/>
              <w:rPr>
                <w:sz w:val="15"/>
                <w:szCs w:val="15"/>
                <w:color w:val="auto"/>
              </w:rPr>
            </w:pPr>
          </w:p>
        </w:tc>
      </w:tr>
      <w:tr>
        <w:trPr>
          <w:trHeight w:val="143"/>
        </w:trPr>
        <w:tc>
          <w:tcPr>
            <w:tcW w:w="6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center"/>
              <w:ind w:right="469"/>
              <w:spacing w:after="0" w:line="143" w:lineRule="exact"/>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Pr>
          <w:p>
            <w:pPr>
              <w:jc w:val="center"/>
              <w:ind w:right="508"/>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center"/>
              <w:ind w:right="429"/>
              <w:spacing w:after="0"/>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jc w:val="center"/>
              <w:ind w:right="468"/>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6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429"/>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468"/>
              <w:spacing w:after="0"/>
              <w:rPr>
                <w:sz w:val="20"/>
                <w:szCs w:val="20"/>
                <w:color w:val="auto"/>
              </w:rPr>
            </w:pPr>
            <w:r>
              <w:rPr>
                <w:rFonts w:ascii="Arial" w:cs="Arial" w:eastAsia="Arial" w:hAnsi="Arial"/>
                <w:sz w:val="13"/>
                <w:szCs w:val="13"/>
                <w:b w:val="1"/>
                <w:bCs w:val="1"/>
                <w:color w:val="auto"/>
                <w:w w:val="96"/>
              </w:rPr>
              <w:t>2021</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expense, net</w:t>
            </w: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FF0FC"/>
          </w:tcPr>
          <w:p>
            <w:pPr>
              <w:jc w:val="right"/>
              <w:ind w:right="49"/>
              <w:spacing w:after="0"/>
              <w:rPr>
                <w:sz w:val="20"/>
                <w:szCs w:val="20"/>
                <w:color w:val="auto"/>
              </w:rPr>
            </w:pPr>
            <w:r>
              <w:rPr>
                <w:rFonts w:ascii="Arial" w:cs="Arial" w:eastAsia="Arial" w:hAnsi="Arial"/>
                <w:sz w:val="17"/>
                <w:szCs w:val="17"/>
                <w:color w:val="auto"/>
              </w:rPr>
              <w:t>9,199</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FF0FC"/>
          </w:tcPr>
          <w:p>
            <w:pPr>
              <w:jc w:val="right"/>
              <w:ind w:right="48"/>
              <w:spacing w:after="0"/>
              <w:rPr>
                <w:sz w:val="20"/>
                <w:szCs w:val="20"/>
                <w:color w:val="auto"/>
              </w:rPr>
            </w:pPr>
            <w:r>
              <w:rPr>
                <w:rFonts w:ascii="Arial" w:cs="Arial" w:eastAsia="Arial" w:hAnsi="Arial"/>
                <w:sz w:val="17"/>
                <w:szCs w:val="17"/>
                <w:color w:val="auto"/>
              </w:rPr>
              <w:t>24,972</w:t>
            </w:r>
          </w:p>
        </w:tc>
      </w:tr>
    </w:tbl>
    <w:p>
      <w:pPr>
        <w:spacing w:after="0" w:line="14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Interest expense, net was $9.2 million for the year ended December 31, 2022, compared to $25.0 million for the year ended December 31, 2021. Interest expense, net for the year ended December 31, 2022 decreased by $15.8 million, or 63.2%, compared to the year ended December 31, 2021.</w:t>
      </w:r>
    </w:p>
    <w:p>
      <w:pPr>
        <w:spacing w:after="0" w:line="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decrease in interest expense, net was primarily attributable to $12.4 million of unrealized gains on the interest rate swap as a result of the increased interest rate volatility observed in 2022. This decrease was further impacted by the Company’s February 2021 refinancing of the Successor First Lien Credit Facility, early repayment of the Successor Second Lien Credit Facility, and the prepayment of $200.0 million of the Successor First Lien Credit Facility in June 2021, resulting in interest rate savings due to lower principal and more favorable interest rate margins, and $5.0 million of interest income earned on cash held within interest bearing accounts. These decreases were partially offset by higher interest expense on the Successor First Lien Credit Facility as a result of rising interest rates in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Successor</w:t>
            </w:r>
          </w:p>
        </w:tc>
        <w:tc>
          <w:tcPr>
            <w:tcW w:w="1820" w:type="dxa"/>
            <w:vAlign w:val="bottom"/>
            <w:tcBorders>
              <w:bottom w:val="single" w:sz="8" w:color="auto"/>
            </w:tcBorders>
          </w:tcPr>
          <w:p>
            <w:pPr>
              <w:spacing w:after="0"/>
              <w:rPr>
                <w:sz w:val="15"/>
                <w:szCs w:val="15"/>
                <w:color w:val="auto"/>
              </w:rPr>
            </w:pPr>
          </w:p>
        </w:tc>
      </w:tr>
      <w:tr>
        <w:trPr>
          <w:trHeight w:val="143"/>
        </w:trPr>
        <w:tc>
          <w:tcPr>
            <w:tcW w:w="6640" w:type="dxa"/>
            <w:vAlign w:val="bottom"/>
          </w:tcPr>
          <w:p>
            <w:pPr>
              <w:spacing w:after="0"/>
              <w:rPr>
                <w:sz w:val="12"/>
                <w:szCs w:val="12"/>
                <w:color w:val="auto"/>
              </w:rPr>
            </w:pPr>
          </w:p>
        </w:tc>
        <w:tc>
          <w:tcPr>
            <w:tcW w:w="1700" w:type="dxa"/>
            <w:vAlign w:val="bottom"/>
          </w:tcPr>
          <w:p>
            <w:pPr>
              <w:jc w:val="center"/>
              <w:ind w:left="308"/>
              <w:spacing w:after="0" w:line="143" w:lineRule="exact"/>
              <w:rPr>
                <w:sz w:val="20"/>
                <w:szCs w:val="20"/>
                <w:color w:val="auto"/>
              </w:rPr>
            </w:pPr>
            <w:r>
              <w:rPr>
                <w:rFonts w:ascii="Arial" w:cs="Arial" w:eastAsia="Arial" w:hAnsi="Arial"/>
                <w:sz w:val="13"/>
                <w:szCs w:val="13"/>
                <w:b w:val="1"/>
                <w:bCs w:val="1"/>
                <w:color w:val="auto"/>
                <w:w w:val="95"/>
              </w:rPr>
              <w:t>Year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Pr>
          <w:p>
            <w:pPr>
              <w:jc w:val="center"/>
              <w:ind w:right="508"/>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640" w:type="dxa"/>
            <w:vAlign w:val="bottom"/>
          </w:tcPr>
          <w:p>
            <w:pPr>
              <w:spacing w:after="0"/>
              <w:rPr>
                <w:sz w:val="15"/>
                <w:szCs w:val="15"/>
                <w:color w:val="auto"/>
              </w:rPr>
            </w:pPr>
          </w:p>
        </w:tc>
        <w:tc>
          <w:tcPr>
            <w:tcW w:w="1700" w:type="dxa"/>
            <w:vAlign w:val="bottom"/>
          </w:tcPr>
          <w:p>
            <w:pPr>
              <w:jc w:val="center"/>
              <w:ind w:left="348"/>
              <w:spacing w:after="0"/>
              <w:rPr>
                <w:sz w:val="20"/>
                <w:szCs w:val="20"/>
                <w:color w:val="auto"/>
              </w:rPr>
            </w:pPr>
            <w:r>
              <w:rPr>
                <w:rFonts w:ascii="Arial" w:cs="Arial" w:eastAsia="Arial" w:hAnsi="Arial"/>
                <w:sz w:val="13"/>
                <w:szCs w:val="13"/>
                <w:b w:val="1"/>
                <w:bCs w:val="1"/>
                <w:color w:val="auto"/>
                <w:w w:val="94"/>
              </w:rPr>
              <w:t>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jc w:val="center"/>
              <w:ind w:right="468"/>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6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700" w:type="dxa"/>
            <w:vAlign w:val="bottom"/>
            <w:tcBorders>
              <w:bottom w:val="single" w:sz="8" w:color="auto"/>
            </w:tcBorders>
          </w:tcPr>
          <w:p>
            <w:pPr>
              <w:jc w:val="center"/>
              <w:ind w:left="348"/>
              <w:spacing w:after="0"/>
              <w:rPr>
                <w:sz w:val="20"/>
                <w:szCs w:val="20"/>
                <w:color w:val="auto"/>
              </w:rPr>
            </w:pPr>
            <w:r>
              <w:rPr>
                <w:rFonts w:ascii="Arial" w:cs="Arial" w:eastAsia="Arial" w:hAnsi="Arial"/>
                <w:sz w:val="13"/>
                <w:szCs w:val="13"/>
                <w:b w:val="1"/>
                <w:bCs w:val="1"/>
                <w:color w:val="auto"/>
                <w:w w:val="96"/>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468"/>
              <w:spacing w:after="0"/>
              <w:rPr>
                <w:sz w:val="20"/>
                <w:szCs w:val="20"/>
                <w:color w:val="auto"/>
              </w:rPr>
            </w:pPr>
            <w:r>
              <w:rPr>
                <w:rFonts w:ascii="Arial" w:cs="Arial" w:eastAsia="Arial" w:hAnsi="Arial"/>
                <w:sz w:val="13"/>
                <w:szCs w:val="13"/>
                <w:b w:val="1"/>
                <w:bCs w:val="1"/>
                <w:color w:val="auto"/>
                <w:w w:val="96"/>
              </w:rPr>
              <w:t>2021</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Loss on extinguishment of debt</w:t>
            </w:r>
          </w:p>
        </w:tc>
        <w:tc>
          <w:tcPr>
            <w:tcW w:w="1700" w:type="dxa"/>
            <w:vAlign w:val="bottom"/>
            <w:shd w:val="clear" w:color="auto" w:fill="CFF0FC"/>
          </w:tcPr>
          <w:p>
            <w:pPr>
              <w:jc w:val="right"/>
              <w:ind w:right="152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FF0FC"/>
          </w:tcPr>
          <w:p>
            <w:pPr>
              <w:jc w:val="right"/>
              <w:ind w:right="48"/>
              <w:spacing w:after="0"/>
              <w:rPr>
                <w:sz w:val="20"/>
                <w:szCs w:val="20"/>
                <w:color w:val="auto"/>
              </w:rPr>
            </w:pPr>
            <w:r>
              <w:rPr>
                <w:rFonts w:ascii="Arial" w:cs="Arial" w:eastAsia="Arial" w:hAnsi="Arial"/>
                <w:sz w:val="17"/>
                <w:szCs w:val="17"/>
                <w:color w:val="auto"/>
              </w:rPr>
              <w:t>13,938</w:t>
            </w: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Loss on extinguishment of debt for the year ended December 31, 2021 relates to expenses stemming from the write-off of debt issuance costs associated with the February 2021 refinancing of the Successor First Lien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3"/>
                <w:szCs w:val="13"/>
                <w:b w:val="1"/>
                <w:bCs w:val="1"/>
                <w:color w:val="auto"/>
              </w:rPr>
              <w:t>Successor</w:t>
            </w:r>
          </w:p>
        </w:tc>
        <w:tc>
          <w:tcPr>
            <w:tcW w:w="1820" w:type="dxa"/>
            <w:vAlign w:val="bottom"/>
            <w:tcBorders>
              <w:bottom w:val="single" w:sz="8" w:color="auto"/>
            </w:tcBorders>
          </w:tcPr>
          <w:p>
            <w:pPr>
              <w:spacing w:after="0"/>
              <w:rPr>
                <w:sz w:val="15"/>
                <w:szCs w:val="15"/>
                <w:color w:val="auto"/>
              </w:rPr>
            </w:pPr>
          </w:p>
        </w:tc>
      </w:tr>
      <w:tr>
        <w:trPr>
          <w:trHeight w:val="143"/>
        </w:trPr>
        <w:tc>
          <w:tcPr>
            <w:tcW w:w="6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center"/>
              <w:ind w:right="469"/>
              <w:spacing w:after="0" w:line="143" w:lineRule="exact"/>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Pr>
          <w:p>
            <w:pPr>
              <w:jc w:val="center"/>
              <w:ind w:right="508"/>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center"/>
              <w:ind w:right="429"/>
              <w:spacing w:after="0"/>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tcPr>
          <w:p>
            <w:pPr>
              <w:jc w:val="center"/>
              <w:ind w:right="468"/>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6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429"/>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468"/>
              <w:spacing w:after="0"/>
              <w:rPr>
                <w:sz w:val="20"/>
                <w:szCs w:val="20"/>
                <w:color w:val="auto"/>
              </w:rPr>
            </w:pPr>
            <w:r>
              <w:rPr>
                <w:rFonts w:ascii="Arial" w:cs="Arial" w:eastAsia="Arial" w:hAnsi="Arial"/>
                <w:sz w:val="13"/>
                <w:szCs w:val="13"/>
                <w:b w:val="1"/>
                <w:bCs w:val="1"/>
                <w:color w:val="auto"/>
                <w:w w:val="96"/>
              </w:rPr>
              <w:t>2021</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Provision for income taxes</w:t>
            </w: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FF0FC"/>
          </w:tcPr>
          <w:p>
            <w:pPr>
              <w:jc w:val="right"/>
              <w:ind w:right="49"/>
              <w:spacing w:after="0"/>
              <w:rPr>
                <w:sz w:val="20"/>
                <w:szCs w:val="20"/>
                <w:color w:val="auto"/>
              </w:rPr>
            </w:pPr>
            <w:r>
              <w:rPr>
                <w:rFonts w:ascii="Arial" w:cs="Arial" w:eastAsia="Arial" w:hAnsi="Arial"/>
                <w:sz w:val="17"/>
                <w:szCs w:val="17"/>
                <w:color w:val="auto"/>
              </w:rPr>
              <w:t>20,475</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FF0FC"/>
          </w:tcPr>
          <w:p>
            <w:pPr>
              <w:jc w:val="right"/>
              <w:ind w:right="48"/>
              <w:spacing w:after="0"/>
              <w:rPr>
                <w:sz w:val="20"/>
                <w:szCs w:val="20"/>
                <w:color w:val="auto"/>
              </w:rPr>
            </w:pPr>
            <w:r>
              <w:rPr>
                <w:rFonts w:ascii="Arial" w:cs="Arial" w:eastAsia="Arial" w:hAnsi="Arial"/>
                <w:sz w:val="17"/>
                <w:szCs w:val="17"/>
                <w:color w:val="auto"/>
              </w:rPr>
              <w:t>8,862</w:t>
            </w:r>
          </w:p>
        </w:tc>
      </w:tr>
    </w:tbl>
    <w:p>
      <w:pPr>
        <w:spacing w:after="0" w:line="14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provision for income taxes was $20.5 million for the year ended December 31, 2022, compared to $8.9 million for the year ended December 31, 2021. Our provision for income taxes for the year ended December 31, 2022 increased by $11.6 million, or 131.0%, compared to the year ended December 31, 2021.</w:t>
      </w:r>
    </w:p>
    <w:p>
      <w:pPr>
        <w:spacing w:after="0" w:line="13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increase in our provision for income taxes was primarily due to the increase of income before income taxes during the year ended December 31, 2022, as compared to the year ended December 31, 2021, due to higher levels of pre-tax income as well as increases due to increased GILTI inclusion and lower research and development credits.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Net Income Margin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3"/>
                <w:szCs w:val="13"/>
                <w:b w:val="1"/>
                <w:bCs w:val="1"/>
                <w:color w:val="auto"/>
              </w:rPr>
              <w:t>Successor</w:t>
            </w:r>
          </w:p>
        </w:tc>
        <w:tc>
          <w:tcPr>
            <w:tcW w:w="18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3"/>
        </w:trPr>
        <w:tc>
          <w:tcPr>
            <w:tcW w:w="6520" w:type="dxa"/>
            <w:vAlign w:val="bottom"/>
          </w:tcPr>
          <w:p>
            <w:pPr>
              <w:spacing w:after="0"/>
              <w:rPr>
                <w:sz w:val="12"/>
                <w:szCs w:val="12"/>
                <w:color w:val="auto"/>
              </w:rPr>
            </w:pPr>
          </w:p>
        </w:tc>
        <w:tc>
          <w:tcPr>
            <w:tcW w:w="1660" w:type="dxa"/>
            <w:vAlign w:val="bottom"/>
          </w:tcPr>
          <w:p>
            <w:pPr>
              <w:jc w:val="center"/>
              <w:ind w:left="508"/>
              <w:spacing w:after="0" w:line="143" w:lineRule="exact"/>
              <w:rPr>
                <w:sz w:val="20"/>
                <w:szCs w:val="20"/>
                <w:color w:val="auto"/>
              </w:rPr>
            </w:pPr>
            <w:r>
              <w:rPr>
                <w:rFonts w:ascii="Arial" w:cs="Arial" w:eastAsia="Arial" w:hAnsi="Arial"/>
                <w:sz w:val="13"/>
                <w:szCs w:val="13"/>
                <w:b w:val="1"/>
                <w:bCs w:val="1"/>
                <w:color w:val="auto"/>
                <w:w w:val="95"/>
              </w:rPr>
              <w:t>Year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gridSpan w:val="2"/>
          </w:tcPr>
          <w:p>
            <w:pPr>
              <w:jc w:val="center"/>
              <w:ind w:right="600"/>
              <w:spacing w:after="0" w:line="143" w:lineRule="exact"/>
              <w:rPr>
                <w:sz w:val="20"/>
                <w:szCs w:val="20"/>
                <w:color w:val="auto"/>
              </w:rPr>
            </w:pPr>
            <w:r>
              <w:rPr>
                <w:rFonts w:ascii="Arial" w:cs="Arial" w:eastAsia="Arial" w:hAnsi="Arial"/>
                <w:sz w:val="13"/>
                <w:szCs w:val="13"/>
                <w:b w:val="1"/>
                <w:bCs w:val="1"/>
                <w:color w:val="auto"/>
                <w:w w:val="95"/>
              </w:rPr>
              <w:t>Year Ended</w:t>
            </w:r>
          </w:p>
        </w:tc>
      </w:tr>
      <w:tr>
        <w:trPr>
          <w:trHeight w:val="174"/>
        </w:trPr>
        <w:tc>
          <w:tcPr>
            <w:tcW w:w="6520" w:type="dxa"/>
            <w:vAlign w:val="bottom"/>
          </w:tcPr>
          <w:p>
            <w:pPr>
              <w:spacing w:after="0"/>
              <w:rPr>
                <w:sz w:val="15"/>
                <w:szCs w:val="15"/>
                <w:color w:val="auto"/>
              </w:rPr>
            </w:pPr>
          </w:p>
        </w:tc>
        <w:tc>
          <w:tcPr>
            <w:tcW w:w="1660" w:type="dxa"/>
            <w:vAlign w:val="bottom"/>
          </w:tcPr>
          <w:p>
            <w:pPr>
              <w:jc w:val="center"/>
              <w:ind w:left="528"/>
              <w:spacing w:after="0"/>
              <w:rPr>
                <w:sz w:val="20"/>
                <w:szCs w:val="20"/>
                <w:color w:val="auto"/>
              </w:rPr>
            </w:pPr>
            <w:r>
              <w:rPr>
                <w:rFonts w:ascii="Arial" w:cs="Arial" w:eastAsia="Arial" w:hAnsi="Arial"/>
                <w:sz w:val="13"/>
                <w:szCs w:val="13"/>
                <w:b w:val="1"/>
                <w:bCs w:val="1"/>
                <w:color w:val="auto"/>
                <w:w w:val="92"/>
              </w:rPr>
              <w:t>December 31,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December 31,</w:t>
            </w:r>
          </w:p>
        </w:tc>
      </w:tr>
      <w:tr>
        <w:trPr>
          <w:trHeight w:val="176"/>
        </w:trPr>
        <w:tc>
          <w:tcPr>
            <w:tcW w:w="65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60" w:type="dxa"/>
            <w:vAlign w:val="bottom"/>
            <w:tcBorders>
              <w:bottom w:val="single" w:sz="8" w:color="auto"/>
            </w:tcBorders>
          </w:tcPr>
          <w:p>
            <w:pPr>
              <w:jc w:val="center"/>
              <w:ind w:left="548"/>
              <w:spacing w:after="0"/>
              <w:rPr>
                <w:sz w:val="20"/>
                <w:szCs w:val="20"/>
                <w:color w:val="auto"/>
              </w:rPr>
            </w:pPr>
            <w:r>
              <w:rPr>
                <w:rFonts w:ascii="Arial" w:cs="Arial" w:eastAsia="Arial" w:hAnsi="Arial"/>
                <w:sz w:val="13"/>
                <w:szCs w:val="13"/>
                <w:b w:val="1"/>
                <w:bCs w:val="1"/>
                <w:color w:val="auto"/>
                <w:w w:val="96"/>
              </w:rPr>
              <w:t>2022</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425"/>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5"/>
                <w:szCs w:val="15"/>
                <w:color w:val="auto"/>
              </w:rPr>
            </w:pPr>
          </w:p>
        </w:tc>
      </w:tr>
      <w:tr>
        <w:trPr>
          <w:trHeight w:val="223"/>
        </w:trPr>
        <w:tc>
          <w:tcPr>
            <w:tcW w:w="6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w:t>
            </w:r>
          </w:p>
        </w:tc>
        <w:tc>
          <w:tcPr>
            <w:tcW w:w="1660" w:type="dxa"/>
            <w:vAlign w:val="bottom"/>
            <w:shd w:val="clear" w:color="auto" w:fill="CFF0FC"/>
          </w:tcPr>
          <w:p>
            <w:pPr>
              <w:jc w:val="right"/>
              <w:ind w:right="1488"/>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17"/>
                <w:szCs w:val="17"/>
                <w:color w:val="auto"/>
              </w:rPr>
              <w:t>64,604</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FF0FC"/>
          </w:tcPr>
          <w:p>
            <w:pPr>
              <w:jc w:val="right"/>
              <w:ind w:right="45"/>
              <w:spacing w:after="0"/>
              <w:rPr>
                <w:sz w:val="20"/>
                <w:szCs w:val="20"/>
                <w:color w:val="auto"/>
              </w:rPr>
            </w:pPr>
            <w:r>
              <w:rPr>
                <w:rFonts w:ascii="Arial" w:cs="Arial" w:eastAsia="Arial" w:hAnsi="Arial"/>
                <w:sz w:val="17"/>
                <w:szCs w:val="17"/>
                <w:color w:val="auto"/>
              </w:rPr>
              <w:t>16,051</w:t>
            </w:r>
          </w:p>
        </w:tc>
        <w:tc>
          <w:tcPr>
            <w:tcW w:w="40" w:type="dxa"/>
            <w:vAlign w:val="bottom"/>
          </w:tcPr>
          <w:p>
            <w:pPr>
              <w:spacing w:after="0"/>
              <w:rPr>
                <w:sz w:val="19"/>
                <w:szCs w:val="19"/>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7"/>
                <w:szCs w:val="17"/>
                <w:color w:val="auto"/>
              </w:rPr>
              <w:t>Net income margin</w:t>
            </w:r>
          </w:p>
        </w:tc>
        <w:tc>
          <w:tcPr>
            <w:tcW w:w="16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8.0 %</w:t>
            </w:r>
          </w:p>
        </w:tc>
        <w:tc>
          <w:tcPr>
            <w:tcW w:w="40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2.3 %</w:t>
            </w:r>
          </w:p>
        </w:tc>
      </w:tr>
    </w:tbl>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income was $64.6 million for the year ended December 31, 2022, compared to $16.1 million for the year ended December 31, 2021. Net income for the year ended December 31, 2022 increased by $48.6 million, or 302.5%, compared to the year ended December 31, 2021.</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income margin was 8.0% for the year ended December 31, 2022, compared to 2.3% the year ended December 31, 2021. The improvement in our net income margin is attributable to our ability to leverage operating efficiencies to control our overall expenses while increasing revenues as well as reducing interest and other debt related expenses incurred as a result of the February 2021 refinancing.</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3" w:right="299" w:bottom="1440" w:gutter="0" w:footer="0" w:header="0"/>
        </w:sectPr>
      </w:pPr>
    </w:p>
    <w:bookmarkStart w:id="52" w:name="page53"/>
    <w:bookmarkEnd w:id="52"/>
    <w:p>
      <w:pPr>
        <w:ind w:right="620"/>
        <w:spacing w:after="0" w:line="308" w:lineRule="auto"/>
        <w:rPr>
          <w:sz w:val="20"/>
          <w:szCs w:val="20"/>
          <w:color w:val="auto"/>
        </w:rPr>
      </w:pPr>
      <w:r>
        <w:rPr>
          <w:rFonts w:ascii="Arial" w:cs="Arial" w:eastAsia="Arial" w:hAnsi="Arial"/>
          <w:sz w:val="17"/>
          <w:szCs w:val="17"/>
          <w:b w:val="1"/>
          <w:bCs w:val="1"/>
          <w:i w:val="1"/>
          <w:iCs w:val="1"/>
          <w:color w:val="auto"/>
        </w:rPr>
        <w:t>Comparison of Results of Operations for the Year Ended December 31, 2021 (Successor) compared to the Period from February 1, 2020 through December 31, 2020 (Successor) and the Period from January 1, 2020 through January 31, 2020 (Predecessor)</w:t>
      </w:r>
    </w:p>
    <w:p>
      <w:pPr>
        <w:spacing w:after="0" w:line="9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comparability of our operating results for the year ended December 31, 2021 compared to the year ended December 31, 2020 was impacted by our accounting for the Silver Lake Transaction. The period from January 1, 2020 through January 31, 2020 relate to the Predecessor and the period from February 1, 2020 through December 31, 2020 relate to the Successor. To facilitate comparability of the year ended December 31, 2021 to the year ended December 31, 2020, below we present the combination of consolidated results from January 1, 2020 to December 31, 2020, comprising the Successor consolidated results from February 1, 2020 to December 31, 2020, the Predecessor consolidated results for the period from January 1, 2020 to January 31, 2020, and certain pro forma adjustments that give effect to the Silver Lake Transaction and the related refinancing as if it had occurred on January 1, 2020 (pro forma results for the twelve months ended December 31, 2020). The pro forma information below has been prepared on a basis consistent with Article 11 of Regulation S-X, but does not constitute Article 11 pro forma information because it only presents the pro forma year ended December 31, 2020, reflecting the Silver Lake Transaction and the related refinancing as if they had occurred as of January 1, 2020. The information contained below should be read in conjunction with our accompanying historical consolidated financial statements and the related notes.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40"/>
              <w:spacing w:after="0"/>
              <w:rPr>
                <w:sz w:val="20"/>
                <w:szCs w:val="20"/>
                <w:color w:val="auto"/>
              </w:rPr>
            </w:pPr>
            <w:r>
              <w:rPr>
                <w:rFonts w:ascii="Arial" w:cs="Arial" w:eastAsia="Arial" w:hAnsi="Arial"/>
                <w:sz w:val="13"/>
                <w:szCs w:val="13"/>
                <w:b w:val="1"/>
                <w:bCs w:val="1"/>
                <w:color w:val="auto"/>
                <w:w w:val="89"/>
              </w:rPr>
              <w:t>Predecessor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right w:val="single" w:sz="8" w:color="auto"/>
            </w:tcBorders>
          </w:tcPr>
          <w:p>
            <w:pPr>
              <w:jc w:val="center"/>
              <w:ind w:right="30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220" w:type="dxa"/>
            <w:vAlign w:val="bottom"/>
          </w:tcPr>
          <w:p>
            <w:pPr>
              <w:spacing w:after="0"/>
              <w:rPr>
                <w:sz w:val="12"/>
                <w:szCs w:val="12"/>
                <w:color w:val="auto"/>
              </w:rPr>
            </w:pPr>
          </w:p>
        </w:tc>
        <w:tc>
          <w:tcPr>
            <w:tcW w:w="122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200"/>
              <w:spacing w:after="0" w:line="143" w:lineRule="exact"/>
              <w:rPr>
                <w:sz w:val="20"/>
                <w:szCs w:val="20"/>
                <w:color w:val="auto"/>
              </w:rPr>
            </w:pPr>
            <w:r>
              <w:rPr>
                <w:rFonts w:ascii="Arial" w:cs="Arial" w:eastAsia="Arial" w:hAnsi="Arial"/>
                <w:sz w:val="13"/>
                <w:szCs w:val="13"/>
                <w:b w:val="1"/>
                <w:bCs w:val="1"/>
                <w:color w:val="auto"/>
                <w:w w:val="98"/>
              </w:rPr>
              <w:t>Pro Forma</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right w:val="single" w:sz="8" w:color="auto"/>
            </w:tcBorders>
          </w:tcPr>
          <w:p>
            <w:pPr>
              <w:jc w:val="center"/>
              <w:ind w:right="320"/>
              <w:spacing w:after="0"/>
              <w:rPr>
                <w:sz w:val="20"/>
                <w:szCs w:val="20"/>
                <w:color w:val="auto"/>
              </w:rPr>
            </w:pPr>
            <w:r>
              <w:rPr>
                <w:rFonts w:ascii="Arial" w:cs="Arial" w:eastAsia="Arial" w:hAnsi="Arial"/>
                <w:sz w:val="13"/>
                <w:szCs w:val="13"/>
                <w:b w:val="1"/>
                <w:bCs w:val="1"/>
                <w:color w:val="auto"/>
                <w:w w:val="96"/>
              </w:rPr>
              <w:t>February 1,</w:t>
            </w:r>
          </w:p>
        </w:tc>
        <w:tc>
          <w:tcPr>
            <w:tcW w:w="220" w:type="dxa"/>
            <w:vAlign w:val="bottom"/>
          </w:tcPr>
          <w:p>
            <w:pPr>
              <w:spacing w:after="0"/>
              <w:rPr>
                <w:sz w:val="12"/>
                <w:szCs w:val="12"/>
                <w:color w:val="auto"/>
              </w:rPr>
            </w:pPr>
          </w:p>
        </w:tc>
        <w:tc>
          <w:tcPr>
            <w:tcW w:w="1220" w:type="dxa"/>
            <w:vAlign w:val="bottom"/>
          </w:tcPr>
          <w:p>
            <w:pPr>
              <w:jc w:val="center"/>
              <w:ind w:right="240"/>
              <w:spacing w:after="0"/>
              <w:rPr>
                <w:sz w:val="20"/>
                <w:szCs w:val="20"/>
                <w:color w:val="auto"/>
              </w:rPr>
            </w:pPr>
            <w:r>
              <w:rPr>
                <w:rFonts w:ascii="Arial" w:cs="Arial" w:eastAsia="Arial" w:hAnsi="Arial"/>
                <w:sz w:val="13"/>
                <w:szCs w:val="13"/>
                <w:b w:val="1"/>
                <w:bCs w:val="1"/>
                <w:color w:val="auto"/>
                <w:w w:val="96"/>
              </w:rPr>
              <w:t>January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220"/>
              <w:spacing w:after="0"/>
              <w:rPr>
                <w:sz w:val="20"/>
                <w:szCs w:val="20"/>
                <w:color w:val="auto"/>
              </w:rPr>
            </w:pPr>
            <w:r>
              <w:rPr>
                <w:rFonts w:ascii="Arial" w:cs="Arial" w:eastAsia="Arial" w:hAnsi="Arial"/>
                <w:sz w:val="13"/>
                <w:szCs w:val="13"/>
                <w:b w:val="1"/>
                <w:bCs w:val="1"/>
                <w:color w:val="auto"/>
                <w:w w:val="93"/>
              </w:rPr>
              <w:t>Adjustments</w:t>
            </w:r>
          </w:p>
        </w:tc>
        <w:tc>
          <w:tcPr>
            <w:tcW w:w="16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right w:val="single" w:sz="8" w:color="auto"/>
            </w:tcBorders>
          </w:tcPr>
          <w:p>
            <w:pPr>
              <w:jc w:val="center"/>
              <w:ind w:right="340"/>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2"/>
                <w:szCs w:val="12"/>
                <w:color w:val="auto"/>
              </w:rPr>
            </w:pPr>
          </w:p>
        </w:tc>
        <w:tc>
          <w:tcPr>
            <w:tcW w:w="1220" w:type="dxa"/>
            <w:vAlign w:val="bottom"/>
          </w:tcPr>
          <w:p>
            <w:pPr>
              <w:jc w:val="center"/>
              <w:ind w:right="280"/>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200"/>
              <w:spacing w:after="0"/>
              <w:rPr>
                <w:sz w:val="20"/>
                <w:szCs w:val="20"/>
                <w:color w:val="auto"/>
              </w:rPr>
            </w:pPr>
            <w:r>
              <w:rPr>
                <w:rFonts w:ascii="Arial" w:cs="Arial" w:eastAsia="Arial" w:hAnsi="Arial"/>
                <w:sz w:val="13"/>
                <w:szCs w:val="13"/>
                <w:b w:val="1"/>
                <w:bCs w:val="1"/>
                <w:color w:val="auto"/>
                <w:w w:val="98"/>
              </w:rPr>
              <w:t>for the</w:t>
            </w:r>
          </w:p>
        </w:tc>
        <w:tc>
          <w:tcPr>
            <w:tcW w:w="16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Year Ended</w:t>
            </w:r>
          </w:p>
        </w:tc>
        <w:tc>
          <w:tcPr>
            <w:tcW w:w="220" w:type="dxa"/>
            <w:vAlign w:val="bottom"/>
          </w:tcPr>
          <w:p>
            <w:pPr>
              <w:spacing w:after="0"/>
              <w:rPr>
                <w:sz w:val="12"/>
                <w:szCs w:val="12"/>
                <w:color w:val="auto"/>
              </w:rPr>
            </w:pPr>
          </w:p>
        </w:tc>
        <w:tc>
          <w:tcPr>
            <w:tcW w:w="1280" w:type="dxa"/>
            <w:vAlign w:val="bottom"/>
            <w:tcBorders>
              <w:right w:val="single" w:sz="8" w:color="auto"/>
            </w:tcBorders>
          </w:tcPr>
          <w:p>
            <w:pPr>
              <w:jc w:val="center"/>
              <w:ind w:right="340"/>
              <w:spacing w:after="0"/>
              <w:rPr>
                <w:sz w:val="20"/>
                <w:szCs w:val="20"/>
                <w:color w:val="auto"/>
              </w:rPr>
            </w:pPr>
            <w:r>
              <w:rPr>
                <w:rFonts w:ascii="Arial" w:cs="Arial" w:eastAsia="Arial" w:hAnsi="Arial"/>
                <w:sz w:val="13"/>
                <w:szCs w:val="13"/>
                <w:b w:val="1"/>
                <w:bCs w:val="1"/>
                <w:color w:val="auto"/>
                <w:w w:val="93"/>
              </w:rPr>
              <w:t>through</w:t>
            </w:r>
          </w:p>
        </w:tc>
        <w:tc>
          <w:tcPr>
            <w:tcW w:w="220" w:type="dxa"/>
            <w:vAlign w:val="bottom"/>
          </w:tcPr>
          <w:p>
            <w:pPr>
              <w:spacing w:after="0"/>
              <w:rPr>
                <w:sz w:val="12"/>
                <w:szCs w:val="12"/>
                <w:color w:val="auto"/>
              </w:rPr>
            </w:pPr>
          </w:p>
        </w:tc>
        <w:tc>
          <w:tcPr>
            <w:tcW w:w="1220" w:type="dxa"/>
            <w:vAlign w:val="bottom"/>
          </w:tcPr>
          <w:p>
            <w:pPr>
              <w:jc w:val="center"/>
              <w:ind w:right="240"/>
              <w:spacing w:after="0"/>
              <w:rPr>
                <w:sz w:val="20"/>
                <w:szCs w:val="20"/>
                <w:color w:val="auto"/>
              </w:rPr>
            </w:pPr>
            <w:r>
              <w:rPr>
                <w:rFonts w:ascii="Arial" w:cs="Arial" w:eastAsia="Arial" w:hAnsi="Arial"/>
                <w:sz w:val="13"/>
                <w:szCs w:val="13"/>
                <w:b w:val="1"/>
                <w:bCs w:val="1"/>
                <w:color w:val="auto"/>
                <w:w w:val="93"/>
              </w:rPr>
              <w:t>through</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200"/>
              <w:spacing w:after="0"/>
              <w:rPr>
                <w:sz w:val="20"/>
                <w:szCs w:val="20"/>
                <w:color w:val="auto"/>
              </w:rPr>
            </w:pPr>
            <w:r>
              <w:rPr>
                <w:rFonts w:ascii="Arial" w:cs="Arial" w:eastAsia="Arial" w:hAnsi="Arial"/>
                <w:sz w:val="13"/>
                <w:szCs w:val="13"/>
                <w:b w:val="1"/>
                <w:bCs w:val="1"/>
                <w:color w:val="auto"/>
                <w:w w:val="95"/>
              </w:rPr>
              <w:t>Year Ended</w:t>
            </w:r>
          </w:p>
        </w:tc>
        <w:tc>
          <w:tcPr>
            <w:tcW w:w="160" w:type="dxa"/>
            <w:vAlign w:val="bottom"/>
          </w:tcPr>
          <w:p>
            <w:pPr>
              <w:spacing w:after="0"/>
              <w:rPr>
                <w:sz w:val="12"/>
                <w:szCs w:val="12"/>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5"/>
                <w:szCs w:val="15"/>
                <w:color w:val="auto"/>
              </w:rPr>
            </w:pPr>
          </w:p>
        </w:tc>
        <w:tc>
          <w:tcPr>
            <w:tcW w:w="1280" w:type="dxa"/>
            <w:vAlign w:val="bottom"/>
            <w:tcBorders>
              <w:right w:val="single" w:sz="8" w:color="auto"/>
            </w:tcBorders>
          </w:tcPr>
          <w:p>
            <w:pPr>
              <w:jc w:val="center"/>
              <w:ind w:right="300"/>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5"/>
                <w:szCs w:val="15"/>
                <w:color w:val="auto"/>
              </w:rPr>
            </w:pPr>
          </w:p>
        </w:tc>
        <w:tc>
          <w:tcPr>
            <w:tcW w:w="1220" w:type="dxa"/>
            <w:vAlign w:val="bottom"/>
          </w:tcPr>
          <w:p>
            <w:pPr>
              <w:jc w:val="center"/>
              <w:ind w:right="240"/>
              <w:spacing w:after="0"/>
              <w:rPr>
                <w:sz w:val="20"/>
                <w:szCs w:val="20"/>
                <w:color w:val="auto"/>
              </w:rPr>
            </w:pPr>
            <w:r>
              <w:rPr>
                <w:rFonts w:ascii="Arial" w:cs="Arial" w:eastAsia="Arial" w:hAnsi="Arial"/>
                <w:sz w:val="13"/>
                <w:szCs w:val="13"/>
                <w:b w:val="1"/>
                <w:bCs w:val="1"/>
                <w:color w:val="auto"/>
                <w:w w:val="97"/>
              </w:rPr>
              <w:t>January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18"/>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00"/>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40"/>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Revenues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712,295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Borders>
              <w:right w:val="single" w:sz="8" w:color="auto"/>
            </w:tcBorders>
            <w:shd w:val="clear" w:color="auto" w:fill="CFF0FC"/>
          </w:tcPr>
          <w:p>
            <w:pPr>
              <w:jc w:val="right"/>
              <w:ind w:right="80"/>
              <w:spacing w:after="0"/>
              <w:rPr>
                <w:sz w:val="20"/>
                <w:szCs w:val="20"/>
                <w:color w:val="auto"/>
              </w:rPr>
            </w:pPr>
            <w:r>
              <w:rPr>
                <w:rFonts w:ascii="Arial" w:cs="Arial" w:eastAsia="Arial" w:hAnsi="Arial"/>
                <w:sz w:val="17"/>
                <w:szCs w:val="17"/>
                <w:color w:val="auto"/>
              </w:rPr>
              <w:t>472,369</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36,785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509,154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0"/>
              <w:spacing w:after="0"/>
              <w:rPr>
                <w:sz w:val="20"/>
                <w:szCs w:val="20"/>
                <w:color w:val="auto"/>
              </w:rPr>
            </w:pPr>
            <w:r>
              <w:rPr>
                <w:rFonts w:ascii="Arial" w:cs="Arial" w:eastAsia="Arial" w:hAnsi="Arial"/>
                <w:sz w:val="17"/>
                <w:szCs w:val="17"/>
                <w:color w:val="auto"/>
              </w:rPr>
              <w:t>Cost of services (exclusive of depreciation and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0"/>
              <w:spacing w:after="0"/>
              <w:rPr>
                <w:sz w:val="20"/>
                <w:szCs w:val="20"/>
                <w:color w:val="auto"/>
              </w:rPr>
            </w:pPr>
            <w:r>
              <w:rPr>
                <w:rFonts w:ascii="Arial" w:cs="Arial" w:eastAsia="Arial" w:hAnsi="Arial"/>
                <w:sz w:val="17"/>
                <w:szCs w:val="17"/>
                <w:color w:val="auto"/>
              </w:rPr>
              <w:t>amortization below)</w:t>
            </w:r>
          </w:p>
        </w:tc>
        <w:tc>
          <w:tcPr>
            <w:tcW w:w="20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352,170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right w:val="single" w:sz="8" w:color="auto"/>
            </w:tcBorders>
          </w:tcPr>
          <w:p>
            <w:pPr>
              <w:jc w:val="right"/>
              <w:ind w:right="80"/>
              <w:spacing w:after="0"/>
              <w:rPr>
                <w:sz w:val="20"/>
                <w:szCs w:val="20"/>
                <w:color w:val="auto"/>
              </w:rPr>
            </w:pPr>
            <w:r>
              <w:rPr>
                <w:rFonts w:ascii="Arial" w:cs="Arial" w:eastAsia="Arial" w:hAnsi="Arial"/>
                <w:sz w:val="17"/>
                <w:szCs w:val="17"/>
                <w:color w:val="auto"/>
              </w:rPr>
              <w:t>240,287</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20,265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260,552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Product and technology expense</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45,507</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tcBorders>
              <w:right w:val="single" w:sz="8" w:color="auto"/>
            </w:tcBorders>
            <w:shd w:val="clear" w:color="auto" w:fill="CFF0FC"/>
          </w:tcPr>
          <w:p>
            <w:pPr>
              <w:jc w:val="right"/>
              <w:ind w:right="80"/>
              <w:spacing w:after="0"/>
              <w:rPr>
                <w:sz w:val="20"/>
                <w:szCs w:val="20"/>
                <w:color w:val="auto"/>
              </w:rPr>
            </w:pPr>
            <w:r>
              <w:rPr>
                <w:rFonts w:ascii="Arial" w:cs="Arial" w:eastAsia="Arial" w:hAnsi="Arial"/>
                <w:sz w:val="17"/>
                <w:szCs w:val="17"/>
                <w:color w:val="auto"/>
              </w:rPr>
              <w:t>32,201</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3,189</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35,390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0"/>
              <w:spacing w:after="0"/>
              <w:rPr>
                <w:sz w:val="20"/>
                <w:szCs w:val="20"/>
                <w:color w:val="auto"/>
              </w:rPr>
            </w:pPr>
            <w:r>
              <w:rPr>
                <w:rFonts w:ascii="Arial" w:cs="Arial" w:eastAsia="Arial" w:hAnsi="Arial"/>
                <w:sz w:val="17"/>
                <w:szCs w:val="17"/>
                <w:color w:val="auto"/>
              </w:rPr>
              <w:t>Selling, general, and administrative expense</w:t>
            </w:r>
          </w:p>
        </w:tc>
        <w:tc>
          <w:tcPr>
            <w:tcW w:w="20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107,980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right w:val="single" w:sz="8" w:color="auto"/>
            </w:tcBorders>
          </w:tcPr>
          <w:p>
            <w:pPr>
              <w:jc w:val="right"/>
              <w:ind w:right="80"/>
              <w:spacing w:after="0"/>
              <w:rPr>
                <w:sz w:val="20"/>
                <w:szCs w:val="20"/>
                <w:color w:val="auto"/>
              </w:rPr>
            </w:pPr>
            <w:r>
              <w:rPr>
                <w:rFonts w:ascii="Arial" w:cs="Arial" w:eastAsia="Arial" w:hAnsi="Arial"/>
                <w:sz w:val="17"/>
                <w:szCs w:val="17"/>
                <w:color w:val="auto"/>
              </w:rPr>
              <w:t>66,864</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11,235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78,099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shd w:val="clear" w:color="auto" w:fill="CFF0FC"/>
          </w:tcPr>
          <w:p>
            <w:pPr>
              <w:ind w:left="200"/>
              <w:spacing w:after="0" w:line="229"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2"/>
                <w:szCs w:val="22"/>
                <w:color w:val="auto"/>
                <w:vertAlign w:val="superscript"/>
              </w:rPr>
              <w:t>(a)</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142,815</w:t>
            </w: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right w:val="single" w:sz="8" w:color="CFF0FC"/>
            </w:tcBorders>
            <w:shd w:val="clear" w:color="auto" w:fill="CFF0FC"/>
          </w:tcPr>
          <w:p>
            <w:pPr>
              <w:jc w:val="right"/>
              <w:ind w:right="80"/>
              <w:spacing w:after="0"/>
              <w:rPr>
                <w:sz w:val="20"/>
                <w:szCs w:val="20"/>
                <w:color w:val="auto"/>
              </w:rPr>
            </w:pPr>
            <w:r>
              <w:rPr>
                <w:rFonts w:ascii="Arial" w:cs="Arial" w:eastAsia="Arial" w:hAnsi="Arial"/>
                <w:sz w:val="17"/>
                <w:szCs w:val="17"/>
                <w:color w:val="auto"/>
              </w:rPr>
              <w:t>135,057</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7"/>
                <w:szCs w:val="17"/>
                <w:color w:val="auto"/>
              </w:rPr>
              <w:t>2,105</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7"/>
                <w:szCs w:val="17"/>
                <w:color w:val="auto"/>
              </w:rPr>
              <w:t>6,124</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143,286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80"/>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648,472</w:t>
            </w: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rPr>
              <w:t>474,409</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36,794</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6,124</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517,327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Income (loss)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63,823</w:t>
            </w: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(2,040 )</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(9 )</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(6,124 )</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(8,173 )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Expense, Net:</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line="229" w:lineRule="exact"/>
              <w:rPr>
                <w:sz w:val="20"/>
                <w:szCs w:val="20"/>
                <w:color w:val="auto"/>
              </w:rPr>
            </w:pPr>
            <w:r>
              <w:rPr>
                <w:rFonts w:ascii="Arial" w:cs="Arial" w:eastAsia="Arial" w:hAnsi="Arial"/>
                <w:sz w:val="17"/>
                <w:szCs w:val="17"/>
                <w:color w:val="auto"/>
              </w:rPr>
              <w:t xml:space="preserve">Interest expense, net </w:t>
            </w:r>
            <w:r>
              <w:rPr>
                <w:rFonts w:ascii="Arial" w:cs="Arial" w:eastAsia="Arial" w:hAnsi="Arial"/>
                <w:sz w:val="22"/>
                <w:szCs w:val="22"/>
                <w:color w:val="auto"/>
                <w:vertAlign w:val="superscript"/>
              </w:rPr>
              <w:t>(b)</w:t>
            </w:r>
          </w:p>
        </w:tc>
        <w:tc>
          <w:tcPr>
            <w:tcW w:w="20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24,972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right w:val="single" w:sz="8" w:color="auto"/>
            </w:tcBorders>
          </w:tcPr>
          <w:p>
            <w:pPr>
              <w:jc w:val="right"/>
              <w:ind w:right="80"/>
              <w:spacing w:after="0"/>
              <w:rPr>
                <w:sz w:val="20"/>
                <w:szCs w:val="20"/>
                <w:color w:val="auto"/>
              </w:rPr>
            </w:pPr>
            <w:r>
              <w:rPr>
                <w:rFonts w:ascii="Arial" w:cs="Arial" w:eastAsia="Arial" w:hAnsi="Arial"/>
                <w:sz w:val="17"/>
                <w:szCs w:val="17"/>
                <w:color w:val="auto"/>
              </w:rPr>
              <w:t>47,384</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4,489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(741 )</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51,132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00"/>
              <w:spacing w:after="0" w:line="229" w:lineRule="exact"/>
              <w:rPr>
                <w:sz w:val="20"/>
                <w:szCs w:val="20"/>
                <w:color w:val="auto"/>
              </w:rPr>
            </w:pPr>
            <w:r>
              <w:rPr>
                <w:rFonts w:ascii="Arial" w:cs="Arial" w:eastAsia="Arial" w:hAnsi="Arial"/>
                <w:sz w:val="17"/>
                <w:szCs w:val="17"/>
                <w:color w:val="auto"/>
              </w:rPr>
              <w:t xml:space="preserve">Loss on extinguishment of debt </w:t>
            </w:r>
            <w:r>
              <w:rPr>
                <w:rFonts w:ascii="Arial" w:cs="Arial" w:eastAsia="Arial" w:hAnsi="Arial"/>
                <w:sz w:val="22"/>
                <w:szCs w:val="22"/>
                <w:color w:val="auto"/>
                <w:vertAlign w:val="superscript"/>
              </w:rPr>
              <w:t>(c)</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13,938</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tcBorders>
              <w:right w:val="single" w:sz="8" w:color="auto"/>
            </w:tcBorders>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10,533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(10,533 )</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line="229" w:lineRule="exact"/>
              <w:rPr>
                <w:sz w:val="20"/>
                <w:szCs w:val="20"/>
                <w:color w:val="auto"/>
              </w:rPr>
            </w:pPr>
            <w:r>
              <w:rPr>
                <w:rFonts w:ascii="Arial" w:cs="Arial" w:eastAsia="Arial" w:hAnsi="Arial"/>
                <w:sz w:val="17"/>
                <w:szCs w:val="17"/>
                <w:color w:val="auto"/>
              </w:rPr>
              <w:t xml:space="preserve">Transaction expenses, change in control </w:t>
            </w:r>
            <w:r>
              <w:rPr>
                <w:rFonts w:ascii="Arial" w:cs="Arial" w:eastAsia="Arial" w:hAnsi="Arial"/>
                <w:sz w:val="22"/>
                <w:szCs w:val="22"/>
                <w:color w:val="auto"/>
                <w:vertAlign w:val="superscript"/>
              </w:rPr>
              <w:t>(d)</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ind w:right="80"/>
              <w:spacing w:after="0"/>
              <w:rPr>
                <w:sz w:val="20"/>
                <w:szCs w:val="20"/>
                <w:color w:val="auto"/>
              </w:rPr>
            </w:pPr>
            <w:r>
              <w:rPr>
                <w:rFonts w:ascii="Arial" w:cs="Arial" w:eastAsia="Arial" w:hAnsi="Arial"/>
                <w:sz w:val="17"/>
                <w:szCs w:val="17"/>
                <w:color w:val="auto"/>
              </w:rPr>
              <w:t>9,423</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22,370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(22,370 )</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9,423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Total other expense, net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38,910</w:t>
            </w: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right w:val="single" w:sz="8" w:color="CFF0FC"/>
            </w:tcBorders>
            <w:shd w:val="clear" w:color="auto" w:fill="CFF0FC"/>
          </w:tcPr>
          <w:p>
            <w:pPr>
              <w:jc w:val="right"/>
              <w:ind w:right="80"/>
              <w:spacing w:after="0"/>
              <w:rPr>
                <w:sz w:val="20"/>
                <w:szCs w:val="20"/>
                <w:color w:val="auto"/>
              </w:rPr>
            </w:pPr>
            <w:r>
              <w:rPr>
                <w:rFonts w:ascii="Arial" w:cs="Arial" w:eastAsia="Arial" w:hAnsi="Arial"/>
                <w:sz w:val="17"/>
                <w:szCs w:val="17"/>
                <w:color w:val="auto"/>
              </w:rPr>
              <w:t>56,807</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7"/>
                <w:szCs w:val="17"/>
                <w:color w:val="auto"/>
              </w:rPr>
              <w:t>37,392</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(33,644 )</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60,555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7"/>
                <w:szCs w:val="17"/>
                <w:color w:val="auto"/>
              </w:rPr>
              <w:t>Income (loss) before provision for income taxes</w:t>
            </w:r>
          </w:p>
        </w:tc>
        <w:tc>
          <w:tcPr>
            <w:tcW w:w="20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24,913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(58,847 )</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(37,401 )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27,520</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(68,728 )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shd w:val="clear" w:color="auto" w:fill="CFF0FC"/>
          </w:tcPr>
          <w:p>
            <w:pPr>
              <w:ind w:left="200"/>
              <w:spacing w:after="0" w:line="229" w:lineRule="exact"/>
              <w:rPr>
                <w:sz w:val="20"/>
                <w:szCs w:val="20"/>
                <w:color w:val="auto"/>
              </w:rPr>
            </w:pPr>
            <w:r>
              <w:rPr>
                <w:rFonts w:ascii="Arial" w:cs="Arial" w:eastAsia="Arial" w:hAnsi="Arial"/>
                <w:sz w:val="17"/>
                <w:szCs w:val="17"/>
                <w:color w:val="auto"/>
              </w:rPr>
              <w:t xml:space="preserve">Provision (benefit) for income taxes </w:t>
            </w:r>
            <w:r>
              <w:rPr>
                <w:rFonts w:ascii="Arial" w:cs="Arial" w:eastAsia="Arial" w:hAnsi="Arial"/>
                <w:sz w:val="22"/>
                <w:szCs w:val="22"/>
                <w:color w:val="auto"/>
                <w:vertAlign w:val="superscript"/>
              </w:rPr>
              <w:t>(e)</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8,862</w:t>
            </w: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(11,355 )</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(871 )</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7"/>
                <w:szCs w:val="17"/>
                <w:color w:val="auto"/>
              </w:rPr>
              <w:t>7,073</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(5,153 )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16,051</w:t>
            </w:r>
          </w:p>
        </w:tc>
        <w:tc>
          <w:tcPr>
            <w:tcW w:w="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(47,492 )</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(36,530 ) $</w:t>
            </w: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20,447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(63,575 )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Net income (loss) margin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75"/>
              <w:spacing w:after="0"/>
              <w:rPr>
                <w:sz w:val="20"/>
                <w:szCs w:val="20"/>
                <w:color w:val="auto"/>
              </w:rPr>
            </w:pPr>
            <w:r>
              <w:rPr>
                <w:rFonts w:ascii="Arial" w:cs="Arial" w:eastAsia="Arial" w:hAnsi="Arial"/>
                <w:sz w:val="17"/>
                <w:szCs w:val="17"/>
                <w:color w:val="auto"/>
              </w:rPr>
              <w:t>(10.1 )%</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(99.3 )%</w:t>
            </w: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-3098165</wp:posOffset>
            </wp:positionV>
            <wp:extent cx="93853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8530"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-1975485</wp:posOffset>
            </wp:positionV>
            <wp:extent cx="1894205" cy="6216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94205" cy="6216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-929640</wp:posOffset>
            </wp:positionV>
            <wp:extent cx="7132320" cy="938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38530"/>
                    </a:xfrm>
                    <a:prstGeom prst="rect">
                      <a:avLst/>
                    </a:prstGeom>
                    <a:noFill/>
                  </pic:spPr>
                </pic:pic>
              </a:graphicData>
            </a:graphic>
          </wp:anchor>
        </w:drawing>
      </w:r>
    </w:p>
    <w:p>
      <w:pPr>
        <w:spacing w:after="0" w:line="136" w:lineRule="exact"/>
        <w:rPr>
          <w:sz w:val="20"/>
          <w:szCs w:val="20"/>
          <w:color w:val="auto"/>
        </w:rPr>
      </w:pPr>
    </w:p>
    <w:p>
      <w:pPr>
        <w:ind w:left="520" w:right="100" w:hanging="512"/>
        <w:spacing w:after="0" w:line="230"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2(a)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520" w:right="100" w:hanging="512"/>
        <w:spacing w:after="0" w:line="22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2(c)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520" w:right="100" w:hanging="512"/>
        <w:spacing w:after="0" w:line="22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2(d)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520" w:right="100" w:hanging="512"/>
        <w:spacing w:after="0" w:line="22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2(b)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ind w:left="520" w:right="100" w:hanging="512"/>
        <w:spacing w:after="0" w:line="237"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2(e) in the </w:t>
      </w:r>
      <w:r>
        <w:rPr>
          <w:rFonts w:ascii="Arial" w:cs="Arial" w:eastAsia="Arial" w:hAnsi="Arial"/>
          <w:sz w:val="14"/>
          <w:szCs w:val="14"/>
          <w:i w:val="1"/>
          <w:iCs w:val="1"/>
          <w:color w:val="auto"/>
        </w:rPr>
        <w:t>Notes to the Unaudited Supplemental Pro Forma Financial Information Presented in Management’s Discussion and Analysis of Financial Condition and Results</w:t>
      </w:r>
      <w:r>
        <w:rPr>
          <w:rFonts w:ascii="Arial" w:cs="Arial" w:eastAsia="Arial" w:hAnsi="Arial"/>
          <w:sz w:val="14"/>
          <w:szCs w:val="14"/>
          <w:color w:val="auto"/>
        </w:rPr>
        <w:t xml:space="preserve"> </w:t>
      </w:r>
      <w:r>
        <w:rPr>
          <w:rFonts w:ascii="Arial" w:cs="Arial" w:eastAsia="Arial" w:hAnsi="Arial"/>
          <w:sz w:val="14"/>
          <w:szCs w:val="14"/>
          <w:i w:val="1"/>
          <w:iCs w:val="1"/>
          <w:color w:val="auto"/>
        </w:rPr>
        <w:t>of Operations</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Revenues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26"/>
              <w:spacing w:after="0"/>
              <w:rPr>
                <w:sz w:val="20"/>
                <w:szCs w:val="20"/>
                <w:color w:val="auto"/>
              </w:rPr>
            </w:pPr>
            <w:r>
              <w:rPr>
                <w:rFonts w:ascii="Arial" w:cs="Arial" w:eastAsia="Arial" w:hAnsi="Arial"/>
                <w:sz w:val="13"/>
                <w:szCs w:val="13"/>
                <w:b w:val="1"/>
                <w:bCs w:val="1"/>
                <w:color w:val="auto"/>
                <w:w w:val="89"/>
              </w:rPr>
              <w:t>Predecessor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43"/>
        </w:trPr>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05"/>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6"/>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225"/>
              <w:spacing w:after="0" w:line="143" w:lineRule="exact"/>
              <w:rPr>
                <w:sz w:val="20"/>
                <w:szCs w:val="20"/>
                <w:color w:val="auto"/>
              </w:rPr>
            </w:pPr>
            <w:r>
              <w:rPr>
                <w:rFonts w:ascii="Arial" w:cs="Arial" w:eastAsia="Arial" w:hAnsi="Arial"/>
                <w:sz w:val="13"/>
                <w:szCs w:val="13"/>
                <w:b w:val="1"/>
                <w:bCs w:val="1"/>
                <w:color w:val="auto"/>
                <w:w w:val="98"/>
              </w:rPr>
              <w:t>Pro Forma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25"/>
              <w:spacing w:after="0"/>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6"/>
              <w:spacing w:after="0"/>
              <w:rPr>
                <w:sz w:val="20"/>
                <w:szCs w:val="20"/>
                <w:color w:val="auto"/>
              </w:rPr>
            </w:pPr>
            <w:r>
              <w:rPr>
                <w:rFonts w:ascii="Arial" w:cs="Arial" w:eastAsia="Arial" w:hAnsi="Arial"/>
                <w:sz w:val="13"/>
                <w:szCs w:val="13"/>
                <w:b w:val="1"/>
                <w:bCs w:val="1"/>
                <w:color w:val="auto"/>
                <w:w w:val="96"/>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245"/>
              <w:spacing w:after="0"/>
              <w:rPr>
                <w:sz w:val="20"/>
                <w:szCs w:val="20"/>
                <w:color w:val="auto"/>
              </w:rPr>
            </w:pPr>
            <w:r>
              <w:rPr>
                <w:rFonts w:ascii="Arial" w:cs="Arial" w:eastAsia="Arial" w:hAnsi="Arial"/>
                <w:sz w:val="13"/>
                <w:szCs w:val="13"/>
                <w:b w:val="1"/>
                <w:bCs w:val="1"/>
                <w:color w:val="auto"/>
                <w:w w:val="93"/>
              </w:rPr>
              <w:t>Adjustments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05"/>
              <w:spacing w:after="0"/>
              <w:rPr>
                <w:sz w:val="20"/>
                <w:szCs w:val="20"/>
                <w:color w:val="auto"/>
              </w:rPr>
            </w:pPr>
            <w:r>
              <w:rPr>
                <w:rFonts w:ascii="Arial" w:cs="Arial" w:eastAsia="Arial" w:hAnsi="Arial"/>
                <w:sz w:val="13"/>
                <w:szCs w:val="13"/>
                <w:b w:val="1"/>
                <w:bCs w:val="1"/>
                <w:color w:val="auto"/>
                <w:w w:val="98"/>
              </w:rPr>
              <w:t>Pro Forma</w:t>
            </w:r>
          </w:p>
        </w:tc>
      </w:tr>
      <w:tr>
        <w:trPr>
          <w:trHeight w:val="149"/>
        </w:trPr>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45"/>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6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245"/>
              <w:spacing w:after="0"/>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05"/>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224"/>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45"/>
              <w:spacing w:after="0"/>
              <w:rPr>
                <w:sz w:val="20"/>
                <w:szCs w:val="20"/>
                <w:color w:val="auto"/>
              </w:rPr>
            </w:pPr>
            <w:r>
              <w:rPr>
                <w:rFonts w:ascii="Arial" w:cs="Arial" w:eastAsia="Arial" w:hAnsi="Arial"/>
                <w:sz w:val="13"/>
                <w:szCs w:val="13"/>
                <w:b w:val="1"/>
                <w:bCs w:val="1"/>
                <w:color w:val="auto"/>
                <w:w w:val="93"/>
              </w:rPr>
              <w:t>through</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6"/>
              <w:spacing w:after="0"/>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225"/>
              <w:spacing w:after="0"/>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65"/>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204"/>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205"/>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46"/>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205"/>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65"/>
              <w:spacing w:after="0"/>
              <w:rPr>
                <w:sz w:val="20"/>
                <w:szCs w:val="20"/>
                <w:color w:val="auto"/>
              </w:rPr>
            </w:pPr>
            <w:r>
              <w:rPr>
                <w:rFonts w:ascii="Arial" w:cs="Arial" w:eastAsia="Arial" w:hAnsi="Arial"/>
                <w:sz w:val="13"/>
                <w:szCs w:val="13"/>
                <w:b w:val="1"/>
                <w:bCs w:val="1"/>
                <w:color w:val="auto"/>
                <w:w w:val="94"/>
              </w:rPr>
              <w:t>December 31,</w:t>
            </w:r>
          </w:p>
        </w:tc>
      </w:tr>
      <w:tr>
        <w:trPr>
          <w:trHeight w:val="175"/>
        </w:trPr>
        <w:tc>
          <w:tcPr>
            <w:tcW w:w="39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05"/>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2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05"/>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3"/>
        </w:trPr>
        <w:tc>
          <w:tcPr>
            <w:tcW w:w="3940" w:type="dxa"/>
            <w:vAlign w:val="bottom"/>
          </w:tcPr>
          <w:p>
            <w:pPr>
              <w:ind w:left="120"/>
              <w:spacing w:after="0"/>
              <w:rPr>
                <w:sz w:val="20"/>
                <w:szCs w:val="20"/>
                <w:color w:val="auto"/>
              </w:rPr>
            </w:pPr>
            <w:r>
              <w:rPr>
                <w:rFonts w:ascii="Arial" w:cs="Arial" w:eastAsia="Arial" w:hAnsi="Arial"/>
                <w:sz w:val="17"/>
                <w:szCs w:val="17"/>
                <w:color w:val="auto"/>
              </w:rPr>
              <w:t>Americas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44"/>
              <w:spacing w:after="0"/>
              <w:rPr>
                <w:sz w:val="20"/>
                <w:szCs w:val="20"/>
                <w:color w:val="auto"/>
              </w:rPr>
            </w:pPr>
            <w:r>
              <w:rPr>
                <w:rFonts w:ascii="Arial" w:cs="Arial" w:eastAsia="Arial" w:hAnsi="Arial"/>
                <w:sz w:val="17"/>
                <w:szCs w:val="17"/>
                <w:color w:val="auto"/>
              </w:rPr>
              <w:t>604,413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5"/>
              <w:spacing w:after="0"/>
              <w:rPr>
                <w:sz w:val="20"/>
                <w:szCs w:val="20"/>
                <w:color w:val="auto"/>
              </w:rPr>
            </w:pPr>
            <w:r>
              <w:rPr>
                <w:rFonts w:ascii="Arial" w:cs="Arial" w:eastAsia="Arial" w:hAnsi="Arial"/>
                <w:sz w:val="17"/>
                <w:szCs w:val="17"/>
                <w:color w:val="auto"/>
              </w:rPr>
              <w:t>430,002</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66"/>
              <w:spacing w:after="0"/>
              <w:rPr>
                <w:sz w:val="20"/>
                <w:szCs w:val="20"/>
                <w:color w:val="auto"/>
              </w:rPr>
            </w:pPr>
            <w:r>
              <w:rPr>
                <w:rFonts w:ascii="Arial" w:cs="Arial" w:eastAsia="Arial" w:hAnsi="Arial"/>
                <w:sz w:val="17"/>
                <w:szCs w:val="17"/>
                <w:color w:val="auto"/>
              </w:rPr>
              <w:t>32,411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ind w:left="88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45"/>
              <w:spacing w:after="0"/>
              <w:rPr>
                <w:sz w:val="20"/>
                <w:szCs w:val="20"/>
                <w:color w:val="auto"/>
              </w:rPr>
            </w:pPr>
            <w:r>
              <w:rPr>
                <w:rFonts w:ascii="Arial" w:cs="Arial" w:eastAsia="Arial" w:hAnsi="Arial"/>
                <w:sz w:val="17"/>
                <w:szCs w:val="17"/>
                <w:color w:val="auto"/>
              </w:rPr>
              <w:t>462,413</w:t>
            </w:r>
          </w:p>
        </w:tc>
      </w:tr>
      <w:tr>
        <w:trPr>
          <w:trHeight w:val="236"/>
        </w:trPr>
        <w:tc>
          <w:tcPr>
            <w:tcW w:w="39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International</w:t>
            </w: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114,009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45"/>
              <w:spacing w:after="0"/>
              <w:rPr>
                <w:sz w:val="20"/>
                <w:szCs w:val="20"/>
                <w:color w:val="auto"/>
              </w:rPr>
            </w:pPr>
            <w:r>
              <w:rPr>
                <w:rFonts w:ascii="Arial" w:cs="Arial" w:eastAsia="Arial" w:hAnsi="Arial"/>
                <w:sz w:val="17"/>
                <w:szCs w:val="17"/>
                <w:color w:val="auto"/>
              </w:rPr>
              <w:t>45,818</w:t>
            </w:r>
          </w:p>
        </w:tc>
        <w:tc>
          <w:tcPr>
            <w:tcW w:w="1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66"/>
              <w:spacing w:after="0"/>
              <w:rPr>
                <w:sz w:val="20"/>
                <w:szCs w:val="20"/>
                <w:color w:val="auto"/>
              </w:rPr>
            </w:pPr>
            <w:r>
              <w:rPr>
                <w:rFonts w:ascii="Arial" w:cs="Arial" w:eastAsia="Arial" w:hAnsi="Arial"/>
                <w:sz w:val="17"/>
                <w:szCs w:val="17"/>
                <w:color w:val="auto"/>
              </w:rPr>
              <w:t>4,665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ind w:left="8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45"/>
              <w:spacing w:after="0"/>
              <w:rPr>
                <w:sz w:val="20"/>
                <w:szCs w:val="20"/>
                <w:color w:val="auto"/>
              </w:rPr>
            </w:pPr>
            <w:r>
              <w:rPr>
                <w:rFonts w:ascii="Arial" w:cs="Arial" w:eastAsia="Arial" w:hAnsi="Arial"/>
                <w:sz w:val="17"/>
                <w:szCs w:val="17"/>
                <w:color w:val="auto"/>
              </w:rPr>
              <w:t>50,483</w:t>
            </w:r>
          </w:p>
        </w:tc>
      </w:tr>
      <w:tr>
        <w:trPr>
          <w:trHeight w:val="228"/>
        </w:trPr>
        <w:tc>
          <w:tcPr>
            <w:tcW w:w="3940" w:type="dxa"/>
            <w:vAlign w:val="bottom"/>
          </w:tcPr>
          <w:p>
            <w:pPr>
              <w:ind w:left="120"/>
              <w:spacing w:after="0"/>
              <w:rPr>
                <w:sz w:val="20"/>
                <w:szCs w:val="20"/>
                <w:color w:val="auto"/>
              </w:rPr>
            </w:pPr>
            <w:r>
              <w:rPr>
                <w:rFonts w:ascii="Arial" w:cs="Arial" w:eastAsia="Arial" w:hAnsi="Arial"/>
                <w:sz w:val="17"/>
                <w:szCs w:val="17"/>
                <w:color w:val="auto"/>
              </w:rPr>
              <w:t>Eliminations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(6,127 )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(291 )</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(3,742 )</w:t>
            </w:r>
          </w:p>
        </w:tc>
      </w:tr>
      <w:tr>
        <w:trPr>
          <w:trHeight w:val="258"/>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7"/>
                <w:szCs w:val="17"/>
                <w:color w:val="auto"/>
              </w:rPr>
              <w:t>712,295</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7"/>
                <w:szCs w:val="17"/>
                <w:color w:val="auto"/>
              </w:rPr>
              <w:t>472,369</w:t>
            </w:r>
          </w:p>
        </w:tc>
        <w:tc>
          <w:tcPr>
            <w:tcW w:w="120" w:type="dxa"/>
            <w:vAlign w:val="bottom"/>
            <w:tcBorders>
              <w:bottom w:val="single" w:sz="8" w:color="CFF0FC"/>
              <w:right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7"/>
                <w:szCs w:val="17"/>
                <w:color w:val="auto"/>
              </w:rPr>
              <w:t>36,785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7"/>
                <w:szCs w:val="17"/>
                <w:color w:val="auto"/>
              </w:rPr>
              <w:t>509,154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-894715</wp:posOffset>
            </wp:positionV>
            <wp:extent cx="93853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8530" cy="1454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-337820</wp:posOffset>
            </wp:positionV>
            <wp:extent cx="3754755" cy="351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54755" cy="351155"/>
                    </a:xfrm>
                    <a:prstGeom prst="rect">
                      <a:avLst/>
                    </a:prstGeom>
                    <a:noFill/>
                  </pic:spPr>
                </pic:pic>
              </a:graphicData>
            </a:graphic>
          </wp:anchor>
        </w:drawing>
      </w:r>
    </w:p>
    <w:p>
      <w:pPr>
        <w:spacing w:after="0" w:line="12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Revenues were $712.3 million for the year ended December 31, 2021 (Successor), compared to $472.4 million for the period from February 1, 2020 through December 31, 2020 (Successor) and $36.8 million for the period from January 1, 2020 through January 31, 2020 (Predecessor). On a pro forma basis, revenues were $509.2 million for the twelve months ended December 31, 2020. Revenue for the year ended December 31, 2021 (Successor) increased by $203.1 million, or 39.9%, compared to the twelve months ended December 31, 2020, on a pro forma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driven by:</w:t>
      </w:r>
    </w:p>
    <w:p>
      <w:pPr>
        <w:spacing w:after="0" w:line="171" w:lineRule="exact"/>
        <w:rPr>
          <w:sz w:val="20"/>
          <w:szCs w:val="20"/>
          <w:color w:val="auto"/>
        </w:rPr>
      </w:pPr>
    </w:p>
    <w:p>
      <w:pPr>
        <w:jc w:val="both"/>
        <w:ind w:left="1020" w:right="60" w:hanging="503"/>
        <w:spacing w:after="0" w:line="311"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net increase of $139.4 million in existing customer revenues, primarily driven by a strong, broad-based recovery in demand as compared to 2020 which was negatively impacted by the COVID-19 pandemic, increased revenue growth in key verticals and geographies, and on-going strength in upsell and cross-sell. These existing customer increases were offset by the impact of lost accounts;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revenues of $39.1 million attributable to new customers;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revenues of $24.6 million attributable to our acquisitions, which were all within the first year of acquisition in 2021.</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experienced high demand among customers in the essential retail, e-commerce, transportation and home delivery, technology, and business / financial services and flexible workforce / staffing verticals during 2021. Pricing was relatively stable across all periods.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Cost of Services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47"/>
              <w:spacing w:after="0"/>
              <w:rPr>
                <w:sz w:val="20"/>
                <w:szCs w:val="20"/>
                <w:color w:val="auto"/>
              </w:rPr>
            </w:pPr>
            <w:r>
              <w:rPr>
                <w:rFonts w:ascii="Arial" w:cs="Arial" w:eastAsia="Arial" w:hAnsi="Arial"/>
                <w:sz w:val="13"/>
                <w:szCs w:val="13"/>
                <w:b w:val="1"/>
                <w:bCs w:val="1"/>
                <w:color w:val="auto"/>
                <w:w w:val="89"/>
              </w:rPr>
              <w:t>Predecessor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3"/>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right w:val="single" w:sz="8" w:color="auto"/>
            </w:tcBorders>
          </w:tcPr>
          <w:p>
            <w:pPr>
              <w:jc w:val="center"/>
              <w:ind w:right="287"/>
              <w:spacing w:after="0" w:line="143" w:lineRule="exact"/>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47"/>
              <w:spacing w:after="0" w:line="143" w:lineRule="exact"/>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75"/>
              <w:spacing w:after="0" w:line="143" w:lineRule="exact"/>
              <w:rPr>
                <w:sz w:val="20"/>
                <w:szCs w:val="20"/>
                <w:color w:val="auto"/>
              </w:rPr>
            </w:pPr>
            <w:r>
              <w:rPr>
                <w:rFonts w:ascii="Arial" w:cs="Arial" w:eastAsia="Arial" w:hAnsi="Arial"/>
                <w:sz w:val="13"/>
                <w:szCs w:val="13"/>
                <w:b w:val="1"/>
                <w:bCs w:val="1"/>
                <w:color w:val="auto"/>
                <w:w w:val="98"/>
              </w:rPr>
              <w:t>Pro Forma</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right w:val="single" w:sz="8" w:color="auto"/>
            </w:tcBorders>
          </w:tcPr>
          <w:p>
            <w:pPr>
              <w:jc w:val="center"/>
              <w:ind w:right="347"/>
              <w:spacing w:after="0"/>
              <w:rPr>
                <w:sz w:val="20"/>
                <w:szCs w:val="20"/>
                <w:color w:val="auto"/>
              </w:rPr>
            </w:pPr>
            <w:r>
              <w:rPr>
                <w:rFonts w:ascii="Arial" w:cs="Arial" w:eastAsia="Arial" w:hAnsi="Arial"/>
                <w:sz w:val="13"/>
                <w:szCs w:val="13"/>
                <w:b w:val="1"/>
                <w:bCs w:val="1"/>
                <w:color w:val="auto"/>
                <w:w w:val="96"/>
              </w:rPr>
              <w:t>February 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47"/>
              <w:spacing w:after="0"/>
              <w:rPr>
                <w:sz w:val="20"/>
                <w:szCs w:val="20"/>
                <w:color w:val="auto"/>
              </w:rPr>
            </w:pPr>
            <w:r>
              <w:rPr>
                <w:rFonts w:ascii="Arial" w:cs="Arial" w:eastAsia="Arial" w:hAnsi="Arial"/>
                <w:sz w:val="13"/>
                <w:szCs w:val="13"/>
                <w:b w:val="1"/>
                <w:bCs w:val="1"/>
                <w:color w:val="auto"/>
                <w:w w:val="96"/>
              </w:rPr>
              <w:t>January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95"/>
              <w:spacing w:after="0"/>
              <w:rPr>
                <w:sz w:val="20"/>
                <w:szCs w:val="20"/>
                <w:color w:val="auto"/>
              </w:rPr>
            </w:pPr>
            <w:r>
              <w:rPr>
                <w:rFonts w:ascii="Arial" w:cs="Arial" w:eastAsia="Arial" w:hAnsi="Arial"/>
                <w:sz w:val="13"/>
                <w:szCs w:val="13"/>
                <w:b w:val="1"/>
                <w:bCs w:val="1"/>
                <w:color w:val="auto"/>
                <w:w w:val="93"/>
              </w:rPr>
              <w:t>Adjustments</w:t>
            </w:r>
          </w:p>
        </w:tc>
        <w:tc>
          <w:tcPr>
            <w:tcW w:w="13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Pro Forma</w:t>
            </w:r>
          </w:p>
        </w:tc>
      </w:tr>
      <w:tr>
        <w:trPr>
          <w:trHeight w:val="149"/>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right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87"/>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75"/>
              <w:spacing w:after="0"/>
              <w:rPr>
                <w:sz w:val="20"/>
                <w:szCs w:val="20"/>
                <w:color w:val="auto"/>
              </w:rPr>
            </w:pPr>
            <w:r>
              <w:rPr>
                <w:rFonts w:ascii="Arial" w:cs="Arial" w:eastAsia="Arial" w:hAnsi="Arial"/>
                <w:sz w:val="13"/>
                <w:szCs w:val="13"/>
                <w:b w:val="1"/>
                <w:bCs w:val="1"/>
                <w:color w:val="auto"/>
                <w:w w:val="98"/>
              </w:rPr>
              <w:t>for the</w:t>
            </w:r>
          </w:p>
        </w:tc>
        <w:tc>
          <w:tcPr>
            <w:tcW w:w="13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Year Ended</w:t>
            </w:r>
          </w:p>
        </w:tc>
        <w:tc>
          <w:tcPr>
            <w:tcW w:w="220" w:type="dxa"/>
            <w:vAlign w:val="bottom"/>
          </w:tcPr>
          <w:p>
            <w:pPr>
              <w:spacing w:after="0"/>
              <w:rPr>
                <w:sz w:val="12"/>
                <w:szCs w:val="12"/>
                <w:color w:val="auto"/>
              </w:rPr>
            </w:pPr>
          </w:p>
        </w:tc>
        <w:tc>
          <w:tcPr>
            <w:tcW w:w="1260" w:type="dxa"/>
            <w:vAlign w:val="bottom"/>
            <w:tcBorders>
              <w:right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93"/>
              </w:rPr>
              <w:t>through</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47"/>
              <w:spacing w:after="0"/>
              <w:rPr>
                <w:sz w:val="20"/>
                <w:szCs w:val="20"/>
                <w:color w:val="auto"/>
              </w:rPr>
            </w:pPr>
            <w:r>
              <w:rPr>
                <w:rFonts w:ascii="Arial" w:cs="Arial" w:eastAsia="Arial" w:hAnsi="Arial"/>
                <w:sz w:val="13"/>
                <w:szCs w:val="13"/>
                <w:b w:val="1"/>
                <w:bCs w:val="1"/>
                <w:color w:val="auto"/>
                <w:w w:val="93"/>
              </w:rPr>
              <w:t>through</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75"/>
              <w:spacing w:after="0"/>
              <w:rPr>
                <w:sz w:val="20"/>
                <w:szCs w:val="20"/>
                <w:color w:val="auto"/>
              </w:rPr>
            </w:pPr>
            <w:r>
              <w:rPr>
                <w:rFonts w:ascii="Arial" w:cs="Arial" w:eastAsia="Arial" w:hAnsi="Arial"/>
                <w:sz w:val="13"/>
                <w:szCs w:val="13"/>
                <w:b w:val="1"/>
                <w:bCs w:val="1"/>
                <w:color w:val="auto"/>
                <w:w w:val="95"/>
              </w:rPr>
              <w:t>Year Ended</w:t>
            </w: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Ended</w:t>
            </w:r>
          </w:p>
        </w:tc>
      </w:tr>
      <w:tr>
        <w:trPr>
          <w:trHeight w:val="175"/>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5"/>
                <w:szCs w:val="15"/>
                <w:color w:val="auto"/>
              </w:rPr>
            </w:pPr>
          </w:p>
        </w:tc>
        <w:tc>
          <w:tcPr>
            <w:tcW w:w="1260" w:type="dxa"/>
            <w:vAlign w:val="bottom"/>
            <w:tcBorders>
              <w:right w:val="single" w:sz="8" w:color="auto"/>
            </w:tcBorders>
          </w:tcPr>
          <w:p>
            <w:pPr>
              <w:jc w:val="center"/>
              <w:ind w:right="287"/>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247"/>
              <w:spacing w:after="0"/>
              <w:rPr>
                <w:sz w:val="20"/>
                <w:szCs w:val="20"/>
                <w:color w:val="auto"/>
              </w:rPr>
            </w:pPr>
            <w:r>
              <w:rPr>
                <w:rFonts w:ascii="Arial" w:cs="Arial" w:eastAsia="Arial" w:hAnsi="Arial"/>
                <w:sz w:val="13"/>
                <w:szCs w:val="13"/>
                <w:b w:val="1"/>
                <w:bCs w:val="1"/>
                <w:color w:val="auto"/>
                <w:w w:val="97"/>
              </w:rPr>
              <w:t>January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355"/>
              <w:spacing w:after="0"/>
              <w:rPr>
                <w:sz w:val="20"/>
                <w:szCs w:val="20"/>
                <w:color w:val="auto"/>
              </w:rPr>
            </w:pPr>
            <w:r>
              <w:rPr>
                <w:rFonts w:ascii="Arial" w:cs="Arial" w:eastAsia="Arial" w:hAnsi="Arial"/>
                <w:sz w:val="13"/>
                <w:szCs w:val="13"/>
                <w:b w:val="1"/>
                <w:bCs w:val="1"/>
                <w:color w:val="auto"/>
                <w:w w:val="92"/>
              </w:rPr>
              <w:t>December 31,</w:t>
            </w:r>
          </w:p>
        </w:tc>
        <w:tc>
          <w:tcPr>
            <w:tcW w:w="13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December 31,</w:t>
            </w:r>
          </w:p>
        </w:tc>
      </w:tr>
      <w:tr>
        <w:trPr>
          <w:trHeight w:val="175"/>
        </w:trPr>
        <w:tc>
          <w:tcPr>
            <w:tcW w:w="40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65"/>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87"/>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47"/>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6"/>
              </w:rPr>
              <w:t>2020</w:t>
            </w:r>
          </w:p>
        </w:tc>
        <w:tc>
          <w:tcPr>
            <w:tcW w:w="40" w:type="dxa"/>
            <w:vAlign w:val="bottom"/>
          </w:tcPr>
          <w:p>
            <w:pPr>
              <w:spacing w:after="0"/>
              <w:rPr>
                <w:sz w:val="15"/>
                <w:szCs w:val="15"/>
                <w:color w:val="auto"/>
              </w:rPr>
            </w:pPr>
          </w:p>
        </w:tc>
      </w:tr>
      <w:tr>
        <w:trPr>
          <w:trHeight w:val="223"/>
        </w:trPr>
        <w:tc>
          <w:tcPr>
            <w:tcW w:w="4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Revenues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712,295</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Borders>
              <w:right w:val="single" w:sz="8" w:color="auto"/>
            </w:tcBorders>
            <w:shd w:val="clear" w:color="auto" w:fill="CFF0FC"/>
          </w:tcPr>
          <w:p>
            <w:pPr>
              <w:jc w:val="right"/>
              <w:ind w:right="87"/>
              <w:spacing w:after="0"/>
              <w:rPr>
                <w:sz w:val="20"/>
                <w:szCs w:val="20"/>
                <w:color w:val="auto"/>
              </w:rPr>
            </w:pPr>
            <w:r>
              <w:rPr>
                <w:rFonts w:ascii="Arial" w:cs="Arial" w:eastAsia="Arial" w:hAnsi="Arial"/>
                <w:sz w:val="17"/>
                <w:szCs w:val="17"/>
                <w:color w:val="auto"/>
              </w:rPr>
              <w:t>472,369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47"/>
              <w:spacing w:after="0"/>
              <w:rPr>
                <w:sz w:val="20"/>
                <w:szCs w:val="20"/>
                <w:color w:val="auto"/>
              </w:rPr>
            </w:pPr>
            <w:r>
              <w:rPr>
                <w:rFonts w:ascii="Arial" w:cs="Arial" w:eastAsia="Arial" w:hAnsi="Arial"/>
                <w:sz w:val="17"/>
                <w:szCs w:val="17"/>
                <w:color w:val="auto"/>
              </w:rPr>
              <w:t>36,785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rPr>
              <w:t>509,154</w:t>
            </w:r>
          </w:p>
        </w:tc>
        <w:tc>
          <w:tcPr>
            <w:tcW w:w="40" w:type="dxa"/>
            <w:vAlign w:val="bottom"/>
          </w:tcPr>
          <w:p>
            <w:pPr>
              <w:spacing w:after="0"/>
              <w:rPr>
                <w:sz w:val="19"/>
                <w:szCs w:val="19"/>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7"/>
                <w:szCs w:val="17"/>
                <w:color w:val="auto"/>
              </w:rPr>
              <w:t>Cost of services</w:t>
            </w:r>
          </w:p>
        </w:tc>
        <w:tc>
          <w:tcPr>
            <w:tcW w:w="200" w:type="dxa"/>
            <w:vAlign w:val="bottom"/>
          </w:tcPr>
          <w:p>
            <w:pPr>
              <w:spacing w:after="0"/>
              <w:rPr>
                <w:sz w:val="18"/>
                <w:szCs w:val="18"/>
                <w:color w:val="auto"/>
              </w:rPr>
            </w:pPr>
          </w:p>
        </w:tc>
        <w:tc>
          <w:tcPr>
            <w:tcW w:w="1320" w:type="dxa"/>
            <w:vAlign w:val="bottom"/>
          </w:tcPr>
          <w:p>
            <w:pPr>
              <w:jc w:val="right"/>
              <w:ind w:right="65"/>
              <w:spacing w:after="0"/>
              <w:rPr>
                <w:sz w:val="20"/>
                <w:szCs w:val="20"/>
                <w:color w:val="auto"/>
              </w:rPr>
            </w:pPr>
            <w:r>
              <w:rPr>
                <w:rFonts w:ascii="Arial" w:cs="Arial" w:eastAsia="Arial" w:hAnsi="Arial"/>
                <w:sz w:val="17"/>
                <w:szCs w:val="17"/>
                <w:color w:val="auto"/>
              </w:rPr>
              <w:t>352,170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right w:val="single" w:sz="8" w:color="auto"/>
            </w:tcBorders>
          </w:tcPr>
          <w:p>
            <w:pPr>
              <w:jc w:val="right"/>
              <w:ind w:right="87"/>
              <w:spacing w:after="0"/>
              <w:rPr>
                <w:sz w:val="20"/>
                <w:szCs w:val="20"/>
                <w:color w:val="auto"/>
              </w:rPr>
            </w:pPr>
            <w:r>
              <w:rPr>
                <w:rFonts w:ascii="Arial" w:cs="Arial" w:eastAsia="Arial" w:hAnsi="Arial"/>
                <w:sz w:val="17"/>
                <w:szCs w:val="17"/>
                <w:color w:val="auto"/>
              </w:rPr>
              <w:t>240,287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47"/>
              <w:spacing w:after="0"/>
              <w:rPr>
                <w:sz w:val="20"/>
                <w:szCs w:val="20"/>
                <w:color w:val="auto"/>
              </w:rPr>
            </w:pPr>
            <w:r>
              <w:rPr>
                <w:rFonts w:ascii="Arial" w:cs="Arial" w:eastAsia="Arial" w:hAnsi="Arial"/>
                <w:sz w:val="17"/>
                <w:szCs w:val="17"/>
                <w:color w:val="auto"/>
              </w:rPr>
              <w:t>20,265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82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46"/>
              <w:spacing w:after="0"/>
              <w:rPr>
                <w:sz w:val="20"/>
                <w:szCs w:val="20"/>
                <w:color w:val="auto"/>
              </w:rPr>
            </w:pPr>
            <w:r>
              <w:rPr>
                <w:rFonts w:ascii="Arial" w:cs="Arial" w:eastAsia="Arial" w:hAnsi="Arial"/>
                <w:sz w:val="17"/>
                <w:szCs w:val="17"/>
                <w:color w:val="auto"/>
              </w:rPr>
              <w:t>260,552</w:t>
            </w:r>
          </w:p>
        </w:tc>
        <w:tc>
          <w:tcPr>
            <w:tcW w:w="40" w:type="dxa"/>
            <w:vAlign w:val="bottom"/>
          </w:tcPr>
          <w:p>
            <w:pPr>
              <w:spacing w:after="0"/>
              <w:rPr>
                <w:sz w:val="18"/>
                <w:szCs w:val="18"/>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7"/>
                <w:szCs w:val="17"/>
                <w:color w:val="auto"/>
              </w:rPr>
              <w:t>Cost of services as a % of revenue</w:t>
            </w:r>
          </w:p>
        </w:tc>
        <w:tc>
          <w:tcPr>
            <w:tcW w:w="2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49.4 %</w:t>
            </w:r>
          </w:p>
        </w:tc>
        <w:tc>
          <w:tcPr>
            <w:tcW w:w="220" w:type="dxa"/>
            <w:vAlign w:val="bottom"/>
          </w:tcPr>
          <w:p>
            <w:pPr>
              <w:spacing w:after="0"/>
              <w:rPr>
                <w:sz w:val="21"/>
                <w:szCs w:val="21"/>
                <w:color w:val="auto"/>
              </w:rPr>
            </w:pP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50.9 %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5"/>
              <w:spacing w:after="0"/>
              <w:rPr>
                <w:sz w:val="20"/>
                <w:szCs w:val="20"/>
                <w:color w:val="auto"/>
              </w:rPr>
            </w:pPr>
            <w:r>
              <w:rPr>
                <w:rFonts w:ascii="Arial" w:cs="Arial" w:eastAsia="Arial" w:hAnsi="Arial"/>
                <w:sz w:val="17"/>
                <w:szCs w:val="17"/>
                <w:color w:val="auto"/>
              </w:rPr>
              <w:t>55.1 %</w:t>
            </w:r>
          </w:p>
        </w:tc>
        <w:tc>
          <w:tcPr>
            <w:tcW w:w="1300" w:type="dxa"/>
            <w:vAlign w:val="bottom"/>
            <w:gridSpan w:val="3"/>
          </w:tcPr>
          <w:p>
            <w:pPr>
              <w:ind w:left="8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4467225</wp:posOffset>
            </wp:positionH>
            <wp:positionV relativeFrom="paragraph">
              <wp:posOffset>-569595</wp:posOffset>
            </wp:positionV>
            <wp:extent cx="93853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85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Cost of services was $352.2 million for the year ended December 31, 2021 (Successor), compared to $240.3 million for the period from February 1, 2020 through December 31, 2020 (Successor) and $20.3 million for the period from January 1, 2020 through January 31, 2020 (Predecessor). On a pro forma basis, cost of services was $260.6 million for the twelve months ended December 31, 2020. Cost of services for the year ended December 31, 2021 (Successor) increased by $91.6 million, or 35.2%, compared to the twelve months ended December 31, 2020, on a pro forma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71" w:lineRule="exact"/>
        <w:rPr>
          <w:sz w:val="20"/>
          <w:szCs w:val="20"/>
          <w:color w:val="auto"/>
        </w:rPr>
      </w:pPr>
    </w:p>
    <w:p>
      <w:pPr>
        <w:ind w:left="1020" w:right="6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variable third-party data expenses of $77.8 million as a direct result of increased revenues and 2021 acquisitions in total having a larger mix of third-party data expenses;</w:t>
      </w:r>
    </w:p>
    <w:p>
      <w:pPr>
        <w:spacing w:after="0" w:line="62" w:lineRule="exact"/>
        <w:rPr>
          <w:rFonts w:ascii="Arial" w:cs="Arial" w:eastAsia="Arial" w:hAnsi="Arial"/>
          <w:sz w:val="18"/>
          <w:szCs w:val="18"/>
          <w:color w:val="auto"/>
        </w:rPr>
      </w:pPr>
    </w:p>
    <w:p>
      <w:pPr>
        <w:jc w:val="both"/>
        <w:ind w:left="1020" w:right="380" w:hanging="503"/>
        <w:spacing w:after="0" w:line="286"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$11.9 million increase in personnel related expenses in our operations and customer care functions as a result of additional operational support headcount to process and fulfill the Company’s order volume growth. This increase is further impacted by the COVID-19 related personnel and benefit expense reduction actions taken in 2020 that did not continue into 2021;</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exchange losses of $0.5 million due to the impact of foreign exchange rate volatility; and</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number of cost of services related operating expense increases attributable to insurance, software licenses, and other expenses related to the increased revenue volumes experienced in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partially offset by:</w:t>
      </w:r>
    </w:p>
    <w:p>
      <w:pPr>
        <w:spacing w:after="0" w:line="171"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number of other operating expense decreases including a decrease in travel-related expenses due to COVID-19 related restrictions.</w:t>
      </w:r>
    </w:p>
    <w:p>
      <w:pPr>
        <w:spacing w:after="0" w:line="18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Cost of services as a percentage of revenues was 49.4% for the year ended December 31, 2021 (Successor), compared to 50.9% for the period from February 1, 2020 through December 31, 2020 (Successor) and 55.1% for the period from January 1, 2020 through January 31, 2020 (Predecessor). On a pro forma basis, cost of services as a percentage of revenues was 51.2% for the twelve months ended December 31, 2020. The Company was able to continue to improve cost of services leverage in 2021 as a result of operating efficiencies, the increased use of automation and RPA tools, and proprietary data assets which helped control or reduce personnel and third-party data expenses. These leverage improvements were slightly offset by the impact of the Company’s 2021 acquisitions, which, in total, had a larger mix of third-party data expenses.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3" w:right="29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Product and Technology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43"/>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line="143" w:lineRule="exact"/>
              <w:rPr>
                <w:sz w:val="20"/>
                <w:szCs w:val="20"/>
                <w:color w:val="auto"/>
              </w:rPr>
            </w:pPr>
            <w:r>
              <w:rPr>
                <w:rFonts w:ascii="Arial" w:cs="Arial" w:eastAsia="Arial" w:hAnsi="Arial"/>
                <w:sz w:val="13"/>
                <w:szCs w:val="13"/>
                <w:b w:val="1"/>
                <w:bCs w:val="1"/>
                <w:color w:val="auto"/>
                <w:w w:val="95"/>
              </w:rPr>
              <w:t>Pro Forma</w:t>
            </w:r>
          </w:p>
        </w:tc>
        <w:tc>
          <w:tcPr>
            <w:tcW w:w="1240" w:type="dxa"/>
            <w:vAlign w:val="bottom"/>
          </w:tcPr>
          <w:p>
            <w:pPr>
              <w:spacing w:after="0"/>
              <w:rPr>
                <w:sz w:val="12"/>
                <w:szCs w:val="12"/>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6"/>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3"/>
              </w:rPr>
              <w:t>Adjustments</w:t>
            </w: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8"/>
              </w:rPr>
              <w:t>Pro Forma</w:t>
            </w: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3"/>
              </w:rPr>
              <w:t>for the</w:t>
            </w: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49"/>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93"/>
              </w:rPr>
              <w:t>through</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2"/>
              </w:rPr>
              <w:t>Year Ended</w:t>
            </w: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229"/>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415"/>
              <w:spacing w:after="0"/>
              <w:rPr>
                <w:sz w:val="20"/>
                <w:szCs w:val="20"/>
                <w:color w:val="auto"/>
              </w:rPr>
            </w:pPr>
            <w:r>
              <w:rPr>
                <w:rFonts w:ascii="Arial" w:cs="Arial" w:eastAsia="Arial" w:hAnsi="Arial"/>
                <w:sz w:val="13"/>
                <w:szCs w:val="13"/>
                <w:b w:val="1"/>
                <w:bCs w:val="1"/>
                <w:color w:val="auto"/>
                <w:w w:val="92"/>
              </w:rPr>
              <w:t>December 31,</w:t>
            </w: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39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Product and technology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69"/>
              <w:spacing w:after="0"/>
              <w:rPr>
                <w:sz w:val="20"/>
                <w:szCs w:val="20"/>
                <w:color w:val="auto"/>
              </w:rPr>
            </w:pPr>
            <w:r>
              <w:rPr>
                <w:rFonts w:ascii="Arial" w:cs="Arial" w:eastAsia="Arial" w:hAnsi="Arial"/>
                <w:sz w:val="17"/>
                <w:szCs w:val="17"/>
                <w:color w:val="auto"/>
              </w:rPr>
              <w:t>45,507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32,201</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3,189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ind w:left="8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35,390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-277495</wp:posOffset>
            </wp:positionV>
            <wp:extent cx="93853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8530" cy="145415"/>
                    </a:xfrm>
                    <a:prstGeom prst="rect">
                      <a:avLst/>
                    </a:prstGeom>
                    <a:noFill/>
                  </pic:spPr>
                </pic:pic>
              </a:graphicData>
            </a:graphic>
          </wp:anchor>
        </w:drawing>
      </w:r>
    </w:p>
    <w:p>
      <w:pPr>
        <w:spacing w:after="0" w:line="12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Product and technology expense was $45.5 million for the year ended December 31, 2021 (Successor), compared to $32.2 million for the period from February 1, 2020 through December 31, 2020 (Successor) and $3.2 million for the period from January 1, 2020 through January 31, 2020 (Predecessor). On a pro forma basis, product and technology expense was $35.4 million for the twelve months ended December 31, 2020. Product and technology expense for the year ended December 31, 2021 (Successor) increased by $10.1 million, or 28.6%, compared to the twelve months ended December 31, 2020, on a pro forma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71" w:lineRule="exact"/>
        <w:rPr>
          <w:sz w:val="20"/>
          <w:szCs w:val="20"/>
          <w:color w:val="auto"/>
        </w:rPr>
      </w:pPr>
    </w:p>
    <w:p>
      <w:pPr>
        <w:ind w:left="1020" w:right="1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$7.3 million increase in personnel-related and professional service fee expenses as a result of additional investments made to enhance our products, solutions, and technology;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$4.4 million increase in software licensing related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was partially offset by:</w:t>
      </w:r>
    </w:p>
    <w:p>
      <w:pPr>
        <w:spacing w:after="0" w:line="171" w:lineRule="exact"/>
        <w:rPr>
          <w:sz w:val="20"/>
          <w:szCs w:val="20"/>
          <w:color w:val="auto"/>
        </w:rPr>
      </w:pPr>
    </w:p>
    <w:p>
      <w:pPr>
        <w:ind w:left="1020" w:right="4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$2.5 million decrease in third-party fees related to a one-time product and technology organization restructuring that took place in 2020 and did not continue into 2021.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7"/>
              </w:rPr>
              <w:t>Predecessor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43"/>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1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435"/>
              <w:spacing w:after="0" w:line="143" w:lineRule="exact"/>
              <w:rPr>
                <w:sz w:val="20"/>
                <w:szCs w:val="20"/>
                <w:color w:val="auto"/>
              </w:rPr>
            </w:pPr>
            <w:r>
              <w:rPr>
                <w:rFonts w:ascii="Arial" w:cs="Arial" w:eastAsia="Arial" w:hAnsi="Arial"/>
                <w:sz w:val="13"/>
                <w:szCs w:val="13"/>
                <w:b w:val="1"/>
                <w:bCs w:val="1"/>
                <w:color w:val="auto"/>
                <w:w w:val="95"/>
              </w:rPr>
              <w:t>Pro Forma</w:t>
            </w:r>
          </w:p>
        </w:tc>
        <w:tc>
          <w:tcPr>
            <w:tcW w:w="122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10"/>
              <w:spacing w:after="0"/>
              <w:rPr>
                <w:sz w:val="20"/>
                <w:szCs w:val="20"/>
                <w:color w:val="auto"/>
              </w:rPr>
            </w:pPr>
            <w:r>
              <w:rPr>
                <w:rFonts w:ascii="Arial" w:cs="Arial" w:eastAsia="Arial" w:hAnsi="Arial"/>
                <w:sz w:val="13"/>
                <w:szCs w:val="13"/>
                <w:b w:val="1"/>
                <w:bCs w:val="1"/>
                <w:color w:val="auto"/>
                <w:w w:val="96"/>
              </w:rPr>
              <w:t>January 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435"/>
              <w:spacing w:after="0"/>
              <w:rPr>
                <w:sz w:val="20"/>
                <w:szCs w:val="20"/>
                <w:color w:val="auto"/>
              </w:rPr>
            </w:pPr>
            <w:r>
              <w:rPr>
                <w:rFonts w:ascii="Arial" w:cs="Arial" w:eastAsia="Arial" w:hAnsi="Arial"/>
                <w:sz w:val="13"/>
                <w:szCs w:val="13"/>
                <w:b w:val="1"/>
                <w:bCs w:val="1"/>
                <w:color w:val="auto"/>
                <w:w w:val="93"/>
              </w:rPr>
              <w:t>Adjustments</w:t>
            </w:r>
          </w:p>
        </w:tc>
        <w:tc>
          <w:tcPr>
            <w:tcW w:w="1220" w:type="dxa"/>
            <w:vAlign w:val="bottom"/>
          </w:tcPr>
          <w:p>
            <w:pPr>
              <w:jc w:val="center"/>
              <w:ind w:right="210"/>
              <w:spacing w:after="0"/>
              <w:rPr>
                <w:sz w:val="20"/>
                <w:szCs w:val="20"/>
                <w:color w:val="auto"/>
              </w:rPr>
            </w:pPr>
            <w:r>
              <w:rPr>
                <w:rFonts w:ascii="Arial" w:cs="Arial" w:eastAsia="Arial" w:hAnsi="Arial"/>
                <w:sz w:val="13"/>
                <w:szCs w:val="13"/>
                <w:b w:val="1"/>
                <w:bCs w:val="1"/>
                <w:color w:val="auto"/>
                <w:w w:val="95"/>
              </w:rPr>
              <w:t>Pro Forma</w:t>
            </w:r>
          </w:p>
        </w:tc>
      </w:tr>
      <w:tr>
        <w:trPr>
          <w:trHeight w:val="148"/>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50"/>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435"/>
              <w:spacing w:after="0"/>
              <w:rPr>
                <w:sz w:val="20"/>
                <w:szCs w:val="20"/>
                <w:color w:val="auto"/>
              </w:rPr>
            </w:pPr>
            <w:r>
              <w:rPr>
                <w:rFonts w:ascii="Arial" w:cs="Arial" w:eastAsia="Arial" w:hAnsi="Arial"/>
                <w:sz w:val="13"/>
                <w:szCs w:val="13"/>
                <w:b w:val="1"/>
                <w:bCs w:val="1"/>
                <w:color w:val="auto"/>
                <w:w w:val="93"/>
              </w:rPr>
              <w:t>for the</w:t>
            </w:r>
          </w:p>
        </w:tc>
        <w:tc>
          <w:tcPr>
            <w:tcW w:w="1220" w:type="dxa"/>
            <w:vAlign w:val="bottom"/>
          </w:tcPr>
          <w:p>
            <w:pPr>
              <w:jc w:val="center"/>
              <w:ind w:right="19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269"/>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50"/>
              <w:spacing w:after="0"/>
              <w:rPr>
                <w:sz w:val="20"/>
                <w:szCs w:val="20"/>
                <w:color w:val="auto"/>
              </w:rPr>
            </w:pPr>
            <w:r>
              <w:rPr>
                <w:rFonts w:ascii="Arial" w:cs="Arial" w:eastAsia="Arial" w:hAnsi="Arial"/>
                <w:sz w:val="13"/>
                <w:szCs w:val="13"/>
                <w:b w:val="1"/>
                <w:bCs w:val="1"/>
                <w:color w:val="auto"/>
                <w:w w:val="97"/>
              </w:rPr>
              <w:t>through</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10"/>
              <w:spacing w:after="0"/>
              <w:rPr>
                <w:sz w:val="20"/>
                <w:szCs w:val="20"/>
                <w:color w:val="auto"/>
              </w:rPr>
            </w:pPr>
            <w:r>
              <w:rPr>
                <w:rFonts w:ascii="Arial" w:cs="Arial" w:eastAsia="Arial" w:hAnsi="Arial"/>
                <w:sz w:val="13"/>
                <w:szCs w:val="13"/>
                <w:b w:val="1"/>
                <w:bCs w:val="1"/>
                <w:color w:val="auto"/>
                <w:w w:val="93"/>
              </w:rPr>
              <w:t>through</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435"/>
              <w:spacing w:after="0"/>
              <w:rPr>
                <w:sz w:val="20"/>
                <w:szCs w:val="20"/>
                <w:color w:val="auto"/>
              </w:rPr>
            </w:pPr>
            <w:r>
              <w:rPr>
                <w:rFonts w:ascii="Arial" w:cs="Arial" w:eastAsia="Arial" w:hAnsi="Arial"/>
                <w:sz w:val="13"/>
                <w:szCs w:val="13"/>
                <w:b w:val="1"/>
                <w:bCs w:val="1"/>
                <w:color w:val="auto"/>
                <w:w w:val="92"/>
              </w:rPr>
              <w:t>Year Ended</w:t>
            </w:r>
          </w:p>
        </w:tc>
        <w:tc>
          <w:tcPr>
            <w:tcW w:w="1220" w:type="dxa"/>
            <w:vAlign w:val="bottom"/>
          </w:tcPr>
          <w:p>
            <w:pPr>
              <w:jc w:val="center"/>
              <w:ind w:right="170"/>
              <w:spacing w:after="0"/>
              <w:rPr>
                <w:sz w:val="20"/>
                <w:szCs w:val="20"/>
                <w:color w:val="auto"/>
              </w:rPr>
            </w:pPr>
            <w:r>
              <w:rPr>
                <w:rFonts w:ascii="Arial" w:cs="Arial" w:eastAsia="Arial" w:hAnsi="Arial"/>
                <w:sz w:val="13"/>
                <w:szCs w:val="13"/>
                <w:b w:val="1"/>
                <w:bCs w:val="1"/>
                <w:color w:val="auto"/>
                <w:w w:val="95"/>
              </w:rPr>
              <w:t>Ended</w:t>
            </w:r>
          </w:p>
        </w:tc>
      </w:tr>
      <w:tr>
        <w:trPr>
          <w:trHeight w:val="175"/>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209"/>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230"/>
              <w:spacing w:after="0"/>
              <w:rPr>
                <w:sz w:val="20"/>
                <w:szCs w:val="20"/>
                <w:color w:val="auto"/>
              </w:rPr>
            </w:pPr>
            <w:r>
              <w:rPr>
                <w:rFonts w:ascii="Arial" w:cs="Arial" w:eastAsia="Arial" w:hAnsi="Arial"/>
                <w:sz w:val="13"/>
                <w:szCs w:val="13"/>
                <w:b w:val="1"/>
                <w:bCs w:val="1"/>
                <w:color w:val="auto"/>
                <w:w w:val="94"/>
              </w:rPr>
              <w:t>January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395"/>
              <w:spacing w:after="0"/>
              <w:rPr>
                <w:sz w:val="20"/>
                <w:szCs w:val="20"/>
                <w:color w:val="auto"/>
              </w:rPr>
            </w:pPr>
            <w:r>
              <w:rPr>
                <w:rFonts w:ascii="Arial" w:cs="Arial" w:eastAsia="Arial" w:hAnsi="Arial"/>
                <w:sz w:val="13"/>
                <w:szCs w:val="13"/>
                <w:b w:val="1"/>
                <w:bCs w:val="1"/>
                <w:color w:val="auto"/>
                <w:w w:val="92"/>
              </w:rPr>
              <w:t>December 31,</w:t>
            </w:r>
          </w:p>
        </w:tc>
        <w:tc>
          <w:tcPr>
            <w:tcW w:w="1220" w:type="dxa"/>
            <w:vAlign w:val="bottom"/>
          </w:tcPr>
          <w:p>
            <w:pPr>
              <w:jc w:val="center"/>
              <w:ind w:right="170"/>
              <w:spacing w:after="0"/>
              <w:rPr>
                <w:sz w:val="20"/>
                <w:szCs w:val="20"/>
                <w:color w:val="auto"/>
              </w:rPr>
            </w:pPr>
            <w:r>
              <w:rPr>
                <w:rFonts w:ascii="Arial" w:cs="Arial" w:eastAsia="Arial" w:hAnsi="Arial"/>
                <w:sz w:val="13"/>
                <w:szCs w:val="13"/>
                <w:b w:val="1"/>
                <w:bCs w:val="1"/>
                <w:color w:val="auto"/>
                <w:w w:val="92"/>
              </w:rPr>
              <w:t>December 31,</w:t>
            </w:r>
          </w:p>
        </w:tc>
      </w:tr>
      <w:tr>
        <w:trPr>
          <w:trHeight w:val="176"/>
        </w:trPr>
        <w:tc>
          <w:tcPr>
            <w:tcW w:w="41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09"/>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89"/>
              </w:rPr>
              <w:t>2020</w:t>
            </w:r>
          </w:p>
        </w:tc>
      </w:tr>
      <w:tr>
        <w:trPr>
          <w:trHeight w:val="223"/>
        </w:trPr>
        <w:tc>
          <w:tcPr>
            <w:tcW w:w="410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ind w:right="69"/>
              <w:spacing w:after="0"/>
              <w:rPr>
                <w:sz w:val="20"/>
                <w:szCs w:val="20"/>
                <w:color w:val="auto"/>
              </w:rPr>
            </w:pPr>
            <w:r>
              <w:rPr>
                <w:rFonts w:ascii="Arial" w:cs="Arial" w:eastAsia="Arial" w:hAnsi="Arial"/>
                <w:sz w:val="17"/>
                <w:szCs w:val="17"/>
                <w:color w:val="auto"/>
              </w:rPr>
              <w:t>107,980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66,864</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11,235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78,099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-277495</wp:posOffset>
            </wp:positionV>
            <wp:extent cx="92138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21385" cy="145415"/>
                    </a:xfrm>
                    <a:prstGeom prst="rect">
                      <a:avLst/>
                    </a:prstGeom>
                    <a:noFill/>
                  </pic:spPr>
                </pic:pic>
              </a:graphicData>
            </a:graphic>
          </wp:anchor>
        </w:drawing>
      </w:r>
    </w:p>
    <w:p>
      <w:pPr>
        <w:spacing w:after="0" w:line="128" w:lineRule="exact"/>
        <w:rPr>
          <w:sz w:val="20"/>
          <w:szCs w:val="20"/>
          <w:color w:val="auto"/>
        </w:rPr>
      </w:pPr>
    </w:p>
    <w:p>
      <w:pPr>
        <w:jc w:val="both"/>
        <w:ind w:right="340"/>
        <w:spacing w:after="0" w:line="287" w:lineRule="auto"/>
        <w:rPr>
          <w:sz w:val="20"/>
          <w:szCs w:val="20"/>
          <w:color w:val="auto"/>
        </w:rPr>
      </w:pPr>
      <w:r>
        <w:rPr>
          <w:rFonts w:ascii="Arial" w:cs="Arial" w:eastAsia="Arial" w:hAnsi="Arial"/>
          <w:sz w:val="16"/>
          <w:szCs w:val="16"/>
          <w:color w:val="auto"/>
        </w:rPr>
        <w:t>Selling, general, and administrative expense was $108.0 million for the year ended December 31, 2021 (Successor), compared to $66.9 million for the period from February 1, 2020 through December 31, 2020 (Successor) and $11.2 million for the period from January 1, 2020 through January 31, 2020 (Predecessor). On a pro forma basis, selling, general, and administrative expense was $78.1 million for the twelve months ended December 31, 2020.</w:t>
      </w:r>
    </w:p>
    <w:p>
      <w:pPr>
        <w:spacing w:after="0" w:line="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Selling, general, and administrative expense for the year ended December 31, 2021 (Successor) increased by $29.9 million or 38.3%, compared to the twelve months ended December 31, 2020, on a pro forma basis.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71" w:lineRule="exact"/>
        <w:rPr>
          <w:sz w:val="20"/>
          <w:szCs w:val="20"/>
          <w:color w:val="auto"/>
        </w:rPr>
      </w:pPr>
    </w:p>
    <w:p>
      <w:pPr>
        <w:ind w:left="1020" w:right="240" w:hanging="503"/>
        <w:spacing w:after="0" w:line="342"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$7.8 million increase in professional service fees incurred related to the Company’s IPO, related readiness expenses, the November 2021 Follow-On, and insurance expenses incurred related to the Company becoming and operating as a publicly traded company;</w:t>
      </w:r>
    </w:p>
    <w:p>
      <w:pPr>
        <w:spacing w:after="0" w:line="15" w:lineRule="exact"/>
        <w:rPr>
          <w:rFonts w:ascii="Arial" w:cs="Arial" w:eastAsia="Arial" w:hAnsi="Arial"/>
          <w:sz w:val="16"/>
          <w:szCs w:val="16"/>
          <w:color w:val="auto"/>
        </w:rPr>
      </w:pPr>
    </w:p>
    <w:p>
      <w:pPr>
        <w:ind w:left="1020" w:right="320" w:hanging="503"/>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$7.3 million increase in personnel related expenses primarily due to additional investments made in the Company’s Sales and Customer Success functions, additional headcount related to operating as a public company, and COVID-19 related personnel and benefit expense reduction actions taken in 2020 that did not continue into 2021;</w:t>
      </w:r>
    </w:p>
    <w:p>
      <w:pPr>
        <w:spacing w:after="0" w:line="75"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$5.9 million increase in commissions and bonus related expenses due to the Company’s improved operating results in 2021, as well as a transaction bonus program related to one of the Company’s 2021 acquisitions;</w:t>
      </w:r>
    </w:p>
    <w:p>
      <w:pPr>
        <w:spacing w:after="0" w:line="62"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$3.5 million increase in share-based compensation expenses as a result of performance related vesting related to the Company’s IPO, the November 2021 Follow-On, and incremental awards granted in the fourth quarter of 2021, offset by accelerated vesting related to the Silver Lake Transaction that did not reoccur in 2021;</w:t>
      </w:r>
    </w:p>
    <w:p>
      <w:pPr>
        <w:spacing w:after="0" w:line="75"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$2.0 million increase in legal expenses (see Note 12 to the audited consolidated financial statements included elsewhere in this Annual Report); and</w:t>
      </w:r>
    </w:p>
    <w:p>
      <w:pPr>
        <w:spacing w:after="0" w:line="62" w:lineRule="exact"/>
        <w:rPr>
          <w:rFonts w:ascii="Arial" w:cs="Arial" w:eastAsia="Arial" w:hAnsi="Arial"/>
          <w:sz w:val="18"/>
          <w:szCs w:val="18"/>
          <w:color w:val="auto"/>
        </w:rPr>
      </w:pPr>
    </w:p>
    <w:p>
      <w:pPr>
        <w:ind w:left="1020" w:right="240" w:hanging="503"/>
        <w:spacing w:after="0" w:line="342"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number of other corporate expenses that increased primarily as a result of the Company now being a publicly traded company, additional 2021 marketing and software licensing expenses, and COVID-19 related expense reductions in 2020 that did not continue into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71"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decreases in bad debt and travel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43"/>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Pro Forma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6"/>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Adjustments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8"/>
              </w:rPr>
              <w:t>Pro Forma</w:t>
            </w: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49"/>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93"/>
              </w:rPr>
              <w:t>through</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2"/>
              </w:rPr>
              <w:t>Year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229"/>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9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39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Depreciation and amortization</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69"/>
              <w:spacing w:after="0"/>
              <w:rPr>
                <w:sz w:val="20"/>
                <w:szCs w:val="20"/>
                <w:color w:val="auto"/>
              </w:rPr>
            </w:pPr>
            <w:r>
              <w:rPr>
                <w:rFonts w:ascii="Arial" w:cs="Arial" w:eastAsia="Arial" w:hAnsi="Arial"/>
                <w:sz w:val="17"/>
                <w:szCs w:val="17"/>
                <w:color w:val="auto"/>
              </w:rPr>
              <w:t>142,815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135,057</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2,105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6,124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143,286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-277495</wp:posOffset>
            </wp:positionV>
            <wp:extent cx="93853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8530" cy="145415"/>
                    </a:xfrm>
                    <a:prstGeom prst="rect">
                      <a:avLst/>
                    </a:prstGeom>
                    <a:noFill/>
                  </pic:spPr>
                </pic:pic>
              </a:graphicData>
            </a:graphic>
          </wp:anchor>
        </w:drawing>
      </w:r>
    </w:p>
    <w:p>
      <w:pPr>
        <w:spacing w:after="0" w:line="12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Depreciation and amortization was $142.8 million, for the year ended December 31, 2021 (Successor), compared to $135.1 million for the period from February 1, 2020 through December 31, 2020 (Successor) and $2.1 million for the period from January 1, 2020 through January 31, 2020 (Predecessor). On a pro forma basis, depreciation and amortization was $143.3 million for the twelve months ended December 31, 2020. Depreciation and amortization for the year ended December 31, 2021 (Successor) decreased by $0.5 million, or 0.3%, compared the twelve months ended December 31, 2020, on a pro forma basis. This decrease was primarily due to the impact of the step up in fair value of property and equipment and intangible assets as a result of the application of purchase accounting related to the Silver Lake Transaction, of which the intangible asset amortization is accelerated based on the relative projected discounted cash flows. This decrease was partially offset by increases in depreciation related to assets placed in service during the year ended December 31, 2021 (Successor).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43"/>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line="143" w:lineRule="exact"/>
              <w:rPr>
                <w:sz w:val="20"/>
                <w:szCs w:val="20"/>
                <w:color w:val="auto"/>
              </w:rPr>
            </w:pPr>
            <w:r>
              <w:rPr>
                <w:rFonts w:ascii="Arial" w:cs="Arial" w:eastAsia="Arial" w:hAnsi="Arial"/>
                <w:sz w:val="13"/>
                <w:szCs w:val="13"/>
                <w:b w:val="1"/>
                <w:bCs w:val="1"/>
                <w:color w:val="auto"/>
                <w:w w:val="95"/>
              </w:rPr>
              <w:t>Pro Forma</w:t>
            </w:r>
          </w:p>
        </w:tc>
        <w:tc>
          <w:tcPr>
            <w:tcW w:w="124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6"/>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3"/>
              </w:rPr>
              <w:t>Adjustments</w:t>
            </w: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8"/>
              </w:rPr>
              <w:t>Pro Forma</w:t>
            </w: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3"/>
              </w:rPr>
              <w:t>for the</w:t>
            </w: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49"/>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93"/>
              </w:rPr>
              <w:t>through</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2"/>
              </w:rPr>
              <w:t>Year Ended</w:t>
            </w: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229"/>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415"/>
              <w:spacing w:after="0"/>
              <w:rPr>
                <w:sz w:val="20"/>
                <w:szCs w:val="20"/>
                <w:color w:val="auto"/>
              </w:rPr>
            </w:pPr>
            <w:r>
              <w:rPr>
                <w:rFonts w:ascii="Arial" w:cs="Arial" w:eastAsia="Arial" w:hAnsi="Arial"/>
                <w:sz w:val="13"/>
                <w:szCs w:val="13"/>
                <w:b w:val="1"/>
                <w:bCs w:val="1"/>
                <w:color w:val="auto"/>
                <w:w w:val="92"/>
              </w:rPr>
              <w:t>December 31,</w:t>
            </w: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39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Interest expense, net</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69"/>
              <w:spacing w:after="0"/>
              <w:rPr>
                <w:sz w:val="20"/>
                <w:szCs w:val="20"/>
                <w:color w:val="auto"/>
              </w:rPr>
            </w:pPr>
            <w:r>
              <w:rPr>
                <w:rFonts w:ascii="Arial" w:cs="Arial" w:eastAsia="Arial" w:hAnsi="Arial"/>
                <w:sz w:val="17"/>
                <w:szCs w:val="17"/>
                <w:color w:val="auto"/>
              </w:rPr>
              <w:t>24,972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47,384</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4,489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(741 )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51,132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-277495</wp:posOffset>
            </wp:positionV>
            <wp:extent cx="93853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8530" cy="145415"/>
                    </a:xfrm>
                    <a:prstGeom prst="rect">
                      <a:avLst/>
                    </a:prstGeom>
                    <a:noFill/>
                  </pic:spPr>
                </pic:pic>
              </a:graphicData>
            </a:graphic>
          </wp:anchor>
        </w:drawing>
      </w:r>
    </w:p>
    <w:p>
      <w:pPr>
        <w:spacing w:after="0" w:line="12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Interest expense, net was $25.0 million for the year ended December 31, 2021 (Successor), compared to $47.4 million for the period from February 1, 2020 through December 31, 2020 (Successor) and $4.5 million for the period from January 1, 2020 through January 31, 2020 (Predecessor). On a pro forma basis, interest expense, net was $51.1 million for the twelve months ended December 31, 2020. Interest expense, net for the year ended December 31, 2021 (Successor) decreased by $26.2 million, or 51.2%, compared to the twelve months ended December 31, 2020, on a pro forma basis.</w:t>
      </w:r>
    </w:p>
    <w:p>
      <w:pPr>
        <w:spacing w:after="0" w:line="10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This decrease was primarily due to the impact of the Company’s February 2021 refinancing of the Successor First Lien Credit Facility (as defined below) and early repayment of the Successor Second Lien Credit Facility (as defined below), resulting in interest rate savings due to lower principal and more favorable interest rate margins. This decrease was partially offset by a one-time increase in interest expense associated with the repayment of $200.0 million of the Successor First Lien Credit Facility, in conjunction with the Company’s IPO, resulting in accelerated amortization of the related deferred financing costs and lower interest income primarily due to general decreases in interest rates.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809"/>
              <w:spacing w:after="0"/>
              <w:rPr>
                <w:sz w:val="20"/>
                <w:szCs w:val="20"/>
                <w:color w:val="auto"/>
              </w:rPr>
            </w:pPr>
            <w:r>
              <w:rPr>
                <w:rFonts w:ascii="Arial" w:cs="Arial" w:eastAsia="Arial" w:hAnsi="Arial"/>
                <w:sz w:val="13"/>
                <w:szCs w:val="13"/>
                <w:b w:val="1"/>
                <w:bCs w:val="1"/>
                <w:color w:val="auto"/>
              </w:rPr>
              <w:t>Successor</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43"/>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29"/>
              <w:spacing w:after="0" w:line="143" w:lineRule="exact"/>
              <w:rPr>
                <w:sz w:val="20"/>
                <w:szCs w:val="20"/>
                <w:color w:val="auto"/>
              </w:rPr>
            </w:pPr>
            <w:r>
              <w:rPr>
                <w:rFonts w:ascii="Arial" w:cs="Arial" w:eastAsia="Arial" w:hAnsi="Arial"/>
                <w:sz w:val="13"/>
                <w:szCs w:val="13"/>
                <w:b w:val="1"/>
                <w:bCs w:val="1"/>
                <w:color w:val="auto"/>
                <w:w w:val="95"/>
              </w:rPr>
              <w:t>Period from</w:t>
            </w: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line="143" w:lineRule="exact"/>
              <w:rPr>
                <w:sz w:val="20"/>
                <w:szCs w:val="20"/>
                <w:color w:val="auto"/>
              </w:rPr>
            </w:pPr>
            <w:r>
              <w:rPr>
                <w:rFonts w:ascii="Arial" w:cs="Arial" w:eastAsia="Arial" w:hAnsi="Arial"/>
                <w:sz w:val="13"/>
                <w:szCs w:val="13"/>
                <w:b w:val="1"/>
                <w:bCs w:val="1"/>
                <w:color w:val="auto"/>
                <w:w w:val="95"/>
              </w:rPr>
              <w:t>Pro Forma</w:t>
            </w:r>
          </w:p>
        </w:tc>
        <w:tc>
          <w:tcPr>
            <w:tcW w:w="1240" w:type="dxa"/>
            <w:vAlign w:val="bottom"/>
          </w:tcPr>
          <w:p>
            <w:pPr>
              <w:spacing w:after="0"/>
              <w:rPr>
                <w:sz w:val="12"/>
                <w:szCs w:val="12"/>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09"/>
              <w:spacing w:after="0"/>
              <w:rPr>
                <w:sz w:val="20"/>
                <w:szCs w:val="20"/>
                <w:color w:val="auto"/>
              </w:rPr>
            </w:pPr>
            <w:r>
              <w:rPr>
                <w:rFonts w:ascii="Arial" w:cs="Arial" w:eastAsia="Arial" w:hAnsi="Arial"/>
                <w:sz w:val="13"/>
                <w:szCs w:val="13"/>
                <w:b w:val="1"/>
                <w:bCs w:val="1"/>
                <w:color w:val="auto"/>
                <w:w w:val="96"/>
              </w:rPr>
              <w:t>February 1,</w:t>
            </w: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6"/>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3"/>
              </w:rPr>
              <w:t>Adjustments</w:t>
            </w: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8"/>
              </w:rPr>
              <w:t>Pro Forma</w:t>
            </w:r>
          </w:p>
        </w:tc>
      </w:tr>
      <w:tr>
        <w:trPr>
          <w:trHeight w:val="149"/>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gridSpan w:val="2"/>
          </w:tcPr>
          <w:p>
            <w:pPr>
              <w:jc w:val="center"/>
              <w:ind w:left="213"/>
              <w:spacing w:after="0"/>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3"/>
              </w:rPr>
              <w:t>for the</w:t>
            </w: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49"/>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020" w:type="dxa"/>
            <w:vAlign w:val="bottom"/>
          </w:tcPr>
          <w:p>
            <w:pPr>
              <w:jc w:val="center"/>
              <w:ind w:left="89"/>
              <w:spacing w:after="0"/>
              <w:rPr>
                <w:sz w:val="20"/>
                <w:szCs w:val="20"/>
                <w:color w:val="auto"/>
              </w:rPr>
            </w:pPr>
            <w:r>
              <w:rPr>
                <w:rFonts w:ascii="Arial" w:cs="Arial" w:eastAsia="Arial" w:hAnsi="Arial"/>
                <w:sz w:val="13"/>
                <w:szCs w:val="13"/>
                <w:b w:val="1"/>
                <w:bCs w:val="1"/>
                <w:color w:val="auto"/>
                <w:w w:val="93"/>
              </w:rPr>
              <w:t>through</w:t>
            </w: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2"/>
              </w:rPr>
              <w:t>Year Ended</w:t>
            </w: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229"/>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020" w:type="dxa"/>
            <w:vAlign w:val="bottom"/>
          </w:tcPr>
          <w:p>
            <w:pPr>
              <w:jc w:val="center"/>
              <w:ind w:left="129"/>
              <w:spacing w:after="0"/>
              <w:rPr>
                <w:sz w:val="20"/>
                <w:szCs w:val="20"/>
                <w:color w:val="auto"/>
              </w:rPr>
            </w:pPr>
            <w:r>
              <w:rPr>
                <w:rFonts w:ascii="Arial" w:cs="Arial" w:eastAsia="Arial" w:hAnsi="Arial"/>
                <w:sz w:val="13"/>
                <w:szCs w:val="13"/>
                <w:b w:val="1"/>
                <w:bCs w:val="1"/>
                <w:color w:val="auto"/>
                <w:w w:val="92"/>
              </w:rPr>
              <w:t>December 31,</w:t>
            </w:r>
          </w:p>
        </w:tc>
        <w:tc>
          <w:tcPr>
            <w:tcW w:w="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415"/>
              <w:spacing w:after="0"/>
              <w:rPr>
                <w:sz w:val="20"/>
                <w:szCs w:val="20"/>
                <w:color w:val="auto"/>
              </w:rPr>
            </w:pPr>
            <w:r>
              <w:rPr>
                <w:rFonts w:ascii="Arial" w:cs="Arial" w:eastAsia="Arial" w:hAnsi="Arial"/>
                <w:sz w:val="13"/>
                <w:szCs w:val="13"/>
                <w:b w:val="1"/>
                <w:bCs w:val="1"/>
                <w:color w:val="auto"/>
                <w:w w:val="92"/>
              </w:rPr>
              <w:t>December 31,</w:t>
            </w: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4"/>
              </w:rPr>
              <w:t>December 31,</w:t>
            </w:r>
          </w:p>
        </w:tc>
      </w:tr>
      <w:tr>
        <w:trPr>
          <w:trHeight w:val="175"/>
        </w:trPr>
        <w:tc>
          <w:tcPr>
            <w:tcW w:w="39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5"/>
                <w:szCs w:val="15"/>
                <w:color w:val="auto"/>
              </w:rPr>
            </w:pPr>
          </w:p>
        </w:tc>
        <w:tc>
          <w:tcPr>
            <w:tcW w:w="1200" w:type="dxa"/>
            <w:vAlign w:val="bottom"/>
          </w:tcPr>
          <w:p>
            <w:pPr>
              <w:jc w:val="center"/>
              <w:ind w:right="229"/>
              <w:spacing w:after="0"/>
              <w:rPr>
                <w:sz w:val="20"/>
                <w:szCs w:val="20"/>
                <w:color w:val="auto"/>
              </w:rPr>
            </w:pPr>
            <w:r>
              <w:rPr>
                <w:rFonts w:ascii="Arial" w:cs="Arial" w:eastAsia="Arial" w:hAnsi="Arial"/>
                <w:sz w:val="13"/>
                <w:szCs w:val="13"/>
                <w:b w:val="1"/>
                <w:bCs w:val="1"/>
                <w:color w:val="auto"/>
                <w:w w:val="89"/>
              </w:rPr>
              <w:t>2021</w:t>
            </w:r>
          </w:p>
        </w:tc>
        <w:tc>
          <w:tcPr>
            <w:tcW w:w="1140" w:type="dxa"/>
            <w:vAlign w:val="bottom"/>
            <w:gridSpan w:val="2"/>
          </w:tcPr>
          <w:p>
            <w:pPr>
              <w:jc w:val="center"/>
              <w:ind w:left="253"/>
              <w:spacing w:after="0"/>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Loss on extinguishment of debt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7"/>
                <w:szCs w:val="17"/>
                <w:color w:val="auto"/>
              </w:rPr>
              <w:t>13,938</w:t>
            </w:r>
          </w:p>
        </w:tc>
        <w:tc>
          <w:tcPr>
            <w:tcW w:w="12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49"/>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7"/>
                <w:szCs w:val="17"/>
                <w:color w:val="auto"/>
              </w:rPr>
              <w:t>10,533</w:t>
            </w: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(10,533 )</w:t>
            </w:r>
          </w:p>
        </w:tc>
        <w:tc>
          <w:tcPr>
            <w:tcW w:w="1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-278130</wp:posOffset>
            </wp:positionV>
            <wp:extent cx="93853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8530" cy="145415"/>
                    </a:xfrm>
                    <a:prstGeom prst="rect">
                      <a:avLst/>
                    </a:prstGeom>
                    <a:noFill/>
                  </pic:spPr>
                </pic:pic>
              </a:graphicData>
            </a:graphic>
          </wp:anchor>
        </w:drawing>
      </w:r>
    </w:p>
    <w:p>
      <w:pPr>
        <w:spacing w:after="0" w:line="12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Loss on extinguishment of debt for the year ended December 31, 2021 (Successor) relates to expenses stemming from the write-off of debt issuance costs associated with the February 2021 refinancing of the Successor First Lien Credit Facility and early repayment of the Successor Second Lien Credit Facility.</w:t>
      </w:r>
    </w:p>
    <w:p>
      <w:pPr>
        <w:spacing w:after="0" w:line="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Loss on extinguishment of debt for the period from January 1, 2020 through January 31, 2020 (Predecessor), relates to expenses stemming from the write-off of debt issuance costs as a result of prepayment of the Company’s outstanding debt obligations in connection with the Silver Lake Transaction.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Transaction Expenses, Change in Control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88"/>
              </w:rPr>
              <w:t>Successor</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43"/>
        </w:trPr>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line="143" w:lineRule="exact"/>
              <w:rPr>
                <w:sz w:val="20"/>
                <w:szCs w:val="20"/>
                <w:color w:val="auto"/>
              </w:rPr>
            </w:pPr>
            <w:r>
              <w:rPr>
                <w:rFonts w:ascii="Arial" w:cs="Arial" w:eastAsia="Arial" w:hAnsi="Arial"/>
                <w:sz w:val="13"/>
                <w:szCs w:val="13"/>
                <w:b w:val="1"/>
                <w:bCs w:val="1"/>
                <w:color w:val="auto"/>
                <w:w w:val="95"/>
              </w:rPr>
              <w:t>Pro Forma</w:t>
            </w:r>
          </w:p>
        </w:tc>
        <w:tc>
          <w:tcPr>
            <w:tcW w:w="124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6"/>
              </w:rPr>
              <w:t>January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3"/>
              </w:rPr>
              <w:t>Adjustments</w:t>
            </w: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8"/>
              </w:rPr>
              <w:t>Pro Forma</w:t>
            </w:r>
          </w:p>
        </w:tc>
      </w:tr>
      <w:tr>
        <w:trPr>
          <w:trHeight w:val="148"/>
        </w:trPr>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3"/>
              </w:rPr>
              <w:t>for the</w:t>
            </w: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940" w:type="dxa"/>
            <w:vAlign w:val="bottom"/>
          </w:tcPr>
          <w:p>
            <w:pPr>
              <w:spacing w:after="0"/>
              <w:rPr>
                <w:sz w:val="12"/>
                <w:szCs w:val="12"/>
                <w:color w:val="auto"/>
              </w:rPr>
            </w:pPr>
          </w:p>
        </w:tc>
        <w:tc>
          <w:tcPr>
            <w:tcW w:w="1040" w:type="dxa"/>
            <w:vAlign w:val="bottom"/>
          </w:tcPr>
          <w:p>
            <w:pPr>
              <w:jc w:val="center"/>
              <w:ind w:left="128"/>
              <w:spacing w:after="0"/>
              <w:rPr>
                <w:sz w:val="20"/>
                <w:szCs w:val="20"/>
                <w:color w:val="auto"/>
              </w:rPr>
            </w:pPr>
            <w:r>
              <w:rPr>
                <w:rFonts w:ascii="Arial" w:cs="Arial" w:eastAsia="Arial" w:hAnsi="Arial"/>
                <w:sz w:val="13"/>
                <w:szCs w:val="13"/>
                <w:b w:val="1"/>
                <w:bCs w:val="1"/>
                <w:color w:val="auto"/>
                <w:w w:val="95"/>
              </w:rPr>
              <w:t>Year 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93"/>
              </w:rPr>
              <w:t>through</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2"/>
              </w:rPr>
              <w:t>Year Ended</w:t>
            </w: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940" w:type="dxa"/>
            <w:vAlign w:val="bottom"/>
          </w:tcPr>
          <w:p>
            <w:pPr>
              <w:spacing w:after="0"/>
              <w:rPr>
                <w:sz w:val="15"/>
                <w:szCs w:val="15"/>
                <w:color w:val="auto"/>
              </w:rPr>
            </w:pPr>
          </w:p>
        </w:tc>
        <w:tc>
          <w:tcPr>
            <w:tcW w:w="1040" w:type="dxa"/>
            <w:vAlign w:val="bottom"/>
          </w:tcPr>
          <w:p>
            <w:pPr>
              <w:jc w:val="center"/>
              <w:ind w:left="148"/>
              <w:spacing w:after="0"/>
              <w:rPr>
                <w:sz w:val="20"/>
                <w:szCs w:val="20"/>
                <w:color w:val="auto"/>
              </w:rPr>
            </w:pPr>
            <w:r>
              <w:rPr>
                <w:rFonts w:ascii="Arial" w:cs="Arial" w:eastAsia="Arial" w:hAnsi="Arial"/>
                <w:sz w:val="13"/>
                <w:szCs w:val="13"/>
                <w:b w:val="1"/>
                <w:bCs w:val="1"/>
                <w:color w:val="auto"/>
                <w:w w:val="92"/>
              </w:rPr>
              <w:t>December 31,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415"/>
              <w:spacing w:after="0"/>
              <w:rPr>
                <w:sz w:val="20"/>
                <w:szCs w:val="20"/>
                <w:color w:val="auto"/>
              </w:rPr>
            </w:pPr>
            <w:r>
              <w:rPr>
                <w:rFonts w:ascii="Arial" w:cs="Arial" w:eastAsia="Arial" w:hAnsi="Arial"/>
                <w:sz w:val="13"/>
                <w:szCs w:val="13"/>
                <w:b w:val="1"/>
                <w:bCs w:val="1"/>
                <w:color w:val="auto"/>
                <w:w w:val="92"/>
              </w:rPr>
              <w:t>December 31,</w:t>
            </w: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39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040" w:type="dxa"/>
            <w:vAlign w:val="bottom"/>
            <w:tcBorders>
              <w:bottom w:val="single" w:sz="8" w:color="auto"/>
            </w:tcBorders>
          </w:tcPr>
          <w:p>
            <w:pPr>
              <w:jc w:val="center"/>
              <w:ind w:left="148"/>
              <w:spacing w:after="0"/>
              <w:rPr>
                <w:sz w:val="20"/>
                <w:szCs w:val="20"/>
                <w:color w:val="auto"/>
              </w:rPr>
            </w:pPr>
            <w:r>
              <w:rPr>
                <w:rFonts w:ascii="Arial" w:cs="Arial" w:eastAsia="Arial" w:hAnsi="Arial"/>
                <w:sz w:val="13"/>
                <w:szCs w:val="13"/>
                <w:b w:val="1"/>
                <w:bCs w:val="1"/>
                <w:color w:val="auto"/>
                <w:w w:val="89"/>
              </w:rPr>
              <w:t>2021</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Transaction expenses, change in control</w:t>
            </w:r>
          </w:p>
        </w:tc>
        <w:tc>
          <w:tcPr>
            <w:tcW w:w="1040" w:type="dxa"/>
            <w:vAlign w:val="bottom"/>
            <w:shd w:val="clear" w:color="auto" w:fill="CFF0FC"/>
          </w:tcPr>
          <w:p>
            <w:pPr>
              <w:jc w:val="right"/>
              <w:ind w:right="868"/>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9,423</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22,370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(22,370 )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9,423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-277495</wp:posOffset>
            </wp:positionV>
            <wp:extent cx="93853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8530" cy="145415"/>
                    </a:xfrm>
                    <a:prstGeom prst="rect">
                      <a:avLst/>
                    </a:prstGeom>
                    <a:noFill/>
                  </pic:spPr>
                </pic:pic>
              </a:graphicData>
            </a:graphic>
          </wp:anchor>
        </w:drawing>
      </w:r>
    </w:p>
    <w:p>
      <w:pPr>
        <w:spacing w:after="0" w:line="12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Transaction expenses, change in control relate solely to costs relating to the Silver Lake Transaction that are recorded on our books and are therefore only included in our results of operations for the period from February 1, 2020 through December 31, 2020 (Successor) and for the period from January 1, 2020 through January 31, 2020 (Predecessor).</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Provision (Benefit) for Income Taxes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87"/>
              </w:rPr>
              <w:t>Predecessor</w:t>
            </w:r>
          </w:p>
        </w:tc>
        <w:tc>
          <w:tcPr>
            <w:tcW w:w="26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43"/>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jc w:val="center"/>
              <w:ind w:right="475"/>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160" w:type="dxa"/>
            <w:vAlign w:val="bottom"/>
          </w:tcPr>
          <w:p>
            <w:pPr>
              <w:jc w:val="center"/>
              <w:ind w:right="230"/>
              <w:spacing w:after="0" w:line="143" w:lineRule="exact"/>
              <w:rPr>
                <w:sz w:val="20"/>
                <w:szCs w:val="20"/>
                <w:color w:val="auto"/>
              </w:rPr>
            </w:pPr>
            <w:r>
              <w:rPr>
                <w:rFonts w:ascii="Arial" w:cs="Arial" w:eastAsia="Arial" w:hAnsi="Arial"/>
                <w:sz w:val="13"/>
                <w:szCs w:val="13"/>
                <w:b w:val="1"/>
                <w:bCs w:val="1"/>
                <w:color w:val="auto"/>
                <w:w w:val="95"/>
              </w:rPr>
              <w:t>Pro Forma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February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jc w:val="center"/>
              <w:ind w:right="475"/>
              <w:spacing w:after="0"/>
              <w:rPr>
                <w:sz w:val="20"/>
                <w:szCs w:val="20"/>
                <w:color w:val="auto"/>
              </w:rPr>
            </w:pPr>
            <w:r>
              <w:rPr>
                <w:rFonts w:ascii="Arial" w:cs="Arial" w:eastAsia="Arial" w:hAnsi="Arial"/>
                <w:sz w:val="13"/>
                <w:szCs w:val="13"/>
                <w:b w:val="1"/>
                <w:bCs w:val="1"/>
                <w:color w:val="auto"/>
                <w:w w:val="96"/>
              </w:rPr>
              <w:t>January 1,</w:t>
            </w: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Adjustments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8"/>
              </w:rPr>
              <w:t>Pro Forma</w:t>
            </w: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5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49"/>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70"/>
              <w:spacing w:after="0"/>
              <w:rPr>
                <w:sz w:val="20"/>
                <w:szCs w:val="20"/>
                <w:color w:val="auto"/>
              </w:rPr>
            </w:pPr>
            <w:r>
              <w:rPr>
                <w:rFonts w:ascii="Arial" w:cs="Arial" w:eastAsia="Arial" w:hAnsi="Arial"/>
                <w:sz w:val="13"/>
                <w:szCs w:val="13"/>
                <w:b w:val="1"/>
                <w:bCs w:val="1"/>
                <w:color w:val="auto"/>
                <w:w w:val="93"/>
              </w:rPr>
              <w:t>through</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jc w:val="center"/>
              <w:ind w:right="475"/>
              <w:spacing w:after="0"/>
              <w:rPr>
                <w:sz w:val="20"/>
                <w:szCs w:val="20"/>
                <w:color w:val="auto"/>
              </w:rPr>
            </w:pPr>
            <w:r>
              <w:rPr>
                <w:rFonts w:ascii="Arial" w:cs="Arial" w:eastAsia="Arial" w:hAnsi="Arial"/>
                <w:sz w:val="13"/>
                <w:szCs w:val="13"/>
                <w:b w:val="1"/>
                <w:bCs w:val="1"/>
                <w:color w:val="auto"/>
                <w:w w:val="93"/>
              </w:rPr>
              <w:t>through</w:t>
            </w: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2"/>
              </w:rPr>
              <w:t>Year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229"/>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3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center"/>
              <w:ind w:right="455"/>
              <w:spacing w:after="0"/>
              <w:rPr>
                <w:sz w:val="20"/>
                <w:szCs w:val="20"/>
                <w:color w:val="auto"/>
              </w:rPr>
            </w:pPr>
            <w:r>
              <w:rPr>
                <w:rFonts w:ascii="Arial" w:cs="Arial" w:eastAsia="Arial" w:hAnsi="Arial"/>
                <w:sz w:val="13"/>
                <w:szCs w:val="13"/>
                <w:b w:val="1"/>
                <w:bCs w:val="1"/>
                <w:color w:val="auto"/>
                <w:w w:val="94"/>
              </w:rPr>
              <w:t>January 31,</w:t>
            </w:r>
          </w:p>
        </w:tc>
        <w:tc>
          <w:tcPr>
            <w:tcW w:w="1160" w:type="dxa"/>
            <w:vAlign w:val="bottom"/>
          </w:tcPr>
          <w:p>
            <w:pPr>
              <w:jc w:val="center"/>
              <w:ind w:right="190"/>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70"/>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39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Provision (benefit) for income taxes</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69"/>
              <w:spacing w:after="0"/>
              <w:rPr>
                <w:sz w:val="20"/>
                <w:szCs w:val="20"/>
                <w:color w:val="auto"/>
              </w:rPr>
            </w:pPr>
            <w:r>
              <w:rPr>
                <w:rFonts w:ascii="Arial" w:cs="Arial" w:eastAsia="Arial" w:hAnsi="Arial"/>
                <w:sz w:val="17"/>
                <w:szCs w:val="17"/>
                <w:color w:val="auto"/>
              </w:rPr>
              <w:t>8,862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(11,355 )</w:t>
            </w:r>
          </w:p>
        </w:tc>
        <w:tc>
          <w:tcPr>
            <w:tcW w:w="1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7"/>
                <w:szCs w:val="17"/>
                <w:color w:val="auto"/>
              </w:rPr>
              <w:t>7,073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-277495</wp:posOffset>
            </wp:positionV>
            <wp:extent cx="93853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8530" cy="145415"/>
                    </a:xfrm>
                    <a:prstGeom prst="rect">
                      <a:avLst/>
                    </a:prstGeom>
                    <a:noFill/>
                  </pic:spPr>
                </pic:pic>
              </a:graphicData>
            </a:graphic>
          </wp:anchor>
        </w:drawing>
      </w:r>
    </w:p>
    <w:p>
      <w:pPr>
        <w:spacing w:after="0" w:line="12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provision (benefit) for income taxes was $8.9 million for the year ended December 31, 2021 (Successor), compared to $(11.4) million for the period from February 1, 2020 through December 31, 2020 (Successor) and $(0.9) million for the period from January 1, 2020 through January 31, 2020 (Predecessor). On a pro forma basis, our (benefit) for income taxes was $(5.2) million for the twelve months ended December 31, 2020. Our provision for income taxes for the year ended December 31, 2021 (Successor) increased by $14.0 million, or 272.0%, compared to the twelve months ended December 31, 2020, on a pro forma basis.</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our provision for income taxes was primarily due to the pre-tax income in 2021, the tax impact of the GILTI inclusion, and nondeductible executive share-based compensation expense incurred during the year ended December 31, 2021 (Successor).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and Net Income (Loss) Margin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87"/>
              </w:rPr>
              <w:t>Predecessor</w:t>
            </w:r>
          </w:p>
        </w:tc>
        <w:tc>
          <w:tcPr>
            <w:tcW w:w="22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44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415"/>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140" w:type="dxa"/>
            <w:vAlign w:val="bottom"/>
          </w:tcPr>
          <w:p>
            <w:pPr>
              <w:jc w:val="center"/>
              <w:ind w:right="208"/>
              <w:spacing w:after="0" w:line="143" w:lineRule="exact"/>
              <w:rPr>
                <w:sz w:val="20"/>
                <w:szCs w:val="20"/>
                <w:color w:val="auto"/>
              </w:rPr>
            </w:pPr>
            <w:r>
              <w:rPr>
                <w:rFonts w:ascii="Arial" w:cs="Arial" w:eastAsia="Arial" w:hAnsi="Arial"/>
                <w:sz w:val="13"/>
                <w:szCs w:val="13"/>
                <w:b w:val="1"/>
                <w:bCs w:val="1"/>
                <w:color w:val="auto"/>
                <w:w w:val="95"/>
              </w:rPr>
              <w:t>Pro Forma</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w w:val="96"/>
              </w:rPr>
              <w:t>February 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435"/>
              <w:spacing w:after="0"/>
              <w:rPr>
                <w:sz w:val="20"/>
                <w:szCs w:val="20"/>
                <w:color w:val="auto"/>
              </w:rPr>
            </w:pPr>
            <w:r>
              <w:rPr>
                <w:rFonts w:ascii="Arial" w:cs="Arial" w:eastAsia="Arial" w:hAnsi="Arial"/>
                <w:sz w:val="13"/>
                <w:szCs w:val="13"/>
                <w:b w:val="1"/>
                <w:bCs w:val="1"/>
                <w:color w:val="auto"/>
                <w:w w:val="93"/>
              </w:rPr>
              <w:t>January 1,</w:t>
            </w:r>
          </w:p>
        </w:tc>
        <w:tc>
          <w:tcPr>
            <w:tcW w:w="1140" w:type="dxa"/>
            <w:vAlign w:val="bottom"/>
          </w:tcPr>
          <w:p>
            <w:pPr>
              <w:jc w:val="center"/>
              <w:ind w:right="208"/>
              <w:spacing w:after="0"/>
              <w:rPr>
                <w:sz w:val="20"/>
                <w:szCs w:val="20"/>
                <w:color w:val="auto"/>
              </w:rPr>
            </w:pPr>
            <w:r>
              <w:rPr>
                <w:rFonts w:ascii="Arial" w:cs="Arial" w:eastAsia="Arial" w:hAnsi="Arial"/>
                <w:sz w:val="13"/>
                <w:szCs w:val="13"/>
                <w:b w:val="1"/>
                <w:bCs w:val="1"/>
                <w:color w:val="auto"/>
                <w:w w:val="93"/>
              </w:rPr>
              <w:t>Adjustments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Pro Forma</w:t>
            </w:r>
          </w:p>
        </w:tc>
      </w:tr>
      <w:tr>
        <w:trPr>
          <w:trHeight w:val="148"/>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288"/>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49"/>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208"/>
              <w:spacing w:after="0"/>
              <w:rPr>
                <w:sz w:val="20"/>
                <w:szCs w:val="20"/>
                <w:color w:val="auto"/>
              </w:rPr>
            </w:pPr>
            <w:r>
              <w:rPr>
                <w:rFonts w:ascii="Arial" w:cs="Arial" w:eastAsia="Arial" w:hAnsi="Arial"/>
                <w:sz w:val="13"/>
                <w:szCs w:val="13"/>
                <w:b w:val="1"/>
                <w:bCs w:val="1"/>
                <w:color w:val="auto"/>
                <w:w w:val="93"/>
              </w:rPr>
              <w:t>for the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Twelve Months</w:t>
            </w:r>
          </w:p>
        </w:tc>
      </w:tr>
      <w:tr>
        <w:trPr>
          <w:trHeight w:val="149"/>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5"/>
              </w:rPr>
              <w:t>Year Ended</w:t>
            </w:r>
          </w:p>
        </w:tc>
        <w:tc>
          <w:tcPr>
            <w:tcW w:w="20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3"/>
                <w:szCs w:val="13"/>
                <w:b w:val="1"/>
                <w:bCs w:val="1"/>
                <w:color w:val="auto"/>
                <w:w w:val="93"/>
              </w:rPr>
              <w:t>through</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415"/>
              <w:spacing w:after="0"/>
              <w:rPr>
                <w:sz w:val="20"/>
                <w:szCs w:val="20"/>
                <w:color w:val="auto"/>
              </w:rPr>
            </w:pPr>
            <w:r>
              <w:rPr>
                <w:rFonts w:ascii="Arial" w:cs="Arial" w:eastAsia="Arial" w:hAnsi="Arial"/>
                <w:sz w:val="13"/>
                <w:szCs w:val="13"/>
                <w:b w:val="1"/>
                <w:bCs w:val="1"/>
                <w:color w:val="auto"/>
                <w:w w:val="93"/>
              </w:rPr>
              <w:t>through</w:t>
            </w:r>
          </w:p>
        </w:tc>
        <w:tc>
          <w:tcPr>
            <w:tcW w:w="1140" w:type="dxa"/>
            <w:vAlign w:val="bottom"/>
          </w:tcPr>
          <w:p>
            <w:pPr>
              <w:jc w:val="center"/>
              <w:ind w:right="208"/>
              <w:spacing w:after="0"/>
              <w:rPr>
                <w:sz w:val="20"/>
                <w:szCs w:val="20"/>
                <w:color w:val="auto"/>
              </w:rPr>
            </w:pPr>
            <w:r>
              <w:rPr>
                <w:rFonts w:ascii="Arial" w:cs="Arial" w:eastAsia="Arial" w:hAnsi="Arial"/>
                <w:sz w:val="13"/>
                <w:szCs w:val="13"/>
                <w:b w:val="1"/>
                <w:bCs w:val="1"/>
                <w:color w:val="auto"/>
                <w:w w:val="92"/>
              </w:rPr>
              <w:t>Year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Ended</w:t>
            </w:r>
          </w:p>
        </w:tc>
      </w:tr>
      <w:tr>
        <w:trPr>
          <w:trHeight w:val="175"/>
        </w:trPr>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December 31,</w:t>
            </w:r>
          </w:p>
        </w:tc>
        <w:tc>
          <w:tcPr>
            <w:tcW w:w="200" w:type="dxa"/>
            <w:vAlign w:val="bottom"/>
          </w:tcPr>
          <w:p>
            <w:pPr>
              <w:spacing w:after="0"/>
              <w:rPr>
                <w:sz w:val="15"/>
                <w:szCs w:val="15"/>
                <w:color w:val="auto"/>
              </w:rPr>
            </w:pPr>
          </w:p>
        </w:tc>
        <w:tc>
          <w:tcPr>
            <w:tcW w:w="13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2"/>
              </w:rPr>
              <w:t>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right="435"/>
              <w:spacing w:after="0"/>
              <w:rPr>
                <w:sz w:val="20"/>
                <w:szCs w:val="20"/>
                <w:color w:val="auto"/>
              </w:rPr>
            </w:pPr>
            <w:r>
              <w:rPr>
                <w:rFonts w:ascii="Arial" w:cs="Arial" w:eastAsia="Arial" w:hAnsi="Arial"/>
                <w:sz w:val="13"/>
                <w:szCs w:val="13"/>
                <w:b w:val="1"/>
                <w:bCs w:val="1"/>
                <w:color w:val="auto"/>
                <w:w w:val="94"/>
              </w:rPr>
              <w:t>January 31,</w:t>
            </w:r>
          </w:p>
        </w:tc>
        <w:tc>
          <w:tcPr>
            <w:tcW w:w="1140" w:type="dxa"/>
            <w:vAlign w:val="bottom"/>
          </w:tcPr>
          <w:p>
            <w:pPr>
              <w:jc w:val="center"/>
              <w:ind w:right="168"/>
              <w:spacing w:after="0"/>
              <w:rPr>
                <w:sz w:val="20"/>
                <w:szCs w:val="20"/>
                <w:color w:val="auto"/>
              </w:rPr>
            </w:pPr>
            <w:r>
              <w:rPr>
                <w:rFonts w:ascii="Arial" w:cs="Arial" w:eastAsia="Arial" w:hAnsi="Arial"/>
                <w:sz w:val="13"/>
                <w:szCs w:val="13"/>
                <w:b w:val="1"/>
                <w:bCs w:val="1"/>
                <w:color w:val="auto"/>
                <w:w w:val="92"/>
              </w:rPr>
              <w:t>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December 31,</w:t>
            </w:r>
          </w:p>
        </w:tc>
      </w:tr>
      <w:tr>
        <w:trPr>
          <w:trHeight w:val="175"/>
        </w:trPr>
        <w:tc>
          <w:tcPr>
            <w:tcW w:w="37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47"/>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48"/>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r>
      <w:tr>
        <w:trPr>
          <w:trHeight w:val="223"/>
        </w:trPr>
        <w:tc>
          <w:tcPr>
            <w:tcW w:w="37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ind w:right="67"/>
              <w:spacing w:after="0"/>
              <w:rPr>
                <w:sz w:val="20"/>
                <w:szCs w:val="20"/>
                <w:color w:val="auto"/>
              </w:rPr>
            </w:pPr>
            <w:r>
              <w:rPr>
                <w:rFonts w:ascii="Arial" w:cs="Arial" w:eastAsia="Arial" w:hAnsi="Arial"/>
                <w:sz w:val="17"/>
                <w:szCs w:val="17"/>
                <w:color w:val="auto"/>
              </w:rPr>
              <w:t>16,051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(47,492 )</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(36,530 )</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7"/>
                <w:szCs w:val="17"/>
                <w:color w:val="auto"/>
              </w:rPr>
              <w:t>20,447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(63,575 )</w:t>
            </w:r>
          </w:p>
        </w:tc>
        <w:tc>
          <w:tcPr>
            <w:tcW w:w="100" w:type="dxa"/>
            <w:vAlign w:val="bottom"/>
          </w:tcPr>
          <w:p>
            <w:pPr>
              <w:spacing w:after="0"/>
              <w:rPr>
                <w:sz w:val="19"/>
                <w:szCs w:val="19"/>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7"/>
                <w:szCs w:val="17"/>
                <w:color w:val="auto"/>
              </w:rPr>
              <w:t>Net income (loss) margin</w:t>
            </w: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2.3 %</w:t>
            </w:r>
          </w:p>
        </w:tc>
        <w:tc>
          <w:tcPr>
            <w:tcW w:w="20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35"/>
              <w:spacing w:after="0"/>
              <w:rPr>
                <w:sz w:val="20"/>
                <w:szCs w:val="20"/>
                <w:color w:val="auto"/>
              </w:rPr>
            </w:pPr>
            <w:r>
              <w:rPr>
                <w:rFonts w:ascii="Arial" w:cs="Arial" w:eastAsia="Arial" w:hAnsi="Arial"/>
                <w:sz w:val="17"/>
                <w:szCs w:val="17"/>
                <w:color w:val="auto"/>
              </w:rPr>
              <w:t>(99.3 )%</w:t>
            </w:r>
          </w:p>
        </w:tc>
        <w:tc>
          <w:tcPr>
            <w:tcW w:w="1140" w:type="dxa"/>
            <w:vAlign w:val="bottom"/>
          </w:tcPr>
          <w:p>
            <w:pPr>
              <w:jc w:val="right"/>
              <w:ind w:right="4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-423545</wp:posOffset>
            </wp:positionV>
            <wp:extent cx="98107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1075" cy="145415"/>
                    </a:xfrm>
                    <a:prstGeom prst="rect">
                      <a:avLst/>
                    </a:prstGeom>
                    <a:noFill/>
                  </pic:spPr>
                </pic:pic>
              </a:graphicData>
            </a:graphic>
          </wp:anchor>
        </w:drawing>
      </w:r>
    </w:p>
    <w:p>
      <w:pPr>
        <w:spacing w:after="0" w:line="128"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Net income was $16.1 million for the year ended December 31, 2021 (Successor), compared to a net (loss) of $(47.5) million for the period from February 1, 2020 through December 31, 2020 (Successor) and $(36.5) million for the period from January 1, 2020 through January 31, 2020 (Predecessor). On a pro forma basis, net (loss) was $(63.6) million for the twelve months ended December 31, 2020. Net income for the year ended December 31, 2021 (Successor) increased by $79.6 million, or 125.2%, compared to the twelve months ended December 31, 2020, on a pro forma basis, due to the factors described above.</w:t>
      </w:r>
    </w:p>
    <w:p>
      <w:pPr>
        <w:spacing w:after="0" w:line="10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Net income (loss) margin was 2.3% for the year ended December 31, 2021 (Successor), compared to (10.1)% for the period from February 1, 2020 through December 31, 2020 (Successor) and (99.3)% for the period from January 1, 2020 through January 31, 2020 (Predecessor). Net (loss) margin for the twelve months ended December 31, 2020, on a pro forma basis, was (12.5)%.</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improvement in our net income (loss) margin is attributable to our ability to leverage operating efficiencies to control our overall expenses while increasing revenue and our reduction in interest expense as a result of the February 2021 refinancing.</w:t>
      </w:r>
    </w:p>
    <w:p>
      <w:pPr>
        <w:spacing w:after="0" w:line="1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7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3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1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Adjusted EBITDA was $248.9 million and $226.3 million for the years ended December 31, 2022 and 2021 (Successor), respectively. This represented an Adjusted EBITDA Margin of 30.7% and 31.8% for the years ended December 31, 2022 and 2021 (Successor), respectively. Adjusted EBITDA for the year ended December 31, 2022 (Successor) increased by $22.6 million, or 10.0%, compared to the year ended December 31, 2021 (Successor).</w:t>
      </w:r>
    </w:p>
    <w:p>
      <w:pPr>
        <w:spacing w:after="0" w:line="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the year ended December 31, 2022 (Successor), Adjusted EBITDA increased due to revenues growth attributed to new and existing customers, primarily driven by strength across our business during the first half of the year and further supported by certain cost reductions implemented primarily in the second half of the year. These positive factors were partially offset by increases in insurance premiums and third-party data verification costs, additional investments in technology and sales, the effects of changes in foreign currencies, and lower margin revenues from our acquisitions.</w:t>
      </w:r>
    </w:p>
    <w:p>
      <w:pPr>
        <w:spacing w:after="0" w:line="10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Adjusted EBITDA was $139.8 million and $7.0 million for the period from February 1, 2020 through December 31, 2020 (Successor) and for the period January 1, 2020 through January 31, 2020 (Predecessor), respectively. This represented an Adjusted EBITDA Margin of 29.6% and 19.1% for the period from February 1, 2020 through December 31, 2020 (Successor) and for the period January 1, 2020 through January 31, 2020 (Predecessor), respectively. On a pro forma basis, Adjusted EBITDA was $146.8 million for the twelve months ended December 31, 2020 and represented an Adjusted EBITDA Margin of 28.8%. Adjusted EBITDA for the year ended December 31, 2021 (Successor) increased by $79.5 million, or 54.2%, compared to the twelve months ended December 31, 2020, on a pro forma basis.</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Growth in Adjusted EBITDA for the year ended December 31, 2021 (Successor) was driven primarily from revenue growth attributed to new and existing customers and margin expansion attributed to increased automation, cost efficiencies, and operating leverage.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ind w:right="240"/>
        <w:spacing w:after="0" w:line="263" w:lineRule="auto"/>
        <w:rPr>
          <w:sz w:val="20"/>
          <w:szCs w:val="20"/>
          <w:color w:val="auto"/>
        </w:rPr>
      </w:pPr>
      <w:r>
        <w:rPr>
          <w:rFonts w:ascii="Arial" w:cs="Arial" w:eastAsia="Arial" w:hAnsi="Arial"/>
          <w:sz w:val="18"/>
          <w:szCs w:val="18"/>
          <w:color w:val="auto"/>
        </w:rPr>
        <w:t>The following table presents a reconciliation of Adjusted EBITDA for the periods presented. For a discussion of pro forma adjustments, see “Notes to the Unaudited Supplemental Pro Forma Financial Information Presented in Management’s Discussion and Analysis of Financial Condition and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00"/>
              <w:spacing w:after="0"/>
              <w:rPr>
                <w:sz w:val="20"/>
                <w:szCs w:val="20"/>
                <w:color w:val="auto"/>
              </w:rPr>
            </w:pPr>
            <w:r>
              <w:rPr>
                <w:rFonts w:ascii="Arial" w:cs="Arial" w:eastAsia="Arial" w:hAnsi="Arial"/>
                <w:sz w:val="13"/>
                <w:szCs w:val="13"/>
                <w:b w:val="1"/>
                <w:bCs w:val="1"/>
                <w:color w:val="auto"/>
                <w:w w:val="85"/>
              </w:rPr>
              <w:t>Successor</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02"/>
              <w:spacing w:after="0"/>
              <w:rPr>
                <w:sz w:val="20"/>
                <w:szCs w:val="20"/>
                <w:color w:val="auto"/>
              </w:rPr>
            </w:pPr>
            <w:r>
              <w:rPr>
                <w:rFonts w:ascii="Arial" w:cs="Arial" w:eastAsia="Arial" w:hAnsi="Arial"/>
                <w:sz w:val="13"/>
                <w:szCs w:val="13"/>
                <w:b w:val="1"/>
                <w:bCs w:val="1"/>
                <w:color w:val="auto"/>
                <w:w w:val="87"/>
              </w:rPr>
              <w:t>Predecessor</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43"/>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jc w:val="center"/>
              <w:ind w:right="222"/>
              <w:spacing w:after="0" w:line="143" w:lineRule="exact"/>
              <w:rPr>
                <w:sz w:val="20"/>
                <w:szCs w:val="20"/>
                <w:color w:val="auto"/>
              </w:rPr>
            </w:pPr>
            <w:r>
              <w:rPr>
                <w:rFonts w:ascii="Arial" w:cs="Arial" w:eastAsia="Arial" w:hAnsi="Arial"/>
                <w:sz w:val="13"/>
                <w:szCs w:val="13"/>
                <w:b w:val="1"/>
                <w:bCs w:val="1"/>
                <w:color w:val="auto"/>
                <w:w w:val="95"/>
              </w:rPr>
              <w:t>Period from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2"/>
              <w:spacing w:after="0" w:line="143" w:lineRule="exact"/>
              <w:rPr>
                <w:sz w:val="20"/>
                <w:szCs w:val="20"/>
                <w:color w:val="auto"/>
              </w:rPr>
            </w:pPr>
            <w:r>
              <w:rPr>
                <w:rFonts w:ascii="Arial" w:cs="Arial" w:eastAsia="Arial" w:hAnsi="Arial"/>
                <w:sz w:val="13"/>
                <w:szCs w:val="13"/>
                <w:b w:val="1"/>
                <w:bCs w:val="1"/>
                <w:color w:val="auto"/>
                <w:w w:val="93"/>
              </w:rPr>
              <w:t>Period from</w:t>
            </w:r>
          </w:p>
        </w:tc>
        <w:tc>
          <w:tcPr>
            <w:tcW w:w="140" w:type="dxa"/>
            <w:vAlign w:val="bottom"/>
          </w:tcPr>
          <w:p>
            <w:pPr>
              <w:spacing w:after="0"/>
              <w:rPr>
                <w:sz w:val="12"/>
                <w:szCs w:val="12"/>
                <w:color w:val="auto"/>
              </w:rPr>
            </w:pPr>
          </w:p>
        </w:tc>
        <w:tc>
          <w:tcPr>
            <w:tcW w:w="1120" w:type="dxa"/>
            <w:vAlign w:val="bottom"/>
          </w:tcPr>
          <w:p>
            <w:pPr>
              <w:jc w:val="center"/>
              <w:ind w:right="202"/>
              <w:spacing w:after="0" w:line="143" w:lineRule="exact"/>
              <w:rPr>
                <w:sz w:val="20"/>
                <w:szCs w:val="20"/>
                <w:color w:val="auto"/>
              </w:rPr>
            </w:pPr>
            <w:r>
              <w:rPr>
                <w:rFonts w:ascii="Arial" w:cs="Arial" w:eastAsia="Arial" w:hAnsi="Arial"/>
                <w:sz w:val="13"/>
                <w:szCs w:val="13"/>
                <w:b w:val="1"/>
                <w:bCs w:val="1"/>
                <w:color w:val="auto"/>
                <w:w w:val="98"/>
              </w:rPr>
              <w:t>Pro Forma</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96"/>
              </w:rPr>
              <w:t>February 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2"/>
              <w:spacing w:after="0"/>
              <w:rPr>
                <w:sz w:val="20"/>
                <w:szCs w:val="20"/>
                <w:color w:val="auto"/>
              </w:rPr>
            </w:pPr>
            <w:r>
              <w:rPr>
                <w:rFonts w:ascii="Arial" w:cs="Arial" w:eastAsia="Arial" w:hAnsi="Arial"/>
                <w:sz w:val="13"/>
                <w:szCs w:val="13"/>
                <w:b w:val="1"/>
                <w:bCs w:val="1"/>
                <w:color w:val="auto"/>
                <w:w w:val="93"/>
              </w:rPr>
              <w:t>January 1,</w:t>
            </w:r>
          </w:p>
        </w:tc>
        <w:tc>
          <w:tcPr>
            <w:tcW w:w="140" w:type="dxa"/>
            <w:vAlign w:val="bottom"/>
          </w:tcPr>
          <w:p>
            <w:pPr>
              <w:spacing w:after="0"/>
              <w:rPr>
                <w:sz w:val="12"/>
                <w:szCs w:val="12"/>
                <w:color w:val="auto"/>
              </w:rPr>
            </w:pPr>
          </w:p>
        </w:tc>
        <w:tc>
          <w:tcPr>
            <w:tcW w:w="1120" w:type="dxa"/>
            <w:vAlign w:val="bottom"/>
          </w:tcPr>
          <w:p>
            <w:pPr>
              <w:jc w:val="center"/>
              <w:ind w:right="202"/>
              <w:spacing w:after="0"/>
              <w:rPr>
                <w:sz w:val="20"/>
                <w:szCs w:val="20"/>
                <w:color w:val="auto"/>
              </w:rPr>
            </w:pPr>
            <w:r>
              <w:rPr>
                <w:rFonts w:ascii="Arial" w:cs="Arial" w:eastAsia="Arial" w:hAnsi="Arial"/>
                <w:sz w:val="13"/>
                <w:szCs w:val="13"/>
                <w:b w:val="1"/>
                <w:bCs w:val="1"/>
                <w:color w:val="auto"/>
                <w:w w:val="91"/>
              </w:rPr>
              <w:t>Adjustments</w:t>
            </w:r>
          </w:p>
        </w:tc>
        <w:tc>
          <w:tcPr>
            <w:tcW w:w="120" w:type="dxa"/>
            <w:vAlign w:val="bottom"/>
          </w:tcPr>
          <w:p>
            <w:pPr>
              <w:spacing w:after="0"/>
              <w:rPr>
                <w:sz w:val="12"/>
                <w:szCs w:val="12"/>
                <w:color w:val="auto"/>
              </w:rPr>
            </w:pPr>
          </w:p>
        </w:tc>
        <w:tc>
          <w:tcPr>
            <w:tcW w:w="1180" w:type="dxa"/>
            <w:vAlign w:val="bottom"/>
          </w:tcPr>
          <w:p>
            <w:pPr>
              <w:jc w:val="center"/>
              <w:ind w:right="181"/>
              <w:spacing w:after="0"/>
              <w:rPr>
                <w:sz w:val="20"/>
                <w:szCs w:val="20"/>
                <w:color w:val="auto"/>
              </w:rPr>
            </w:pPr>
            <w:r>
              <w:rPr>
                <w:rFonts w:ascii="Arial" w:cs="Arial" w:eastAsia="Arial" w:hAnsi="Arial"/>
                <w:sz w:val="13"/>
                <w:szCs w:val="13"/>
                <w:b w:val="1"/>
                <w:bCs w:val="1"/>
                <w:color w:val="auto"/>
                <w:w w:val="98"/>
              </w:rPr>
              <w:t>Pro Forma</w:t>
            </w:r>
          </w:p>
        </w:tc>
      </w:tr>
      <w:tr>
        <w:trPr>
          <w:trHeight w:val="148"/>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96"/>
              </w:rPr>
              <w:t>2020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42"/>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Pr>
          <w:p>
            <w:pPr>
              <w:spacing w:after="0"/>
              <w:rPr>
                <w:sz w:val="12"/>
                <w:szCs w:val="12"/>
                <w:color w:val="auto"/>
              </w:rPr>
            </w:pPr>
          </w:p>
        </w:tc>
        <w:tc>
          <w:tcPr>
            <w:tcW w:w="1120" w:type="dxa"/>
            <w:vAlign w:val="bottom"/>
          </w:tcPr>
          <w:p>
            <w:pPr>
              <w:jc w:val="center"/>
              <w:ind w:right="202"/>
              <w:spacing w:after="0"/>
              <w:rPr>
                <w:sz w:val="20"/>
                <w:szCs w:val="20"/>
                <w:color w:val="auto"/>
              </w:rPr>
            </w:pPr>
            <w:r>
              <w:rPr>
                <w:rFonts w:ascii="Arial" w:cs="Arial" w:eastAsia="Arial" w:hAnsi="Arial"/>
                <w:sz w:val="13"/>
                <w:szCs w:val="13"/>
                <w:b w:val="1"/>
                <w:bCs w:val="1"/>
                <w:color w:val="auto"/>
                <w:w w:val="98"/>
              </w:rPr>
              <w:t>for the</w:t>
            </w:r>
          </w:p>
        </w:tc>
        <w:tc>
          <w:tcPr>
            <w:tcW w:w="120" w:type="dxa"/>
            <w:vAlign w:val="bottom"/>
          </w:tcPr>
          <w:p>
            <w:pPr>
              <w:spacing w:after="0"/>
              <w:rPr>
                <w:sz w:val="12"/>
                <w:szCs w:val="12"/>
                <w:color w:val="auto"/>
              </w:rPr>
            </w:pPr>
          </w:p>
        </w:tc>
        <w:tc>
          <w:tcPr>
            <w:tcW w:w="1180" w:type="dxa"/>
            <w:vAlign w:val="bottom"/>
          </w:tcPr>
          <w:p>
            <w:pPr>
              <w:jc w:val="center"/>
              <w:ind w:right="181"/>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219"/>
              <w:spacing w:after="0"/>
              <w:rPr>
                <w:sz w:val="20"/>
                <w:szCs w:val="20"/>
                <w:color w:val="auto"/>
              </w:rPr>
            </w:pPr>
            <w:r>
              <w:rPr>
                <w:rFonts w:ascii="Arial" w:cs="Arial" w:eastAsia="Arial" w:hAnsi="Arial"/>
                <w:sz w:val="13"/>
                <w:szCs w:val="13"/>
                <w:b w:val="1"/>
                <w:bCs w:val="1"/>
                <w:color w:val="auto"/>
                <w:w w:val="95"/>
              </w:rPr>
              <w:t>Year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20"/>
              <w:spacing w:after="0"/>
              <w:rPr>
                <w:sz w:val="20"/>
                <w:szCs w:val="20"/>
                <w:color w:val="auto"/>
              </w:rPr>
            </w:pPr>
            <w:r>
              <w:rPr>
                <w:rFonts w:ascii="Arial" w:cs="Arial" w:eastAsia="Arial" w:hAnsi="Arial"/>
                <w:sz w:val="13"/>
                <w:szCs w:val="13"/>
                <w:b w:val="1"/>
                <w:bCs w:val="1"/>
                <w:color w:val="auto"/>
                <w:w w:val="92"/>
              </w:rPr>
              <w:t>Year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right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97"/>
              </w:rPr>
              <w:t>through</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2"/>
              <w:spacing w:after="0"/>
              <w:rPr>
                <w:sz w:val="20"/>
                <w:szCs w:val="20"/>
                <w:color w:val="auto"/>
              </w:rPr>
            </w:pPr>
            <w:r>
              <w:rPr>
                <w:rFonts w:ascii="Arial" w:cs="Arial" w:eastAsia="Arial" w:hAnsi="Arial"/>
                <w:sz w:val="13"/>
                <w:szCs w:val="13"/>
                <w:b w:val="1"/>
                <w:bCs w:val="1"/>
                <w:color w:val="auto"/>
                <w:w w:val="97"/>
              </w:rPr>
              <w:t>through</w:t>
            </w:r>
          </w:p>
        </w:tc>
        <w:tc>
          <w:tcPr>
            <w:tcW w:w="140" w:type="dxa"/>
            <w:vAlign w:val="bottom"/>
          </w:tcPr>
          <w:p>
            <w:pPr>
              <w:spacing w:after="0"/>
              <w:rPr>
                <w:sz w:val="12"/>
                <w:szCs w:val="12"/>
                <w:color w:val="auto"/>
              </w:rPr>
            </w:pPr>
          </w:p>
        </w:tc>
        <w:tc>
          <w:tcPr>
            <w:tcW w:w="1120" w:type="dxa"/>
            <w:vAlign w:val="bottom"/>
          </w:tcPr>
          <w:p>
            <w:pPr>
              <w:jc w:val="center"/>
              <w:ind w:right="202"/>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180" w:type="dxa"/>
            <w:vAlign w:val="bottom"/>
          </w:tcPr>
          <w:p>
            <w:pPr>
              <w:jc w:val="center"/>
              <w:ind w:right="141"/>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199"/>
              <w:spacing w:after="0"/>
              <w:rPr>
                <w:sz w:val="20"/>
                <w:szCs w:val="20"/>
                <w:color w:val="auto"/>
              </w:rPr>
            </w:pPr>
            <w:r>
              <w:rPr>
                <w:rFonts w:ascii="Arial" w:cs="Arial" w:eastAsia="Arial" w:hAnsi="Arial"/>
                <w:sz w:val="13"/>
                <w:szCs w:val="13"/>
                <w:b w:val="1"/>
                <w:bCs w:val="1"/>
                <w:color w:val="auto"/>
                <w:w w:val="92"/>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right w:val="single" w:sz="8" w:color="auto"/>
            </w:tcBorders>
          </w:tcPr>
          <w:p>
            <w:pPr>
              <w:jc w:val="center"/>
              <w:ind w:right="202"/>
              <w:spacing w:after="0"/>
              <w:rPr>
                <w:sz w:val="20"/>
                <w:szCs w:val="20"/>
                <w:color w:val="auto"/>
              </w:rPr>
            </w:pPr>
            <w:r>
              <w:rPr>
                <w:rFonts w:ascii="Arial" w:cs="Arial" w:eastAsia="Arial" w:hAnsi="Arial"/>
                <w:sz w:val="13"/>
                <w:szCs w:val="13"/>
                <w:b w:val="1"/>
                <w:bCs w:val="1"/>
                <w:color w:val="auto"/>
                <w:w w:val="94"/>
              </w:rPr>
              <w:t>December 31,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02"/>
              <w:spacing w:after="0"/>
              <w:rPr>
                <w:sz w:val="20"/>
                <w:szCs w:val="20"/>
                <w:color w:val="auto"/>
              </w:rPr>
            </w:pPr>
            <w:r>
              <w:rPr>
                <w:rFonts w:ascii="Arial" w:cs="Arial" w:eastAsia="Arial" w:hAnsi="Arial"/>
                <w:sz w:val="13"/>
                <w:szCs w:val="13"/>
                <w:b w:val="1"/>
                <w:bCs w:val="1"/>
                <w:color w:val="auto"/>
                <w:w w:val="94"/>
              </w:rPr>
              <w:t>January 31,</w:t>
            </w:r>
          </w:p>
        </w:tc>
        <w:tc>
          <w:tcPr>
            <w:tcW w:w="140" w:type="dxa"/>
            <w:vAlign w:val="bottom"/>
          </w:tcPr>
          <w:p>
            <w:pPr>
              <w:spacing w:after="0"/>
              <w:rPr>
                <w:sz w:val="15"/>
                <w:szCs w:val="15"/>
                <w:color w:val="auto"/>
              </w:rPr>
            </w:pPr>
          </w:p>
        </w:tc>
        <w:tc>
          <w:tcPr>
            <w:tcW w:w="1120" w:type="dxa"/>
            <w:vAlign w:val="bottom"/>
          </w:tcPr>
          <w:p>
            <w:pPr>
              <w:jc w:val="center"/>
              <w:ind w:right="182"/>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180" w:type="dxa"/>
            <w:vAlign w:val="bottom"/>
          </w:tcPr>
          <w:p>
            <w:pPr>
              <w:jc w:val="center"/>
              <w:ind w:right="141"/>
              <w:spacing w:after="0"/>
              <w:rPr>
                <w:sz w:val="20"/>
                <w:szCs w:val="20"/>
                <w:color w:val="auto"/>
              </w:rPr>
            </w:pPr>
            <w:r>
              <w:rPr>
                <w:rFonts w:ascii="Arial" w:cs="Arial" w:eastAsia="Arial" w:hAnsi="Arial"/>
                <w:sz w:val="13"/>
                <w:szCs w:val="13"/>
                <w:b w:val="1"/>
                <w:bCs w:val="1"/>
                <w:color w:val="auto"/>
                <w:w w:val="94"/>
              </w:rPr>
              <w:t>December 31,</w:t>
            </w:r>
          </w:p>
        </w:tc>
      </w:tr>
      <w:tr>
        <w:trPr>
          <w:trHeight w:val="176"/>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3"/>
                <w:szCs w:val="13"/>
                <w:b w:val="1"/>
                <w:bCs w:val="1"/>
                <w:color w:val="auto"/>
                <w:w w:val="96"/>
              </w:rPr>
              <w:t>2022</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89"/>
              </w:rPr>
              <w:t>2021</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02"/>
              <w:spacing w:after="0"/>
              <w:rPr>
                <w:sz w:val="20"/>
                <w:szCs w:val="20"/>
                <w:color w:val="auto"/>
              </w:rPr>
            </w:pPr>
            <w:r>
              <w:rPr>
                <w:rFonts w:ascii="Arial" w:cs="Arial" w:eastAsia="Arial" w:hAnsi="Arial"/>
                <w:sz w:val="13"/>
                <w:szCs w:val="13"/>
                <w:b w:val="1"/>
                <w:bCs w:val="1"/>
                <w:color w:val="auto"/>
                <w:w w:val="96"/>
              </w:rPr>
              <w:t>2020</w:t>
            </w: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02"/>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64,604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16,051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(47,492 )</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(36,530 )</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ind w:right="62"/>
              <w:spacing w:after="0"/>
              <w:rPr>
                <w:sz w:val="20"/>
                <w:szCs w:val="20"/>
                <w:color w:val="auto"/>
              </w:rPr>
            </w:pPr>
            <w:r>
              <w:rPr>
                <w:rFonts w:ascii="Arial" w:cs="Arial" w:eastAsia="Arial" w:hAnsi="Arial"/>
                <w:sz w:val="17"/>
                <w:szCs w:val="17"/>
                <w:color w:val="auto"/>
              </w:rPr>
              <w:t>20,447</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(63,575 )</w:t>
            </w:r>
          </w:p>
        </w:tc>
      </w:tr>
      <w:tr>
        <w:trPr>
          <w:trHeight w:val="223"/>
        </w:trPr>
        <w:tc>
          <w:tcPr>
            <w:tcW w:w="332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7"/>
                <w:szCs w:val="17"/>
                <w:color w:val="auto"/>
              </w:rPr>
              <w:t>9,199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24,972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62"/>
              <w:spacing w:after="0"/>
              <w:rPr>
                <w:sz w:val="20"/>
                <w:szCs w:val="20"/>
                <w:color w:val="auto"/>
              </w:rPr>
            </w:pPr>
            <w:r>
              <w:rPr>
                <w:rFonts w:ascii="Arial" w:cs="Arial" w:eastAsia="Arial" w:hAnsi="Arial"/>
                <w:sz w:val="17"/>
                <w:szCs w:val="17"/>
                <w:color w:val="auto"/>
              </w:rPr>
              <w:t>47,384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4,489</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(741 )</w:t>
            </w:r>
          </w:p>
        </w:tc>
        <w:tc>
          <w:tcPr>
            <w:tcW w:w="12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51,132</w:t>
            </w:r>
          </w:p>
        </w:tc>
      </w:tr>
      <w:tr>
        <w:trPr>
          <w:trHeight w:val="236"/>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Provision (benefit) for income taxes</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20,475</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8,862</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(11,355 )</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(871 )</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62"/>
              <w:spacing w:after="0"/>
              <w:rPr>
                <w:sz w:val="20"/>
                <w:szCs w:val="20"/>
                <w:color w:val="auto"/>
              </w:rPr>
            </w:pPr>
            <w:r>
              <w:rPr>
                <w:rFonts w:ascii="Arial" w:cs="Arial" w:eastAsia="Arial" w:hAnsi="Arial"/>
                <w:sz w:val="17"/>
                <w:szCs w:val="17"/>
                <w:color w:val="auto"/>
              </w:rPr>
              <w:t>7,073</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(5,153 )</w:t>
            </w:r>
          </w:p>
        </w:tc>
      </w:tr>
      <w:tr>
        <w:trPr>
          <w:trHeight w:val="223"/>
        </w:trPr>
        <w:tc>
          <w:tcPr>
            <w:tcW w:w="33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7"/>
                <w:szCs w:val="17"/>
                <w:color w:val="auto"/>
              </w:rPr>
              <w:t>138,246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142,815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62"/>
              <w:spacing w:after="0"/>
              <w:rPr>
                <w:sz w:val="20"/>
                <w:szCs w:val="20"/>
                <w:color w:val="auto"/>
              </w:rPr>
            </w:pPr>
            <w:r>
              <w:rPr>
                <w:rFonts w:ascii="Arial" w:cs="Arial" w:eastAsia="Arial" w:hAnsi="Arial"/>
                <w:sz w:val="17"/>
                <w:szCs w:val="17"/>
                <w:color w:val="auto"/>
              </w:rPr>
              <w:t>135,057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2,105</w:t>
            </w:r>
          </w:p>
        </w:tc>
        <w:tc>
          <w:tcPr>
            <w:tcW w:w="14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7"/>
                <w:szCs w:val="17"/>
                <w:color w:val="auto"/>
              </w:rPr>
              <w:t>6,124</w:t>
            </w:r>
          </w:p>
        </w:tc>
        <w:tc>
          <w:tcPr>
            <w:tcW w:w="12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143,286</w:t>
            </w:r>
          </w:p>
        </w:tc>
      </w:tr>
      <w:tr>
        <w:trPr>
          <w:trHeight w:val="236"/>
        </w:trPr>
        <w:tc>
          <w:tcPr>
            <w:tcW w:w="3320" w:type="dxa"/>
            <w:vAlign w:val="bottom"/>
            <w:shd w:val="clear" w:color="auto" w:fill="CFF0FC"/>
          </w:tcPr>
          <w:p>
            <w:pPr>
              <w:ind w:left="20"/>
              <w:spacing w:after="0"/>
              <w:rPr>
                <w:sz w:val="20"/>
                <w:szCs w:val="20"/>
                <w:color w:val="auto"/>
              </w:rPr>
            </w:pPr>
            <w:r>
              <w:rPr>
                <w:rFonts w:ascii="Arial" w:cs="Arial" w:eastAsia="Arial" w:hAnsi="Arial"/>
                <w:sz w:val="17"/>
                <w:szCs w:val="17"/>
                <w:color w:val="auto"/>
              </w:rPr>
              <w:t>Loss on extinguishment of debt</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13,938</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tcBorders>
              <w:right w:val="single" w:sz="8" w:color="auto"/>
            </w:tcBorders>
            <w:shd w:val="clear" w:color="auto" w:fill="CFF0FC"/>
          </w:tcPr>
          <w:p>
            <w:pPr>
              <w:jc w:val="right"/>
              <w:ind w:right="62"/>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10,533</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(10,533 )</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w:t>
            </w:r>
          </w:p>
        </w:tc>
      </w:tr>
      <w:tr>
        <w:trPr>
          <w:trHeight w:val="223"/>
        </w:trPr>
        <w:tc>
          <w:tcPr>
            <w:tcW w:w="332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7"/>
                <w:szCs w:val="17"/>
                <w:color w:val="auto"/>
              </w:rPr>
              <w:t>7,856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40"/>
              <w:spacing w:after="0"/>
              <w:rPr>
                <w:sz w:val="20"/>
                <w:szCs w:val="20"/>
                <w:color w:val="auto"/>
              </w:rPr>
            </w:pPr>
            <w:r>
              <w:rPr>
                <w:rFonts w:ascii="Arial" w:cs="Arial" w:eastAsia="Arial" w:hAnsi="Arial"/>
                <w:sz w:val="17"/>
                <w:szCs w:val="17"/>
                <w:color w:val="auto"/>
              </w:rPr>
              <w:t>9,530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62"/>
              <w:spacing w:after="0"/>
              <w:rPr>
                <w:sz w:val="20"/>
                <w:szCs w:val="20"/>
                <w:color w:val="auto"/>
              </w:rPr>
            </w:pPr>
            <w:r>
              <w:rPr>
                <w:rFonts w:ascii="Arial" w:cs="Arial" w:eastAsia="Arial" w:hAnsi="Arial"/>
                <w:sz w:val="17"/>
                <w:szCs w:val="17"/>
                <w:color w:val="auto"/>
              </w:rPr>
              <w:t>1,876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3,976</w:t>
            </w:r>
          </w:p>
        </w:tc>
        <w:tc>
          <w:tcPr>
            <w:tcW w:w="14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5,852</w:t>
            </w:r>
          </w:p>
        </w:tc>
      </w:tr>
      <w:tr>
        <w:trPr>
          <w:trHeight w:val="236"/>
        </w:trPr>
        <w:tc>
          <w:tcPr>
            <w:tcW w:w="3320" w:type="dxa"/>
            <w:vAlign w:val="bottom"/>
            <w:shd w:val="clear" w:color="auto" w:fill="CFF0FC"/>
          </w:tcPr>
          <w:p>
            <w:pPr>
              <w:ind w:left="20"/>
              <w:spacing w:after="0" w:line="237" w:lineRule="exact"/>
              <w:rPr>
                <w:sz w:val="20"/>
                <w:szCs w:val="20"/>
                <w:color w:val="auto"/>
              </w:rPr>
            </w:pPr>
            <w:r>
              <w:rPr>
                <w:rFonts w:ascii="Arial" w:cs="Arial" w:eastAsia="Arial" w:hAnsi="Arial"/>
                <w:sz w:val="17"/>
                <w:szCs w:val="17"/>
                <w:color w:val="auto"/>
                <w:w w:val="93"/>
              </w:rPr>
              <w:t xml:space="preserve">Transaction and acquisition-related charges </w:t>
            </w:r>
            <w:r>
              <w:rPr>
                <w:rFonts w:ascii="Arial" w:cs="Arial" w:eastAsia="Arial" w:hAnsi="Arial"/>
                <w:sz w:val="22"/>
                <w:szCs w:val="22"/>
                <w:color w:val="auto"/>
                <w:w w:val="93"/>
                <w:vertAlign w:val="superscript"/>
              </w:rPr>
              <w:t>(a)</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6,018</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9,314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tcBorders>
              <w:right w:val="single" w:sz="8" w:color="auto"/>
            </w:tcBorders>
            <w:shd w:val="clear" w:color="auto" w:fill="CFF0FC"/>
          </w:tcPr>
          <w:p>
            <w:pPr>
              <w:jc w:val="right"/>
              <w:ind w:right="62"/>
              <w:spacing w:after="0"/>
              <w:rPr>
                <w:sz w:val="20"/>
                <w:szCs w:val="20"/>
                <w:color w:val="auto"/>
              </w:rPr>
            </w:pPr>
            <w:r>
              <w:rPr>
                <w:rFonts w:ascii="Arial" w:cs="Arial" w:eastAsia="Arial" w:hAnsi="Arial"/>
                <w:sz w:val="17"/>
                <w:szCs w:val="17"/>
                <w:color w:val="auto"/>
              </w:rPr>
              <w:t>10,146</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22,840</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(22,370 )</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10,616</w:t>
            </w:r>
          </w:p>
        </w:tc>
      </w:tr>
      <w:tr>
        <w:trPr>
          <w:trHeight w:val="230"/>
        </w:trPr>
        <w:tc>
          <w:tcPr>
            <w:tcW w:w="3320" w:type="dxa"/>
            <w:vAlign w:val="bottom"/>
          </w:tcPr>
          <w:p>
            <w:pPr>
              <w:ind w:left="20"/>
              <w:spacing w:after="0" w:line="229" w:lineRule="exact"/>
              <w:rPr>
                <w:sz w:val="20"/>
                <w:szCs w:val="20"/>
                <w:color w:val="auto"/>
              </w:rPr>
            </w:pPr>
            <w:r>
              <w:rPr>
                <w:rFonts w:ascii="Arial" w:cs="Arial" w:eastAsia="Arial" w:hAnsi="Arial"/>
                <w:sz w:val="17"/>
                <w:szCs w:val="17"/>
                <w:color w:val="auto"/>
                <w:w w:val="94"/>
              </w:rPr>
              <w:t>Integration, restructuring, and other charges</w:t>
            </w:r>
            <w:r>
              <w:rPr>
                <w:rFonts w:ascii="Arial" w:cs="Arial" w:eastAsia="Arial" w:hAnsi="Arial"/>
                <w:sz w:val="22"/>
                <w:szCs w:val="22"/>
                <w:color w:val="auto"/>
                <w:w w:val="94"/>
                <w:vertAlign w:val="superscript"/>
              </w:rPr>
              <w:t>(b)</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2,512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812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color w:val="auto"/>
              </w:rPr>
              <w:t>4,160</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480</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4,640</w:t>
            </w:r>
          </w:p>
        </w:tc>
      </w:tr>
      <w:tr>
        <w:trPr>
          <w:trHeight w:val="258"/>
        </w:trPr>
        <w:tc>
          <w:tcPr>
            <w:tcW w:w="3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7"/>
                <w:szCs w:val="17"/>
                <w:b w:val="1"/>
                <w:bCs w:val="1"/>
                <w:color w:val="auto"/>
              </w:rPr>
              <w:t>248,910</w:t>
            </w:r>
          </w:p>
        </w:tc>
        <w:tc>
          <w:tcPr>
            <w:tcW w:w="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226,294</w:t>
            </w:r>
          </w:p>
        </w:tc>
        <w:tc>
          <w:tcPr>
            <w:tcW w:w="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right w:val="single" w:sz="8" w:color="CFF0FC"/>
            </w:tcBorders>
            <w:shd w:val="clear" w:color="auto" w:fill="CFF0FC"/>
          </w:tcPr>
          <w:p>
            <w:pPr>
              <w:jc w:val="right"/>
              <w:ind w:right="62"/>
              <w:spacing w:after="0"/>
              <w:rPr>
                <w:sz w:val="20"/>
                <w:szCs w:val="20"/>
                <w:color w:val="auto"/>
              </w:rPr>
            </w:pPr>
            <w:r>
              <w:rPr>
                <w:rFonts w:ascii="Arial" w:cs="Arial" w:eastAsia="Arial" w:hAnsi="Arial"/>
                <w:sz w:val="17"/>
                <w:szCs w:val="17"/>
                <w:b w:val="1"/>
                <w:bCs w:val="1"/>
                <w:color w:val="auto"/>
              </w:rPr>
              <w:t>139,776</w:t>
            </w:r>
          </w:p>
        </w:tc>
        <w:tc>
          <w:tcPr>
            <w:tcW w:w="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b w:val="1"/>
                <w:bCs w:val="1"/>
                <w:color w:val="auto"/>
              </w:rPr>
              <w:t>7,022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b w:val="1"/>
                <w:bCs w:val="1"/>
                <w:color w:val="auto"/>
              </w:rPr>
              <w:t>146,798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-1477645</wp:posOffset>
            </wp:positionV>
            <wp:extent cx="83566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35660" cy="1454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-25400</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-337820</wp:posOffset>
            </wp:positionV>
            <wp:extent cx="3308985" cy="351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8985" cy="351155"/>
                    </a:xfrm>
                    <a:prstGeom prst="rect">
                      <a:avLst/>
                    </a:prstGeom>
                    <a:noFill/>
                  </pic:spPr>
                </pic:pic>
              </a:graphicData>
            </a:graphic>
          </wp:anchor>
        </w:drawing>
      </w:r>
    </w:p>
    <w:p>
      <w:pPr>
        <w:spacing w:after="0" w:line="123" w:lineRule="exact"/>
        <w:rPr>
          <w:sz w:val="20"/>
          <w:szCs w:val="20"/>
          <w:color w:val="auto"/>
        </w:rPr>
      </w:pPr>
    </w:p>
    <w:p>
      <w:pPr>
        <w:ind w:left="520" w:right="200" w:hanging="512"/>
        <w:spacing w:after="0" w:line="225"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subsequent one-time compliance efforts, and the registered common stock offering by certain selling stockholders in November 2021. The years ended December 31, 2021 and 2022 (Successor) include a transaction bonus expense related to one of the Company’s 2021 acquisitions.</w:t>
      </w:r>
    </w:p>
    <w:p>
      <w:pPr>
        <w:spacing w:after="0" w:line="2" w:lineRule="exact"/>
        <w:rPr>
          <w:rFonts w:ascii="Arial" w:cs="Arial" w:eastAsia="Arial" w:hAnsi="Arial"/>
          <w:sz w:val="14"/>
          <w:szCs w:val="14"/>
          <w:color w:val="auto"/>
        </w:rPr>
      </w:pPr>
    </w:p>
    <w:p>
      <w:pPr>
        <w:ind w:left="520" w:right="520" w:hanging="512"/>
        <w:spacing w:after="0" w:line="237"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define Adjusted EBITDA Margin as Adjusted EBITDA divided by total revenues. The following table presents the calculation of Adjusted EBITDA Margin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05"/>
              <w:spacing w:after="0"/>
              <w:rPr>
                <w:sz w:val="20"/>
                <w:szCs w:val="20"/>
                <w:color w:val="auto"/>
              </w:rPr>
            </w:pPr>
            <w:r>
              <w:rPr>
                <w:rFonts w:ascii="Arial" w:cs="Arial" w:eastAsia="Arial" w:hAnsi="Arial"/>
                <w:sz w:val="13"/>
                <w:szCs w:val="13"/>
                <w:b w:val="1"/>
                <w:bCs w:val="1"/>
                <w:color w:val="auto"/>
                <w:w w:val="85"/>
              </w:rPr>
              <w:t>Successor</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27"/>
              <w:spacing w:after="0"/>
              <w:rPr>
                <w:sz w:val="20"/>
                <w:szCs w:val="20"/>
                <w:color w:val="auto"/>
              </w:rPr>
            </w:pPr>
            <w:r>
              <w:rPr>
                <w:rFonts w:ascii="Arial" w:cs="Arial" w:eastAsia="Arial" w:hAnsi="Arial"/>
                <w:sz w:val="13"/>
                <w:szCs w:val="13"/>
                <w:b w:val="1"/>
                <w:bCs w:val="1"/>
                <w:color w:val="auto"/>
                <w:w w:val="87"/>
              </w:rPr>
              <w:t>Predecessor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3"/>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45"/>
              <w:spacing w:after="0" w:line="143" w:lineRule="exact"/>
              <w:rPr>
                <w:sz w:val="20"/>
                <w:szCs w:val="20"/>
                <w:color w:val="auto"/>
              </w:rPr>
            </w:pPr>
            <w:r>
              <w:rPr>
                <w:rFonts w:ascii="Arial" w:cs="Arial" w:eastAsia="Arial" w:hAnsi="Arial"/>
                <w:sz w:val="13"/>
                <w:szCs w:val="13"/>
                <w:b w:val="1"/>
                <w:bCs w:val="1"/>
                <w:color w:val="auto"/>
                <w:w w:val="92"/>
              </w:rPr>
              <w:t>Pro</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gridSpan w:val="2"/>
          </w:tcPr>
          <w:p>
            <w:pPr>
              <w:jc w:val="center"/>
              <w:ind w:right="245"/>
              <w:spacing w:after="0"/>
              <w:rPr>
                <w:sz w:val="20"/>
                <w:szCs w:val="20"/>
                <w:color w:val="auto"/>
              </w:rPr>
            </w:pPr>
            <w:r>
              <w:rPr>
                <w:rFonts w:ascii="Arial" w:cs="Arial" w:eastAsia="Arial" w:hAnsi="Arial"/>
                <w:sz w:val="13"/>
                <w:szCs w:val="13"/>
                <w:b w:val="1"/>
                <w:bCs w:val="1"/>
                <w:color w:val="auto"/>
              </w:rPr>
              <w:t>Forma</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gridSpan w:val="2"/>
          </w:tcPr>
          <w:p>
            <w:pPr>
              <w:jc w:val="center"/>
              <w:ind w:right="205"/>
              <w:spacing w:after="0"/>
              <w:rPr>
                <w:sz w:val="20"/>
                <w:szCs w:val="20"/>
                <w:color w:val="auto"/>
              </w:rPr>
            </w:pPr>
            <w:r>
              <w:rPr>
                <w:rFonts w:ascii="Arial" w:cs="Arial" w:eastAsia="Arial" w:hAnsi="Arial"/>
                <w:sz w:val="13"/>
                <w:szCs w:val="13"/>
                <w:b w:val="1"/>
                <w:bCs w:val="1"/>
                <w:color w:val="auto"/>
                <w:w w:val="98"/>
              </w:rPr>
              <w:t>Adjust</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gridSpan w:val="2"/>
          </w:tcPr>
          <w:p>
            <w:pPr>
              <w:jc w:val="center"/>
              <w:ind w:right="245"/>
              <w:spacing w:after="0"/>
              <w:rPr>
                <w:sz w:val="20"/>
                <w:szCs w:val="20"/>
                <w:color w:val="auto"/>
              </w:rPr>
            </w:pPr>
            <w:r>
              <w:rPr>
                <w:rFonts w:ascii="Arial" w:cs="Arial" w:eastAsia="Arial" w:hAnsi="Arial"/>
                <w:sz w:val="13"/>
                <w:szCs w:val="13"/>
                <w:b w:val="1"/>
                <w:bCs w:val="1"/>
                <w:color w:val="auto"/>
                <w:w w:val="93"/>
              </w:rPr>
              <w:t>ments</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right w:val="single" w:sz="8" w:color="auto"/>
            </w:tcBorders>
          </w:tcPr>
          <w:p>
            <w:pPr>
              <w:jc w:val="center"/>
              <w:ind w:right="267"/>
              <w:spacing w:after="0"/>
              <w:rPr>
                <w:sz w:val="20"/>
                <w:szCs w:val="20"/>
                <w:color w:val="auto"/>
              </w:rPr>
            </w:pPr>
            <w:r>
              <w:rPr>
                <w:rFonts w:ascii="Arial" w:cs="Arial" w:eastAsia="Arial" w:hAnsi="Arial"/>
                <w:sz w:val="13"/>
                <w:szCs w:val="13"/>
                <w:b w:val="1"/>
                <w:bCs w:val="1"/>
                <w:color w:val="auto"/>
                <w:w w:val="93"/>
              </w:rPr>
              <w:t>Period from</w:t>
            </w:r>
          </w:p>
        </w:tc>
        <w:tc>
          <w:tcPr>
            <w:tcW w:w="200" w:type="dxa"/>
            <w:vAlign w:val="bottom"/>
          </w:tcPr>
          <w:p>
            <w:pPr>
              <w:spacing w:after="0"/>
              <w:rPr>
                <w:sz w:val="12"/>
                <w:szCs w:val="12"/>
                <w:color w:val="auto"/>
              </w:rPr>
            </w:pPr>
          </w:p>
        </w:tc>
        <w:tc>
          <w:tcPr>
            <w:tcW w:w="1180" w:type="dxa"/>
            <w:vAlign w:val="bottom"/>
          </w:tcPr>
          <w:p>
            <w:pPr>
              <w:jc w:val="center"/>
              <w:ind w:right="247"/>
              <w:spacing w:after="0"/>
              <w:rPr>
                <w:sz w:val="20"/>
                <w:szCs w:val="20"/>
                <w:color w:val="auto"/>
              </w:rPr>
            </w:pPr>
            <w:r>
              <w:rPr>
                <w:rFonts w:ascii="Arial" w:cs="Arial" w:eastAsia="Arial" w:hAnsi="Arial"/>
                <w:sz w:val="13"/>
                <w:szCs w:val="13"/>
                <w:b w:val="1"/>
                <w:bCs w:val="1"/>
                <w:color w:val="auto"/>
                <w:w w:val="95"/>
              </w:rPr>
              <w:t>Period from</w:t>
            </w:r>
          </w:p>
        </w:tc>
        <w:tc>
          <w:tcPr>
            <w:tcW w:w="800" w:type="dxa"/>
            <w:vAlign w:val="bottom"/>
            <w:gridSpan w:val="2"/>
          </w:tcPr>
          <w:p>
            <w:pPr>
              <w:jc w:val="center"/>
              <w:ind w:right="245"/>
              <w:spacing w:after="0"/>
              <w:rPr>
                <w:sz w:val="20"/>
                <w:szCs w:val="20"/>
                <w:color w:val="auto"/>
              </w:rPr>
            </w:pPr>
            <w:r>
              <w:rPr>
                <w:rFonts w:ascii="Arial" w:cs="Arial" w:eastAsia="Arial" w:hAnsi="Arial"/>
                <w:sz w:val="13"/>
                <w:szCs w:val="13"/>
                <w:b w:val="1"/>
                <w:bCs w:val="1"/>
                <w:color w:val="auto"/>
                <w:w w:val="98"/>
              </w:rPr>
              <w:t>for the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right w:val="single" w:sz="8" w:color="auto"/>
            </w:tcBorders>
          </w:tcPr>
          <w:p>
            <w:pPr>
              <w:jc w:val="center"/>
              <w:ind w:right="307"/>
              <w:spacing w:after="0"/>
              <w:rPr>
                <w:sz w:val="20"/>
                <w:szCs w:val="20"/>
                <w:color w:val="auto"/>
              </w:rPr>
            </w:pPr>
            <w:r>
              <w:rPr>
                <w:rFonts w:ascii="Arial" w:cs="Arial" w:eastAsia="Arial" w:hAnsi="Arial"/>
                <w:sz w:val="13"/>
                <w:szCs w:val="13"/>
                <w:b w:val="1"/>
                <w:bCs w:val="1"/>
                <w:color w:val="auto"/>
                <w:w w:val="96"/>
              </w:rPr>
              <w:t>February 1,</w:t>
            </w:r>
          </w:p>
        </w:tc>
        <w:tc>
          <w:tcPr>
            <w:tcW w:w="200" w:type="dxa"/>
            <w:vAlign w:val="bottom"/>
          </w:tcPr>
          <w:p>
            <w:pPr>
              <w:spacing w:after="0"/>
              <w:rPr>
                <w:sz w:val="12"/>
                <w:szCs w:val="12"/>
                <w:color w:val="auto"/>
              </w:rPr>
            </w:pPr>
          </w:p>
        </w:tc>
        <w:tc>
          <w:tcPr>
            <w:tcW w:w="1180" w:type="dxa"/>
            <w:vAlign w:val="bottom"/>
          </w:tcPr>
          <w:p>
            <w:pPr>
              <w:jc w:val="center"/>
              <w:ind w:right="227"/>
              <w:spacing w:after="0"/>
              <w:rPr>
                <w:sz w:val="20"/>
                <w:szCs w:val="20"/>
                <w:color w:val="auto"/>
              </w:rPr>
            </w:pPr>
            <w:r>
              <w:rPr>
                <w:rFonts w:ascii="Arial" w:cs="Arial" w:eastAsia="Arial" w:hAnsi="Arial"/>
                <w:sz w:val="13"/>
                <w:szCs w:val="13"/>
                <w:b w:val="1"/>
                <w:bCs w:val="1"/>
                <w:color w:val="auto"/>
                <w:w w:val="93"/>
              </w:rPr>
              <w:t>January 1,</w:t>
            </w:r>
          </w:p>
        </w:tc>
        <w:tc>
          <w:tcPr>
            <w:tcW w:w="100" w:type="dxa"/>
            <w:vAlign w:val="bottom"/>
          </w:tcPr>
          <w:p>
            <w:pPr>
              <w:spacing w:after="0"/>
              <w:rPr>
                <w:sz w:val="12"/>
                <w:szCs w:val="12"/>
                <w:color w:val="auto"/>
              </w:rPr>
            </w:pPr>
          </w:p>
        </w:tc>
        <w:tc>
          <w:tcPr>
            <w:tcW w:w="700" w:type="dxa"/>
            <w:vAlign w:val="bottom"/>
          </w:tcPr>
          <w:p>
            <w:pPr>
              <w:jc w:val="center"/>
              <w:ind w:right="345"/>
              <w:spacing w:after="0"/>
              <w:rPr>
                <w:sz w:val="20"/>
                <w:szCs w:val="20"/>
                <w:color w:val="auto"/>
              </w:rPr>
            </w:pPr>
            <w:r>
              <w:rPr>
                <w:rFonts w:ascii="Arial" w:cs="Arial" w:eastAsia="Arial" w:hAnsi="Arial"/>
                <w:sz w:val="13"/>
                <w:szCs w:val="13"/>
                <w:b w:val="1"/>
                <w:bCs w:val="1"/>
                <w:color w:val="auto"/>
                <w:w w:val="99"/>
              </w:rPr>
              <w:t>Year</w:t>
            </w:r>
          </w:p>
        </w:tc>
        <w:tc>
          <w:tcPr>
            <w:tcW w:w="14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Pro Forma</w:t>
            </w: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Borders>
              <w:right w:val="single" w:sz="8" w:color="auto"/>
            </w:tcBorders>
          </w:tcPr>
          <w:p>
            <w:pPr>
              <w:jc w:val="center"/>
              <w:ind w:right="307"/>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Pr>
          <w:p>
            <w:pPr>
              <w:spacing w:after="0"/>
              <w:rPr>
                <w:sz w:val="12"/>
                <w:szCs w:val="12"/>
                <w:color w:val="auto"/>
              </w:rPr>
            </w:pPr>
          </w:p>
        </w:tc>
        <w:tc>
          <w:tcPr>
            <w:tcW w:w="1180" w:type="dxa"/>
            <w:vAlign w:val="bottom"/>
          </w:tcPr>
          <w:p>
            <w:pPr>
              <w:jc w:val="center"/>
              <w:ind w:right="267"/>
              <w:spacing w:after="0"/>
              <w:rPr>
                <w:sz w:val="20"/>
                <w:szCs w:val="20"/>
                <w:color w:val="auto"/>
              </w:rPr>
            </w:pPr>
            <w:r>
              <w:rPr>
                <w:rFonts w:ascii="Arial" w:cs="Arial" w:eastAsia="Arial" w:hAnsi="Arial"/>
                <w:sz w:val="13"/>
                <w:szCs w:val="13"/>
                <w:b w:val="1"/>
                <w:bCs w:val="1"/>
                <w:color w:val="auto"/>
                <w:w w:val="96"/>
              </w:rPr>
              <w:t>2020</w:t>
            </w:r>
          </w:p>
        </w:tc>
        <w:tc>
          <w:tcPr>
            <w:tcW w:w="800" w:type="dxa"/>
            <w:vAlign w:val="bottom"/>
            <w:gridSpan w:val="2"/>
          </w:tcPr>
          <w:p>
            <w:pPr>
              <w:jc w:val="center"/>
              <w:ind w:right="245"/>
              <w:spacing w:after="0"/>
              <w:rPr>
                <w:sz w:val="20"/>
                <w:szCs w:val="20"/>
                <w:color w:val="auto"/>
              </w:rPr>
            </w:pPr>
            <w:r>
              <w:rPr>
                <w:rFonts w:ascii="Arial" w:cs="Arial" w:eastAsia="Arial" w:hAnsi="Arial"/>
                <w:sz w:val="13"/>
                <w:szCs w:val="13"/>
                <w:b w:val="1"/>
                <w:bCs w:val="1"/>
                <w:color w:val="auto"/>
                <w:w w:val="90"/>
              </w:rPr>
              <w:t>Ended</w:t>
            </w:r>
          </w:p>
        </w:tc>
        <w:tc>
          <w:tcPr>
            <w:tcW w:w="14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304"/>
              <w:spacing w:after="0"/>
              <w:rPr>
                <w:sz w:val="20"/>
                <w:szCs w:val="20"/>
                <w:color w:val="auto"/>
              </w:rPr>
            </w:pPr>
            <w:r>
              <w:rPr>
                <w:rFonts w:ascii="Arial" w:cs="Arial" w:eastAsia="Arial" w:hAnsi="Arial"/>
                <w:sz w:val="13"/>
                <w:szCs w:val="13"/>
                <w:b w:val="1"/>
                <w:bCs w:val="1"/>
                <w:color w:val="auto"/>
                <w:w w:val="92"/>
              </w:rPr>
              <w:t>Year 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305"/>
              <w:spacing w:after="0"/>
              <w:rPr>
                <w:sz w:val="20"/>
                <w:szCs w:val="20"/>
                <w:color w:val="auto"/>
              </w:rPr>
            </w:pPr>
            <w:r>
              <w:rPr>
                <w:rFonts w:ascii="Arial" w:cs="Arial" w:eastAsia="Arial" w:hAnsi="Arial"/>
                <w:sz w:val="13"/>
                <w:szCs w:val="13"/>
                <w:b w:val="1"/>
                <w:bCs w:val="1"/>
                <w:color w:val="auto"/>
                <w:w w:val="95"/>
              </w:rPr>
              <w:t>Year Ended</w:t>
            </w:r>
          </w:p>
        </w:tc>
        <w:tc>
          <w:tcPr>
            <w:tcW w:w="220" w:type="dxa"/>
            <w:vAlign w:val="bottom"/>
          </w:tcPr>
          <w:p>
            <w:pPr>
              <w:spacing w:after="0"/>
              <w:rPr>
                <w:sz w:val="12"/>
                <w:szCs w:val="12"/>
                <w:color w:val="auto"/>
              </w:rPr>
            </w:pPr>
          </w:p>
        </w:tc>
        <w:tc>
          <w:tcPr>
            <w:tcW w:w="1340" w:type="dxa"/>
            <w:vAlign w:val="bottom"/>
            <w:tcBorders>
              <w:right w:val="single" w:sz="8" w:color="auto"/>
            </w:tcBorders>
          </w:tcPr>
          <w:p>
            <w:pPr>
              <w:jc w:val="center"/>
              <w:ind w:right="287"/>
              <w:spacing w:after="0"/>
              <w:rPr>
                <w:sz w:val="20"/>
                <w:szCs w:val="20"/>
                <w:color w:val="auto"/>
              </w:rPr>
            </w:pPr>
            <w:r>
              <w:rPr>
                <w:rFonts w:ascii="Arial" w:cs="Arial" w:eastAsia="Arial" w:hAnsi="Arial"/>
                <w:sz w:val="13"/>
                <w:szCs w:val="13"/>
                <w:b w:val="1"/>
                <w:bCs w:val="1"/>
                <w:color w:val="auto"/>
                <w:w w:val="93"/>
              </w:rPr>
              <w:t>through</w:t>
            </w:r>
          </w:p>
        </w:tc>
        <w:tc>
          <w:tcPr>
            <w:tcW w:w="200" w:type="dxa"/>
            <w:vAlign w:val="bottom"/>
          </w:tcPr>
          <w:p>
            <w:pPr>
              <w:spacing w:after="0"/>
              <w:rPr>
                <w:sz w:val="12"/>
                <w:szCs w:val="12"/>
                <w:color w:val="auto"/>
              </w:rPr>
            </w:pPr>
          </w:p>
        </w:tc>
        <w:tc>
          <w:tcPr>
            <w:tcW w:w="1180" w:type="dxa"/>
            <w:vAlign w:val="bottom"/>
          </w:tcPr>
          <w:p>
            <w:pPr>
              <w:jc w:val="center"/>
              <w:ind w:right="247"/>
              <w:spacing w:after="0"/>
              <w:rPr>
                <w:sz w:val="20"/>
                <w:szCs w:val="20"/>
                <w:color w:val="auto"/>
              </w:rPr>
            </w:pPr>
            <w:r>
              <w:rPr>
                <w:rFonts w:ascii="Arial" w:cs="Arial" w:eastAsia="Arial" w:hAnsi="Arial"/>
                <w:sz w:val="13"/>
                <w:szCs w:val="13"/>
                <w:b w:val="1"/>
                <w:bCs w:val="1"/>
                <w:color w:val="auto"/>
                <w:w w:val="93"/>
              </w:rPr>
              <w:t>through</w:t>
            </w:r>
          </w:p>
        </w:tc>
        <w:tc>
          <w:tcPr>
            <w:tcW w:w="800" w:type="dxa"/>
            <w:vAlign w:val="bottom"/>
            <w:gridSpan w:val="2"/>
          </w:tcPr>
          <w:p>
            <w:pPr>
              <w:jc w:val="center"/>
              <w:ind w:right="205"/>
              <w:spacing w:after="0"/>
              <w:rPr>
                <w:sz w:val="20"/>
                <w:szCs w:val="20"/>
                <w:color w:val="auto"/>
              </w:rPr>
            </w:pPr>
            <w:r>
              <w:rPr>
                <w:rFonts w:ascii="Arial" w:cs="Arial" w:eastAsia="Arial" w:hAnsi="Arial"/>
                <w:sz w:val="13"/>
                <w:szCs w:val="13"/>
                <w:b w:val="1"/>
                <w:bCs w:val="1"/>
                <w:color w:val="auto"/>
                <w:w w:val="94"/>
              </w:rPr>
              <w:t>Decemb</w:t>
            </w:r>
          </w:p>
        </w:tc>
        <w:tc>
          <w:tcPr>
            <w:tcW w:w="14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Ended</w:t>
            </w:r>
          </w:p>
        </w:tc>
      </w:tr>
      <w:tr>
        <w:trPr>
          <w:trHeight w:val="175"/>
        </w:trPr>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264"/>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265"/>
              <w:spacing w:after="0"/>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5"/>
                <w:szCs w:val="15"/>
                <w:color w:val="auto"/>
              </w:rPr>
            </w:pPr>
          </w:p>
        </w:tc>
        <w:tc>
          <w:tcPr>
            <w:tcW w:w="1340" w:type="dxa"/>
            <w:vAlign w:val="bottom"/>
            <w:tcBorders>
              <w:right w:val="single" w:sz="8" w:color="auto"/>
            </w:tcBorders>
          </w:tcPr>
          <w:p>
            <w:pPr>
              <w:jc w:val="center"/>
              <w:ind w:right="267"/>
              <w:spacing w:after="0"/>
              <w:rPr>
                <w:sz w:val="20"/>
                <w:szCs w:val="20"/>
                <w:color w:val="auto"/>
              </w:rPr>
            </w:pPr>
            <w:r>
              <w:rPr>
                <w:rFonts w:ascii="Arial" w:cs="Arial" w:eastAsia="Arial" w:hAnsi="Arial"/>
                <w:sz w:val="13"/>
                <w:szCs w:val="13"/>
                <w:b w:val="1"/>
                <w:bCs w:val="1"/>
                <w:color w:val="auto"/>
                <w:w w:val="94"/>
              </w:rPr>
              <w:t>December 31,</w:t>
            </w:r>
          </w:p>
        </w:tc>
        <w:tc>
          <w:tcPr>
            <w:tcW w:w="200" w:type="dxa"/>
            <w:vAlign w:val="bottom"/>
          </w:tcPr>
          <w:p>
            <w:pPr>
              <w:spacing w:after="0"/>
              <w:rPr>
                <w:sz w:val="15"/>
                <w:szCs w:val="15"/>
                <w:color w:val="auto"/>
              </w:rPr>
            </w:pPr>
          </w:p>
        </w:tc>
        <w:tc>
          <w:tcPr>
            <w:tcW w:w="1180" w:type="dxa"/>
            <w:vAlign w:val="bottom"/>
          </w:tcPr>
          <w:p>
            <w:pPr>
              <w:jc w:val="center"/>
              <w:ind w:right="227"/>
              <w:spacing w:after="0"/>
              <w:rPr>
                <w:sz w:val="20"/>
                <w:szCs w:val="20"/>
                <w:color w:val="auto"/>
              </w:rPr>
            </w:pPr>
            <w:r>
              <w:rPr>
                <w:rFonts w:ascii="Arial" w:cs="Arial" w:eastAsia="Arial" w:hAnsi="Arial"/>
                <w:sz w:val="13"/>
                <w:szCs w:val="13"/>
                <w:b w:val="1"/>
                <w:bCs w:val="1"/>
                <w:color w:val="auto"/>
                <w:w w:val="94"/>
              </w:rPr>
              <w:t>January 31,</w:t>
            </w:r>
          </w:p>
        </w:tc>
        <w:tc>
          <w:tcPr>
            <w:tcW w:w="100" w:type="dxa"/>
            <w:vAlign w:val="bottom"/>
          </w:tcPr>
          <w:p>
            <w:pPr>
              <w:spacing w:after="0"/>
              <w:rPr>
                <w:sz w:val="15"/>
                <w:szCs w:val="15"/>
                <w:color w:val="auto"/>
              </w:rPr>
            </w:pPr>
          </w:p>
        </w:tc>
        <w:tc>
          <w:tcPr>
            <w:tcW w:w="700" w:type="dxa"/>
            <w:vAlign w:val="bottom"/>
          </w:tcPr>
          <w:p>
            <w:pPr>
              <w:jc w:val="center"/>
              <w:ind w:right="305"/>
              <w:spacing w:after="0"/>
              <w:rPr>
                <w:sz w:val="20"/>
                <w:szCs w:val="20"/>
                <w:color w:val="auto"/>
              </w:rPr>
            </w:pPr>
            <w:r>
              <w:rPr>
                <w:rFonts w:ascii="Arial" w:cs="Arial" w:eastAsia="Arial" w:hAnsi="Arial"/>
                <w:sz w:val="13"/>
                <w:szCs w:val="13"/>
                <w:b w:val="1"/>
                <w:bCs w:val="1"/>
                <w:color w:val="auto"/>
                <w:w w:val="94"/>
              </w:rPr>
              <w:t>er 31,</w:t>
            </w:r>
          </w:p>
        </w:tc>
        <w:tc>
          <w:tcPr>
            <w:tcW w:w="14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December 31,</w:t>
            </w:r>
          </w:p>
        </w:tc>
      </w:tr>
      <w:tr>
        <w:trPr>
          <w:trHeight w:val="175"/>
        </w:trPr>
        <w:tc>
          <w:tcPr>
            <w:tcW w:w="29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64"/>
              <w:spacing w:after="0"/>
              <w:rPr>
                <w:sz w:val="20"/>
                <w:szCs w:val="20"/>
                <w:color w:val="auto"/>
              </w:rPr>
            </w:pPr>
            <w:r>
              <w:rPr>
                <w:rFonts w:ascii="Arial" w:cs="Arial" w:eastAsia="Arial" w:hAnsi="Arial"/>
                <w:sz w:val="13"/>
                <w:szCs w:val="13"/>
                <w:b w:val="1"/>
                <w:bCs w:val="1"/>
                <w:color w:val="auto"/>
                <w:w w:val="89"/>
              </w:rPr>
              <w:t>2022</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65"/>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67"/>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2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05"/>
              <w:spacing w:after="0"/>
              <w:rPr>
                <w:sz w:val="20"/>
                <w:szCs w:val="20"/>
                <w:color w:val="auto"/>
              </w:rPr>
            </w:pPr>
            <w:r>
              <w:rPr>
                <w:rFonts w:ascii="Arial" w:cs="Arial" w:eastAsia="Arial" w:hAnsi="Arial"/>
                <w:sz w:val="13"/>
                <w:szCs w:val="13"/>
                <w:b w:val="1"/>
                <w:bCs w:val="1"/>
                <w:color w:val="auto"/>
                <w:w w:val="96"/>
              </w:rPr>
              <w:t>2020</w:t>
            </w:r>
          </w:p>
        </w:tc>
        <w:tc>
          <w:tcPr>
            <w:tcW w:w="134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5"/>
                <w:szCs w:val="15"/>
                <w:color w:val="auto"/>
              </w:rPr>
            </w:pPr>
          </w:p>
        </w:tc>
      </w:tr>
      <w:tr>
        <w:trPr>
          <w:trHeight w:val="223"/>
        </w:trPr>
        <w:tc>
          <w:tcPr>
            <w:tcW w:w="298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Adjusted EBITDA</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ind w:right="64"/>
              <w:spacing w:after="0"/>
              <w:rPr>
                <w:sz w:val="20"/>
                <w:szCs w:val="20"/>
                <w:color w:val="auto"/>
              </w:rPr>
            </w:pPr>
            <w:r>
              <w:rPr>
                <w:rFonts w:ascii="Arial" w:cs="Arial" w:eastAsia="Arial" w:hAnsi="Arial"/>
                <w:sz w:val="17"/>
                <w:szCs w:val="17"/>
                <w:color w:val="auto"/>
              </w:rPr>
              <w:t>248,910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226,294</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tcBorders>
              <w:right w:val="single" w:sz="8" w:color="CFF0FC"/>
            </w:tcBorders>
            <w:shd w:val="clear" w:color="auto" w:fill="CFF0FC"/>
          </w:tcPr>
          <w:p>
            <w:pPr>
              <w:jc w:val="right"/>
              <w:ind w:right="67"/>
              <w:spacing w:after="0"/>
              <w:rPr>
                <w:sz w:val="20"/>
                <w:szCs w:val="20"/>
                <w:color w:val="auto"/>
              </w:rPr>
            </w:pPr>
            <w:r>
              <w:rPr>
                <w:rFonts w:ascii="Arial" w:cs="Arial" w:eastAsia="Arial" w:hAnsi="Arial"/>
                <w:sz w:val="17"/>
                <w:szCs w:val="17"/>
                <w:color w:val="auto"/>
              </w:rPr>
              <w:t>139,776</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ind w:right="47"/>
              <w:spacing w:after="0"/>
              <w:rPr>
                <w:sz w:val="20"/>
                <w:szCs w:val="20"/>
                <w:color w:val="auto"/>
              </w:rPr>
            </w:pPr>
            <w:r>
              <w:rPr>
                <w:rFonts w:ascii="Arial" w:cs="Arial" w:eastAsia="Arial" w:hAnsi="Arial"/>
                <w:sz w:val="17"/>
                <w:szCs w:val="17"/>
                <w:color w:val="auto"/>
              </w:rPr>
              <w:t>7,022</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w:t>
            </w:r>
          </w:p>
        </w:tc>
        <w:tc>
          <w:tcPr>
            <w:tcW w:w="134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rPr>
              <w:t>146,798</w:t>
            </w:r>
          </w:p>
        </w:tc>
        <w:tc>
          <w:tcPr>
            <w:tcW w:w="80" w:type="dxa"/>
            <w:vAlign w:val="bottom"/>
          </w:tcPr>
          <w:p>
            <w:pPr>
              <w:spacing w:after="0"/>
              <w:rPr>
                <w:sz w:val="19"/>
                <w:szCs w:val="19"/>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7"/>
                <w:szCs w:val="17"/>
                <w:color w:val="auto"/>
              </w:rPr>
              <w:t>810,023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65"/>
              <w:spacing w:after="0"/>
              <w:rPr>
                <w:sz w:val="20"/>
                <w:szCs w:val="20"/>
                <w:color w:val="auto"/>
              </w:rPr>
            </w:pPr>
            <w:r>
              <w:rPr>
                <w:rFonts w:ascii="Arial" w:cs="Arial" w:eastAsia="Arial" w:hAnsi="Arial"/>
                <w:sz w:val="17"/>
                <w:szCs w:val="17"/>
                <w:color w:val="auto"/>
              </w:rPr>
              <w:t>712,295</w:t>
            </w:r>
          </w:p>
        </w:tc>
        <w:tc>
          <w:tcPr>
            <w:tcW w:w="220" w:type="dxa"/>
            <w:vAlign w:val="bottom"/>
          </w:tcPr>
          <w:p>
            <w:pPr>
              <w:spacing w:after="0"/>
              <w:rPr>
                <w:sz w:val="18"/>
                <w:szCs w:val="18"/>
                <w:color w:val="auto"/>
              </w:rPr>
            </w:pPr>
          </w:p>
        </w:tc>
        <w:tc>
          <w:tcPr>
            <w:tcW w:w="1340" w:type="dxa"/>
            <w:vAlign w:val="bottom"/>
          </w:tcPr>
          <w:p>
            <w:pPr>
              <w:jc w:val="right"/>
              <w:ind w:right="67"/>
              <w:spacing w:after="0"/>
              <w:rPr>
                <w:sz w:val="20"/>
                <w:szCs w:val="20"/>
                <w:color w:val="auto"/>
              </w:rPr>
            </w:pPr>
            <w:r>
              <w:rPr>
                <w:rFonts w:ascii="Arial" w:cs="Arial" w:eastAsia="Arial" w:hAnsi="Arial"/>
                <w:sz w:val="17"/>
                <w:szCs w:val="17"/>
                <w:color w:val="auto"/>
              </w:rPr>
              <w:t>472,369</w:t>
            </w:r>
          </w:p>
        </w:tc>
        <w:tc>
          <w:tcPr>
            <w:tcW w:w="200" w:type="dxa"/>
            <w:vAlign w:val="bottom"/>
          </w:tcPr>
          <w:p>
            <w:pPr>
              <w:spacing w:after="0"/>
              <w:rPr>
                <w:sz w:val="18"/>
                <w:szCs w:val="18"/>
                <w:color w:val="auto"/>
              </w:rPr>
            </w:pPr>
          </w:p>
        </w:tc>
        <w:tc>
          <w:tcPr>
            <w:tcW w:w="1180" w:type="dxa"/>
            <w:vAlign w:val="bottom"/>
          </w:tcPr>
          <w:p>
            <w:pPr>
              <w:jc w:val="right"/>
              <w:ind w:right="47"/>
              <w:spacing w:after="0"/>
              <w:rPr>
                <w:sz w:val="20"/>
                <w:szCs w:val="20"/>
                <w:color w:val="auto"/>
              </w:rPr>
            </w:pPr>
            <w:r>
              <w:rPr>
                <w:rFonts w:ascii="Arial" w:cs="Arial" w:eastAsia="Arial" w:hAnsi="Arial"/>
                <w:sz w:val="17"/>
                <w:szCs w:val="17"/>
                <w:color w:val="auto"/>
              </w:rPr>
              <w:t>36,785</w:t>
            </w:r>
          </w:p>
        </w:tc>
        <w:tc>
          <w:tcPr>
            <w:tcW w:w="1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6"/>
              <w:spacing w:after="0"/>
              <w:rPr>
                <w:sz w:val="20"/>
                <w:szCs w:val="20"/>
                <w:color w:val="auto"/>
              </w:rPr>
            </w:pPr>
            <w:r>
              <w:rPr>
                <w:rFonts w:ascii="Arial" w:cs="Arial" w:eastAsia="Arial" w:hAnsi="Arial"/>
                <w:sz w:val="17"/>
                <w:szCs w:val="17"/>
                <w:color w:val="auto"/>
              </w:rPr>
              <w:t>509,154</w:t>
            </w:r>
          </w:p>
        </w:tc>
        <w:tc>
          <w:tcPr>
            <w:tcW w:w="80" w:type="dxa"/>
            <w:vAlign w:val="bottom"/>
          </w:tcPr>
          <w:p>
            <w:pPr>
              <w:spacing w:after="0"/>
              <w:rPr>
                <w:sz w:val="18"/>
                <w:szCs w:val="18"/>
                <w:color w:val="auto"/>
              </w:rPr>
            </w:pPr>
          </w:p>
        </w:tc>
      </w:tr>
      <w:tr>
        <w:trPr>
          <w:trHeight w:val="225"/>
        </w:trPr>
        <w:tc>
          <w:tcPr>
            <w:tcW w:w="2980" w:type="dxa"/>
            <w:vAlign w:val="bottom"/>
          </w:tcPr>
          <w:p>
            <w:pPr>
              <w:ind w:left="20"/>
              <w:spacing w:after="0"/>
              <w:rPr>
                <w:sz w:val="20"/>
                <w:szCs w:val="20"/>
                <w:color w:val="auto"/>
              </w:rPr>
            </w:pPr>
            <w:r>
              <w:rPr>
                <w:rFonts w:ascii="Arial" w:cs="Arial" w:eastAsia="Arial" w:hAnsi="Arial"/>
                <w:sz w:val="17"/>
                <w:szCs w:val="17"/>
                <w:b w:val="1"/>
                <w:bCs w:val="1"/>
                <w:color w:val="auto"/>
              </w:rPr>
              <w:t>Adjusted EBITDA Margin</w:t>
            </w:r>
          </w:p>
        </w:tc>
        <w:tc>
          <w:tcPr>
            <w:tcW w:w="220" w:type="dxa"/>
            <w:vAlign w:val="bottom"/>
          </w:tcPr>
          <w:p>
            <w:pPr>
              <w:spacing w:after="0"/>
              <w:rPr>
                <w:sz w:val="19"/>
                <w:szCs w:val="19"/>
                <w:color w:val="auto"/>
              </w:rPr>
            </w:pPr>
          </w:p>
        </w:tc>
        <w:tc>
          <w:tcPr>
            <w:tcW w:w="1580" w:type="dxa"/>
            <w:vAlign w:val="bottom"/>
            <w:gridSpan w:val="3"/>
          </w:tcPr>
          <w:p>
            <w:pPr>
              <w:jc w:val="right"/>
              <w:ind w:right="75"/>
              <w:spacing w:after="0"/>
              <w:rPr>
                <w:sz w:val="20"/>
                <w:szCs w:val="20"/>
                <w:color w:val="auto"/>
              </w:rPr>
            </w:pPr>
            <w:r>
              <w:rPr>
                <w:rFonts w:ascii="Arial" w:cs="Arial" w:eastAsia="Arial" w:hAnsi="Arial"/>
                <w:sz w:val="17"/>
                <w:szCs w:val="17"/>
                <w:b w:val="1"/>
                <w:bCs w:val="1"/>
                <w:color w:val="auto"/>
              </w:rPr>
              <w:t>30.7 %</w:t>
            </w:r>
          </w:p>
        </w:tc>
        <w:tc>
          <w:tcPr>
            <w:tcW w:w="160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31.8 %</w:t>
            </w:r>
          </w:p>
        </w:tc>
        <w:tc>
          <w:tcPr>
            <w:tcW w:w="154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29.6 %</w:t>
            </w:r>
          </w:p>
        </w:tc>
        <w:tc>
          <w:tcPr>
            <w:tcW w:w="1280" w:type="dxa"/>
            <w:vAlign w:val="bottom"/>
            <w:gridSpan w:val="2"/>
          </w:tcPr>
          <w:p>
            <w:pPr>
              <w:jc w:val="right"/>
              <w:spacing w:after="0"/>
              <w:rPr>
                <w:sz w:val="20"/>
                <w:szCs w:val="20"/>
                <w:color w:val="auto"/>
              </w:rPr>
            </w:pPr>
            <w:r>
              <w:rPr>
                <w:rFonts w:ascii="Arial" w:cs="Arial" w:eastAsia="Arial" w:hAnsi="Arial"/>
                <w:sz w:val="17"/>
                <w:szCs w:val="17"/>
                <w:b w:val="1"/>
                <w:bCs w:val="1"/>
                <w:color w:val="auto"/>
              </w:rPr>
              <w:t>19.1 %</w:t>
            </w:r>
          </w:p>
        </w:tc>
        <w:tc>
          <w:tcPr>
            <w:tcW w:w="700" w:type="dxa"/>
            <w:vAlign w:val="bottom"/>
          </w:tcPr>
          <w:p>
            <w:pPr>
              <w:ind w:left="2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spacing w:after="0"/>
              <w:rPr>
                <w:sz w:val="20"/>
                <w:szCs w:val="20"/>
                <w:color w:val="auto"/>
              </w:rPr>
            </w:pPr>
            <w:r>
              <w:rPr>
                <w:rFonts w:ascii="Arial" w:cs="Arial" w:eastAsia="Arial" w:hAnsi="Arial"/>
                <w:sz w:val="17"/>
                <w:szCs w:val="17"/>
                <w:b w:val="1"/>
                <w:bCs w:val="1"/>
                <w:color w:val="auto"/>
              </w:rPr>
              <w:t>28.8 %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5702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570230"/>
                    </a:xfrm>
                    <a:prstGeom prst="rect">
                      <a:avLst/>
                    </a:prstGeom>
                    <a:noFill/>
                  </pic:spPr>
                </pic:pic>
              </a:graphicData>
            </a:graphic>
          </wp:anchor>
        </w:drawing>
      </w:r>
    </w:p>
    <w:p>
      <w:pPr>
        <w:spacing w:after="0" w:line="19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41" w:right="259" w:bottom="1440" w:gutter="0" w:footer="0" w:header="0"/>
        </w:sectPr>
      </w:pPr>
    </w:p>
    <w:bookmarkStart w:id="61" w:name="page62"/>
    <w:bookmarkEnd w:id="61"/>
    <w:p>
      <w:pPr>
        <w:ind w:right="740"/>
        <w:spacing w:after="0" w:line="342" w:lineRule="auto"/>
        <w:rPr>
          <w:sz w:val="20"/>
          <w:szCs w:val="20"/>
          <w:color w:val="auto"/>
        </w:rPr>
      </w:pPr>
      <w:r>
        <w:rPr>
          <w:rFonts w:ascii="Arial" w:cs="Arial" w:eastAsia="Arial" w:hAnsi="Arial"/>
          <w:sz w:val="16"/>
          <w:szCs w:val="16"/>
          <w:color w:val="auto"/>
        </w:rPr>
        <w:t>The following table presents a calculation of Adjusted EBITDA Margin by segment for the periods presented. Refer to Note 17 to the consolidated financial statements included elsewhere in this Annual Report for a reconciliation of Adjusted EBITDA for the periods presented by segment.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3"/>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gridSpan w:val="2"/>
          </w:tcPr>
          <w:p>
            <w:pPr>
              <w:jc w:val="center"/>
              <w:ind w:right="10"/>
              <w:spacing w:after="0" w:line="143" w:lineRule="exact"/>
              <w:rPr>
                <w:sz w:val="20"/>
                <w:szCs w:val="20"/>
                <w:color w:val="auto"/>
              </w:rPr>
            </w:pPr>
            <w:r>
              <w:rPr>
                <w:rFonts w:ascii="Arial" w:cs="Arial" w:eastAsia="Arial" w:hAnsi="Arial"/>
                <w:sz w:val="13"/>
                <w:szCs w:val="13"/>
                <w:b w:val="1"/>
                <w:bCs w:val="1"/>
                <w:color w:val="auto"/>
                <w:w w:val="92"/>
              </w:rPr>
              <w:t>Pro</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Forma</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Adjust</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rPr>
              <w:t>ments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right w:val="single" w:sz="8" w:color="auto"/>
            </w:tcBorders>
          </w:tcPr>
          <w:p>
            <w:pPr>
              <w:jc w:val="center"/>
              <w:ind w:right="278"/>
              <w:spacing w:after="0"/>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9"/>
              <w:spacing w:after="0"/>
              <w:rPr>
                <w:sz w:val="20"/>
                <w:szCs w:val="20"/>
                <w:color w:val="auto"/>
              </w:rPr>
            </w:pPr>
            <w:r>
              <w:rPr>
                <w:rFonts w:ascii="Arial" w:cs="Arial" w:eastAsia="Arial" w:hAnsi="Arial"/>
                <w:sz w:val="13"/>
                <w:szCs w:val="13"/>
                <w:b w:val="1"/>
                <w:bCs w:val="1"/>
                <w:color w:val="auto"/>
                <w:w w:val="95"/>
              </w:rPr>
              <w:t>Period from</w:t>
            </w: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for the</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right w:val="single" w:sz="8" w:color="auto"/>
            </w:tcBorders>
          </w:tcPr>
          <w:p>
            <w:pPr>
              <w:jc w:val="center"/>
              <w:ind w:right="298"/>
              <w:spacing w:after="0"/>
              <w:rPr>
                <w:sz w:val="20"/>
                <w:szCs w:val="20"/>
                <w:color w:val="auto"/>
              </w:rPr>
            </w:pPr>
            <w:r>
              <w:rPr>
                <w:rFonts w:ascii="Arial" w:cs="Arial" w:eastAsia="Arial" w:hAnsi="Arial"/>
                <w:sz w:val="13"/>
                <w:szCs w:val="13"/>
                <w:b w:val="1"/>
                <w:bCs w:val="1"/>
                <w:color w:val="auto"/>
                <w:w w:val="96"/>
              </w:rPr>
              <w:t>February 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19"/>
              <w:spacing w:after="0"/>
              <w:rPr>
                <w:sz w:val="20"/>
                <w:szCs w:val="20"/>
                <w:color w:val="auto"/>
              </w:rPr>
            </w:pPr>
            <w:r>
              <w:rPr>
                <w:rFonts w:ascii="Arial" w:cs="Arial" w:eastAsia="Arial" w:hAnsi="Arial"/>
                <w:sz w:val="13"/>
                <w:szCs w:val="13"/>
                <w:b w:val="1"/>
                <w:bCs w:val="1"/>
                <w:color w:val="auto"/>
                <w:w w:val="93"/>
              </w:rPr>
              <w:t>January 1,</w:t>
            </w: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Year</w:t>
            </w:r>
          </w:p>
        </w:tc>
        <w:tc>
          <w:tcPr>
            <w:tcW w:w="240" w:type="dxa"/>
            <w:vAlign w:val="bottom"/>
          </w:tcPr>
          <w:p>
            <w:pPr>
              <w:spacing w:after="0"/>
              <w:rPr>
                <w:sz w:val="12"/>
                <w:szCs w:val="12"/>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Pro Forma</w:t>
            </w:r>
          </w:p>
        </w:tc>
      </w:tr>
      <w:tr>
        <w:trPr>
          <w:trHeight w:val="148"/>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right w:val="single" w:sz="8" w:color="auto"/>
            </w:tcBorders>
          </w:tcPr>
          <w:p>
            <w:pPr>
              <w:jc w:val="center"/>
              <w:ind w:right="318"/>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59"/>
              <w:spacing w:after="0"/>
              <w:rPr>
                <w:sz w:val="20"/>
                <w:szCs w:val="20"/>
                <w:color w:val="auto"/>
              </w:rPr>
            </w:pPr>
            <w:r>
              <w:rPr>
                <w:rFonts w:ascii="Arial" w:cs="Arial" w:eastAsia="Arial" w:hAnsi="Arial"/>
                <w:sz w:val="13"/>
                <w:szCs w:val="13"/>
                <w:b w:val="1"/>
                <w:bCs w:val="1"/>
                <w:color w:val="auto"/>
                <w:w w:val="96"/>
              </w:rPr>
              <w:t>2020</w:t>
            </w: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Ended</w:t>
            </w:r>
          </w:p>
        </w:tc>
        <w:tc>
          <w:tcPr>
            <w:tcW w:w="240" w:type="dxa"/>
            <w:vAlign w:val="bottom"/>
          </w:tcPr>
          <w:p>
            <w:pPr>
              <w:spacing w:after="0"/>
              <w:rPr>
                <w:sz w:val="12"/>
                <w:szCs w:val="12"/>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295"/>
              <w:spacing w:after="0"/>
              <w:rPr>
                <w:sz w:val="20"/>
                <w:szCs w:val="20"/>
                <w:color w:val="auto"/>
              </w:rPr>
            </w:pPr>
            <w:r>
              <w:rPr>
                <w:rFonts w:ascii="Arial" w:cs="Arial" w:eastAsia="Arial" w:hAnsi="Arial"/>
                <w:sz w:val="13"/>
                <w:szCs w:val="13"/>
                <w:b w:val="1"/>
                <w:bCs w:val="1"/>
                <w:color w:val="auto"/>
                <w:w w:val="95"/>
              </w:rPr>
              <w:t>Year Ended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296"/>
              <w:spacing w:after="0"/>
              <w:rPr>
                <w:sz w:val="20"/>
                <w:szCs w:val="20"/>
                <w:color w:val="auto"/>
              </w:rPr>
            </w:pPr>
            <w:r>
              <w:rPr>
                <w:rFonts w:ascii="Arial" w:cs="Arial" w:eastAsia="Arial" w:hAnsi="Arial"/>
                <w:sz w:val="13"/>
                <w:szCs w:val="13"/>
                <w:b w:val="1"/>
                <w:bCs w:val="1"/>
                <w:color w:val="auto"/>
                <w:w w:val="95"/>
              </w:rPr>
              <w:t>Year Ended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right w:val="single" w:sz="8" w:color="auto"/>
            </w:tcBorders>
          </w:tcPr>
          <w:p>
            <w:pPr>
              <w:jc w:val="center"/>
              <w:ind w:right="318"/>
              <w:spacing w:after="0"/>
              <w:rPr>
                <w:sz w:val="20"/>
                <w:szCs w:val="20"/>
                <w:color w:val="auto"/>
              </w:rPr>
            </w:pPr>
            <w:r>
              <w:rPr>
                <w:rFonts w:ascii="Arial" w:cs="Arial" w:eastAsia="Arial" w:hAnsi="Arial"/>
                <w:sz w:val="13"/>
                <w:szCs w:val="13"/>
                <w:b w:val="1"/>
                <w:bCs w:val="1"/>
                <w:color w:val="auto"/>
                <w:w w:val="93"/>
              </w:rPr>
              <w:t>through</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239"/>
              <w:spacing w:after="0"/>
              <w:rPr>
                <w:sz w:val="20"/>
                <w:szCs w:val="20"/>
                <w:color w:val="auto"/>
              </w:rPr>
            </w:pPr>
            <w:r>
              <w:rPr>
                <w:rFonts w:ascii="Arial" w:cs="Arial" w:eastAsia="Arial" w:hAnsi="Arial"/>
                <w:sz w:val="13"/>
                <w:szCs w:val="13"/>
                <w:b w:val="1"/>
                <w:bCs w:val="1"/>
                <w:color w:val="auto"/>
                <w:w w:val="93"/>
              </w:rPr>
              <w:t>through</w:t>
            </w: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w:t>
            </w:r>
          </w:p>
        </w:tc>
        <w:tc>
          <w:tcPr>
            <w:tcW w:w="240" w:type="dxa"/>
            <w:vAlign w:val="bottom"/>
          </w:tcPr>
          <w:p>
            <w:pPr>
              <w:spacing w:after="0"/>
              <w:rPr>
                <w:sz w:val="12"/>
                <w:szCs w:val="12"/>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Ended</w:t>
            </w:r>
          </w:p>
        </w:tc>
      </w:tr>
      <w:tr>
        <w:trPr>
          <w:trHeight w:val="175"/>
        </w:trPr>
        <w:tc>
          <w:tcPr>
            <w:tcW w:w="2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255"/>
              <w:spacing w:after="0"/>
              <w:rPr>
                <w:sz w:val="20"/>
                <w:szCs w:val="20"/>
                <w:color w:val="auto"/>
              </w:rPr>
            </w:pPr>
            <w:r>
              <w:rPr>
                <w:rFonts w:ascii="Arial" w:cs="Arial" w:eastAsia="Arial" w:hAnsi="Arial"/>
                <w:sz w:val="13"/>
                <w:szCs w:val="13"/>
                <w:b w:val="1"/>
                <w:bCs w:val="1"/>
                <w:color w:val="auto"/>
                <w:w w:val="94"/>
              </w:rPr>
              <w:t>December 31,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276"/>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right w:val="single" w:sz="8" w:color="auto"/>
            </w:tcBorders>
          </w:tcPr>
          <w:p>
            <w:pPr>
              <w:jc w:val="center"/>
              <w:ind w:right="278"/>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219"/>
              <w:spacing w:after="0"/>
              <w:rPr>
                <w:sz w:val="20"/>
                <w:szCs w:val="20"/>
                <w:color w:val="auto"/>
              </w:rPr>
            </w:pPr>
            <w:r>
              <w:rPr>
                <w:rFonts w:ascii="Arial" w:cs="Arial" w:eastAsia="Arial" w:hAnsi="Arial"/>
                <w:sz w:val="13"/>
                <w:szCs w:val="13"/>
                <w:b w:val="1"/>
                <w:bCs w:val="1"/>
                <w:color w:val="auto"/>
                <w:w w:val="94"/>
              </w:rPr>
              <w:t>January 31,</w:t>
            </w: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ber 31,</w:t>
            </w:r>
          </w:p>
        </w:tc>
        <w:tc>
          <w:tcPr>
            <w:tcW w:w="24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December 31,</w:t>
            </w:r>
          </w:p>
        </w:tc>
      </w:tr>
      <w:tr>
        <w:trPr>
          <w:trHeight w:val="176"/>
        </w:trPr>
        <w:tc>
          <w:tcPr>
            <w:tcW w:w="26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6"/>
              </w:rPr>
              <w:t>2022</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76"/>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78"/>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19"/>
              <w:spacing w:after="0"/>
              <w:rPr>
                <w:sz w:val="20"/>
                <w:szCs w:val="20"/>
                <w:color w:val="auto"/>
              </w:rPr>
            </w:pPr>
            <w:r>
              <w:rPr>
                <w:rFonts w:ascii="Arial" w:cs="Arial" w:eastAsia="Arial" w:hAnsi="Arial"/>
                <w:sz w:val="13"/>
                <w:szCs w:val="13"/>
                <w:b w:val="1"/>
                <w:bCs w:val="1"/>
                <w:color w:val="auto"/>
                <w:w w:val="96"/>
              </w:rPr>
              <w:t>2020</w:t>
            </w: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2020</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5"/>
                <w:szCs w:val="15"/>
                <w:color w:val="auto"/>
              </w:rPr>
            </w:pPr>
          </w:p>
        </w:tc>
      </w:tr>
      <w:tr>
        <w:trPr>
          <w:trHeight w:val="237"/>
        </w:trPr>
        <w:tc>
          <w:tcPr>
            <w:tcW w:w="26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tcBorders>
              <w:right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66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221,655</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198,473</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tcPr>
          <w:p>
            <w:pPr>
              <w:jc w:val="right"/>
              <w:ind w:right="58"/>
              <w:spacing w:after="0"/>
              <w:rPr>
                <w:sz w:val="20"/>
                <w:szCs w:val="20"/>
                <w:color w:val="auto"/>
              </w:rPr>
            </w:pPr>
            <w:r>
              <w:rPr>
                <w:rFonts w:ascii="Arial" w:cs="Arial" w:eastAsia="Arial" w:hAnsi="Arial"/>
                <w:sz w:val="18"/>
                <w:szCs w:val="18"/>
                <w:color w:val="auto"/>
              </w:rPr>
              <w:t>135,037</w:t>
            </w: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6,736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141,773</w:t>
            </w:r>
          </w:p>
        </w:tc>
        <w:tc>
          <w:tcPr>
            <w:tcW w:w="80" w:type="dxa"/>
            <w:vAlign w:val="bottom"/>
          </w:tcPr>
          <w:p>
            <w:pPr>
              <w:spacing w:after="0"/>
              <w:rPr>
                <w:sz w:val="21"/>
                <w:szCs w:val="21"/>
                <w:color w:val="auto"/>
              </w:rPr>
            </w:pPr>
          </w:p>
        </w:tc>
      </w:tr>
      <w:tr>
        <w:trPr>
          <w:trHeight w:val="237"/>
        </w:trPr>
        <w:tc>
          <w:tcPr>
            <w:tcW w:w="2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27,255</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27,821</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right w:val="single" w:sz="8" w:color="CFF0FC"/>
            </w:tcBorders>
            <w:shd w:val="clear" w:color="auto" w:fill="CFF0FC"/>
          </w:tcPr>
          <w:p>
            <w:pPr>
              <w:jc w:val="right"/>
              <w:ind w:right="58"/>
              <w:spacing w:after="0"/>
              <w:rPr>
                <w:sz w:val="20"/>
                <w:szCs w:val="20"/>
                <w:color w:val="auto"/>
              </w:rPr>
            </w:pPr>
            <w:r>
              <w:rPr>
                <w:rFonts w:ascii="Arial" w:cs="Arial" w:eastAsia="Arial" w:hAnsi="Arial"/>
                <w:sz w:val="18"/>
                <w:szCs w:val="18"/>
                <w:color w:val="auto"/>
              </w:rPr>
              <w:t>4,739</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5,025</w:t>
            </w:r>
          </w:p>
        </w:tc>
        <w:tc>
          <w:tcPr>
            <w:tcW w:w="80" w:type="dxa"/>
            <w:vAlign w:val="bottom"/>
          </w:tcPr>
          <w:p>
            <w:pPr>
              <w:spacing w:after="0"/>
              <w:rPr>
                <w:sz w:val="20"/>
                <w:szCs w:val="20"/>
                <w:color w:val="auto"/>
              </w:rPr>
            </w:pPr>
          </w:p>
        </w:tc>
      </w:tr>
      <w:tr>
        <w:trPr>
          <w:trHeight w:val="238"/>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248,910</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226,294</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139,776</w:t>
            </w: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7,022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146,798</w:t>
            </w:r>
          </w:p>
        </w:tc>
        <w:tc>
          <w:tcPr>
            <w:tcW w:w="80" w:type="dxa"/>
            <w:vAlign w:val="bottom"/>
          </w:tcPr>
          <w:p>
            <w:pPr>
              <w:spacing w:after="0"/>
              <w:rPr>
                <w:sz w:val="20"/>
                <w:szCs w:val="20"/>
                <w:color w:val="auto"/>
              </w:rPr>
            </w:pPr>
          </w:p>
        </w:tc>
      </w:tr>
      <w:tr>
        <w:trPr>
          <w:trHeight w:val="20"/>
        </w:trPr>
        <w:tc>
          <w:tcPr>
            <w:tcW w:w="2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tcBorders>
              <w:right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694,865</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604,413</w:t>
            </w:r>
          </w:p>
        </w:tc>
        <w:tc>
          <w:tcPr>
            <w:tcW w:w="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430,002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32,411</w:t>
            </w: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462,413</w:t>
            </w:r>
          </w:p>
        </w:tc>
        <w:tc>
          <w:tcPr>
            <w:tcW w:w="80" w:type="dxa"/>
            <w:vAlign w:val="bottom"/>
          </w:tcPr>
          <w:p>
            <w:pPr>
              <w:spacing w:after="0"/>
              <w:rPr>
                <w:sz w:val="21"/>
                <w:szCs w:val="21"/>
                <w:color w:val="auto"/>
              </w:rPr>
            </w:pPr>
          </w:p>
        </w:tc>
      </w:tr>
      <w:tr>
        <w:trPr>
          <w:trHeight w:val="243"/>
        </w:trPr>
        <w:tc>
          <w:tcPr>
            <w:tcW w:w="266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122,599</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114,009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Borders>
              <w:right w:val="single" w:sz="8" w:color="auto"/>
            </w:tcBorders>
          </w:tcPr>
          <w:p>
            <w:pPr>
              <w:jc w:val="right"/>
              <w:ind w:right="58"/>
              <w:spacing w:after="0"/>
              <w:rPr>
                <w:sz w:val="20"/>
                <w:szCs w:val="20"/>
                <w:color w:val="auto"/>
              </w:rPr>
            </w:pPr>
            <w:r>
              <w:rPr>
                <w:rFonts w:ascii="Arial" w:cs="Arial" w:eastAsia="Arial" w:hAnsi="Arial"/>
                <w:sz w:val="18"/>
                <w:szCs w:val="18"/>
                <w:color w:val="auto"/>
              </w:rPr>
              <w:t>45,818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4,665</w:t>
            </w:r>
          </w:p>
        </w:tc>
        <w:tc>
          <w:tcPr>
            <w:tcW w:w="18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50,483</w:t>
            </w:r>
          </w:p>
        </w:tc>
        <w:tc>
          <w:tcPr>
            <w:tcW w:w="80" w:type="dxa"/>
            <w:vAlign w:val="bottom"/>
          </w:tcPr>
          <w:p>
            <w:pPr>
              <w:spacing w:after="0"/>
              <w:rPr>
                <w:sz w:val="21"/>
                <w:szCs w:val="21"/>
                <w:color w:val="auto"/>
              </w:rPr>
            </w:pPr>
          </w:p>
        </w:tc>
      </w:tr>
      <w:tr>
        <w:trPr>
          <w:trHeight w:val="237"/>
        </w:trPr>
        <w:tc>
          <w:tcPr>
            <w:tcW w:w="2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9"/>
              </w:rPr>
              <w:t>Less: intersegment eliminations</w:t>
            </w: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(7,441 )</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(6,127 )</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(3,451 )</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(291 )</w:t>
            </w:r>
          </w:p>
        </w:tc>
        <w:tc>
          <w:tcPr>
            <w:tcW w:w="18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(3,742 )</w:t>
            </w:r>
          </w:p>
        </w:tc>
        <w:tc>
          <w:tcPr>
            <w:tcW w:w="80" w:type="dxa"/>
            <w:vAlign w:val="bottom"/>
          </w:tcPr>
          <w:p>
            <w:pPr>
              <w:spacing w:after="0"/>
              <w:rPr>
                <w:sz w:val="20"/>
                <w:szCs w:val="20"/>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810,023</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712,295</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472,369</w:t>
            </w: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36,785</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509,154</w:t>
            </w:r>
          </w:p>
        </w:tc>
        <w:tc>
          <w:tcPr>
            <w:tcW w:w="80" w:type="dxa"/>
            <w:vAlign w:val="bottom"/>
          </w:tcPr>
          <w:p>
            <w:pPr>
              <w:spacing w:after="0"/>
              <w:rPr>
                <w:sz w:val="20"/>
                <w:szCs w:val="20"/>
                <w:color w:val="auto"/>
              </w:rPr>
            </w:pPr>
          </w:p>
        </w:tc>
      </w:tr>
      <w:tr>
        <w:trPr>
          <w:trHeight w:val="20"/>
        </w:trPr>
        <w:tc>
          <w:tcPr>
            <w:tcW w:w="2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266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21"/>
                <w:szCs w:val="21"/>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31.9 %</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32.8 %</w:t>
            </w:r>
          </w:p>
        </w:tc>
        <w:tc>
          <w:tcPr>
            <w:tcW w:w="1420" w:type="dxa"/>
            <w:vAlign w:val="bottom"/>
          </w:tcPr>
          <w:p>
            <w:pPr>
              <w:jc w:val="right"/>
              <w:spacing w:after="0"/>
              <w:rPr>
                <w:sz w:val="20"/>
                <w:szCs w:val="20"/>
                <w:color w:val="auto"/>
              </w:rPr>
            </w:pPr>
            <w:r>
              <w:rPr>
                <w:rFonts w:ascii="Arial" w:cs="Arial" w:eastAsia="Arial" w:hAnsi="Arial"/>
                <w:sz w:val="18"/>
                <w:szCs w:val="18"/>
                <w:color w:val="auto"/>
              </w:rPr>
              <w:t>31.4 %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46"/>
              <w:spacing w:after="0"/>
              <w:rPr>
                <w:sz w:val="20"/>
                <w:szCs w:val="20"/>
                <w:color w:val="auto"/>
              </w:rPr>
            </w:pPr>
            <w:r>
              <w:rPr>
                <w:rFonts w:ascii="Arial" w:cs="Arial" w:eastAsia="Arial" w:hAnsi="Arial"/>
                <w:sz w:val="18"/>
                <w:szCs w:val="18"/>
                <w:color w:val="auto"/>
              </w:rPr>
              <w:t>20.8 %</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30.7 %</w:t>
            </w:r>
          </w:p>
        </w:tc>
      </w:tr>
      <w:tr>
        <w:trPr>
          <w:trHeight w:val="243"/>
        </w:trPr>
        <w:tc>
          <w:tcPr>
            <w:tcW w:w="266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22.2 %</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24.4 %</w:t>
            </w:r>
          </w:p>
        </w:tc>
        <w:tc>
          <w:tcPr>
            <w:tcW w:w="1420" w:type="dxa"/>
            <w:vAlign w:val="bottom"/>
          </w:tcPr>
          <w:p>
            <w:pPr>
              <w:jc w:val="right"/>
              <w:spacing w:after="0"/>
              <w:rPr>
                <w:sz w:val="20"/>
                <w:szCs w:val="20"/>
                <w:color w:val="auto"/>
              </w:rPr>
            </w:pPr>
            <w:r>
              <w:rPr>
                <w:rFonts w:ascii="Arial" w:cs="Arial" w:eastAsia="Arial" w:hAnsi="Arial"/>
                <w:sz w:val="18"/>
                <w:szCs w:val="18"/>
                <w:color w:val="auto"/>
              </w:rPr>
              <w:t>10.3 %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46"/>
              <w:spacing w:after="0"/>
              <w:rPr>
                <w:sz w:val="20"/>
                <w:szCs w:val="20"/>
                <w:color w:val="auto"/>
              </w:rPr>
            </w:pPr>
            <w:r>
              <w:rPr>
                <w:rFonts w:ascii="Arial" w:cs="Arial" w:eastAsia="Arial" w:hAnsi="Arial"/>
                <w:sz w:val="18"/>
                <w:szCs w:val="18"/>
                <w:color w:val="auto"/>
              </w:rPr>
              <w:t>6.1 %</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40" w:type="dxa"/>
            <w:vAlign w:val="bottom"/>
          </w:tcPr>
          <w:p>
            <w:pPr>
              <w:spacing w:after="0"/>
              <w:rPr>
                <w:sz w:val="21"/>
                <w:szCs w:val="21"/>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30.7 %</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31.8 %</w:t>
            </w:r>
          </w:p>
        </w:tc>
        <w:tc>
          <w:tcPr>
            <w:tcW w:w="16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29.6 %</w:t>
            </w:r>
          </w:p>
        </w:tc>
        <w:tc>
          <w:tcPr>
            <w:tcW w:w="140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19.1 %</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-2506980</wp:posOffset>
            </wp:positionV>
            <wp:extent cx="2292985"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92985" cy="14541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-2078355</wp:posOffset>
            </wp:positionV>
            <wp:extent cx="4389120" cy="368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891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-1118235</wp:posOffset>
            </wp:positionV>
            <wp:extent cx="7132320" cy="11271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127125"/>
                    </a:xfrm>
                    <a:prstGeom prst="rect">
                      <a:avLst/>
                    </a:prstGeom>
                    <a:noFill/>
                  </pic:spPr>
                </pic:pic>
              </a:graphicData>
            </a:graphic>
          </wp:anchor>
        </w:drawing>
      </w:r>
    </w:p>
    <w:p>
      <w:pPr>
        <w:spacing w:after="0" w:line="83" w:lineRule="exact"/>
        <w:rPr>
          <w:sz w:val="20"/>
          <w:szCs w:val="20"/>
          <w:color w:val="auto"/>
        </w:rPr>
      </w:pPr>
    </w:p>
    <w:p>
      <w:pPr>
        <w:ind w:left="520" w:right="400" w:hanging="512"/>
        <w:spacing w:after="0" w:line="236"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See the reconciliation of net income to Adjusted EBITDA above. Segment Adjusted EBITDA margins are calculated using segment gross revenues and segment Adjusted EBITDA. Consolidated Adjusted EBITDA margin is calculated using consolidated revenues and consolidated Adjusted EBITDA.</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03"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Adjusted Net Income was $156.5 million for the year ended December 31, 2022 (Successor), compared to $142.4 million for the year ended December 31, 2021 (Successor). Adjusted Net Income for the year ended December 31, 2022 (Successor) increased by $14.1 million, or 9.9%, compared to the year ended December 31, 2021 (Successor).</w:t>
      </w:r>
    </w:p>
    <w:p>
      <w:pPr>
        <w:spacing w:after="0" w:line="13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Adjusted Diluted Earnings Per Share was $1.03 for the year ended December 31, 2022 (Successor), compared to $1.01 for the year ended December 31, 2021 (Successor). Adjusted Diluted Earnings Per Share for the year ended December 31, 2022 (Successor) increased by $0.02, or 2.0%, compared to the year ended December 31, 2021 (Successor).</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Adjusted Net Income was $63.9 million for the period from February 1, 2020 through December 31, 2020 (Successor) and $1.4 million for the period from January 1, 2020 through January 31, 2020 (Predecessor). On a pro forma basis, Adjusted Net Income was $65.6 million for the twelve months ended December 31, 2020. Adjusted Net Income for the year ended December 31, 2021 (Successor) increased by $76.8 million, or 117.0%, compared to the twelve months ended December 31, 2020, on a pro forma basis.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Adjusted Diluted Earnings Per Share was $0.49 for the period from February 1, 2020 through December 31, 2020 (Successor) and $0.01 for the period from January 1, 2020 through January 31, 2020 (Predecessor). On a pro forma basis, Adjusted Diluted Earnings Per Share was $0.50 for the twelve months ended December 31, 2020. Adjusted Diluted Earnings Per Share for the year ended December 31, 2021 (Successor) increased by $0.51, or 102.0%, compared to the twelve months ended December 31, 2020, on a pro forma basis.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Adjusted Net Income and Adjusted Diluted Earnings Per Share were impacted by changes in acquisition-related depreciation and amortization and changes in our capital structure that are captured in interest expense across all periods, the impacts of which were offset by the factors contributing to Adjusted EBITDA growth year over year. The purchase accounting from the Silver Lake Transaction, prepayment of the Company’s Successor First Lien and Successor Second Lien debt, and gains or losses on the Company’s interest rate swaps impact the comparability of Adjusted Net Income and Adjusted Diluted Earnings Per Share across historical periods.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63" w:name="page64"/>
    <w:bookmarkEnd w:id="63"/>
    <w:p>
      <w:pPr>
        <w:jc w:val="both"/>
        <w:ind w:right="160"/>
        <w:spacing w:after="0" w:line="263" w:lineRule="auto"/>
        <w:rPr>
          <w:sz w:val="20"/>
          <w:szCs w:val="20"/>
          <w:color w:val="auto"/>
        </w:rPr>
      </w:pPr>
      <w:r>
        <w:rPr>
          <w:rFonts w:ascii="Arial" w:cs="Arial" w:eastAsia="Arial" w:hAnsi="Arial"/>
          <w:sz w:val="18"/>
          <w:szCs w:val="18"/>
          <w:color w:val="auto"/>
        </w:rPr>
        <w:t>The following tables present a reconciliation of Adjusted Net Income for the periods presented. For a discussion of pro forma adjustments, see “Notes to the Unaudited Supplemental Pro Forma Financial Information Presented in Management’s Discussion and Analysis of Financial Condition and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59"/>
              <w:spacing w:after="0"/>
              <w:rPr>
                <w:sz w:val="20"/>
                <w:szCs w:val="20"/>
                <w:color w:val="auto"/>
              </w:rPr>
            </w:pPr>
            <w:r>
              <w:rPr>
                <w:rFonts w:ascii="Arial" w:cs="Arial" w:eastAsia="Arial" w:hAnsi="Arial"/>
                <w:sz w:val="13"/>
                <w:szCs w:val="13"/>
                <w:b w:val="1"/>
                <w:bCs w:val="1"/>
                <w:color w:val="auto"/>
                <w:w w:val="85"/>
              </w:rPr>
              <w:t>Successor</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89"/>
              </w:rPr>
              <w:t>Predecessor</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43"/>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jc w:val="center"/>
              <w:ind w:right="201"/>
              <w:spacing w:after="0" w:line="143" w:lineRule="exact"/>
              <w:rPr>
                <w:sz w:val="20"/>
                <w:szCs w:val="20"/>
                <w:color w:val="auto"/>
              </w:rPr>
            </w:pPr>
            <w:r>
              <w:rPr>
                <w:rFonts w:ascii="Arial" w:cs="Arial" w:eastAsia="Arial" w:hAnsi="Arial"/>
                <w:sz w:val="13"/>
                <w:szCs w:val="13"/>
                <w:b w:val="1"/>
                <w:bCs w:val="1"/>
                <w:color w:val="auto"/>
                <w:w w:val="95"/>
              </w:rPr>
              <w:t>Period from</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82"/>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40" w:type="dxa"/>
            <w:vAlign w:val="bottom"/>
          </w:tcPr>
          <w:p>
            <w:pPr>
              <w:spacing w:after="0"/>
              <w:rPr>
                <w:sz w:val="12"/>
                <w:szCs w:val="12"/>
                <w:color w:val="auto"/>
              </w:rPr>
            </w:pPr>
          </w:p>
        </w:tc>
        <w:tc>
          <w:tcPr>
            <w:tcW w:w="1100" w:type="dxa"/>
            <w:vAlign w:val="bottom"/>
          </w:tcPr>
          <w:p>
            <w:pPr>
              <w:jc w:val="center"/>
              <w:ind w:right="201"/>
              <w:spacing w:after="0" w:line="143" w:lineRule="exact"/>
              <w:rPr>
                <w:sz w:val="20"/>
                <w:szCs w:val="20"/>
                <w:color w:val="auto"/>
              </w:rPr>
            </w:pPr>
            <w:r>
              <w:rPr>
                <w:rFonts w:ascii="Arial" w:cs="Arial" w:eastAsia="Arial" w:hAnsi="Arial"/>
                <w:sz w:val="13"/>
                <w:szCs w:val="13"/>
                <w:b w:val="1"/>
                <w:bCs w:val="1"/>
                <w:color w:val="auto"/>
                <w:w w:val="95"/>
              </w:rPr>
              <w:t>Pro Forma</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jc w:val="center"/>
              <w:ind w:right="221"/>
              <w:spacing w:after="0"/>
              <w:rPr>
                <w:sz w:val="20"/>
                <w:szCs w:val="20"/>
                <w:color w:val="auto"/>
              </w:rPr>
            </w:pPr>
            <w:r>
              <w:rPr>
                <w:rFonts w:ascii="Arial" w:cs="Arial" w:eastAsia="Arial" w:hAnsi="Arial"/>
                <w:sz w:val="13"/>
                <w:szCs w:val="13"/>
                <w:b w:val="1"/>
                <w:bCs w:val="1"/>
                <w:color w:val="auto"/>
                <w:w w:val="96"/>
              </w:rPr>
              <w:t>February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82"/>
              <w:spacing w:after="0"/>
              <w:rPr>
                <w:sz w:val="20"/>
                <w:szCs w:val="20"/>
                <w:color w:val="auto"/>
              </w:rPr>
            </w:pPr>
            <w:r>
              <w:rPr>
                <w:rFonts w:ascii="Arial" w:cs="Arial" w:eastAsia="Arial" w:hAnsi="Arial"/>
                <w:sz w:val="13"/>
                <w:szCs w:val="13"/>
                <w:b w:val="1"/>
                <w:bCs w:val="1"/>
                <w:color w:val="auto"/>
                <w:w w:val="96"/>
              </w:rPr>
              <w:t>January 1,</w:t>
            </w:r>
          </w:p>
        </w:tc>
        <w:tc>
          <w:tcPr>
            <w:tcW w:w="140" w:type="dxa"/>
            <w:vAlign w:val="bottom"/>
          </w:tcPr>
          <w:p>
            <w:pPr>
              <w:spacing w:after="0"/>
              <w:rPr>
                <w:sz w:val="12"/>
                <w:szCs w:val="12"/>
                <w:color w:val="auto"/>
              </w:rPr>
            </w:pPr>
          </w:p>
        </w:tc>
        <w:tc>
          <w:tcPr>
            <w:tcW w:w="1100" w:type="dxa"/>
            <w:vAlign w:val="bottom"/>
          </w:tcPr>
          <w:p>
            <w:pPr>
              <w:jc w:val="center"/>
              <w:ind w:right="201"/>
              <w:spacing w:after="0"/>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2"/>
                <w:szCs w:val="12"/>
                <w:color w:val="auto"/>
              </w:rPr>
            </w:pPr>
          </w:p>
        </w:tc>
        <w:tc>
          <w:tcPr>
            <w:tcW w:w="11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Pro Forma</w:t>
            </w:r>
          </w:p>
        </w:tc>
      </w:tr>
      <w:tr>
        <w:trPr>
          <w:trHeight w:val="148"/>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jc w:val="center"/>
              <w:ind w:right="241"/>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22"/>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2"/>
                <w:szCs w:val="12"/>
                <w:color w:val="auto"/>
              </w:rPr>
            </w:pPr>
          </w:p>
        </w:tc>
        <w:tc>
          <w:tcPr>
            <w:tcW w:w="1100" w:type="dxa"/>
            <w:vAlign w:val="bottom"/>
          </w:tcPr>
          <w:p>
            <w:pPr>
              <w:jc w:val="center"/>
              <w:ind w:right="201"/>
              <w:spacing w:after="0"/>
              <w:rPr>
                <w:sz w:val="20"/>
                <w:szCs w:val="20"/>
                <w:color w:val="auto"/>
              </w:rPr>
            </w:pPr>
            <w:r>
              <w:rPr>
                <w:rFonts w:ascii="Arial" w:cs="Arial" w:eastAsia="Arial" w:hAnsi="Arial"/>
                <w:sz w:val="13"/>
                <w:szCs w:val="13"/>
                <w:b w:val="1"/>
                <w:bCs w:val="1"/>
                <w:color w:val="auto"/>
                <w:w w:val="93"/>
              </w:rPr>
              <w:t>for the</w:t>
            </w:r>
          </w:p>
        </w:tc>
        <w:tc>
          <w:tcPr>
            <w:tcW w:w="120" w:type="dxa"/>
            <w:vAlign w:val="bottom"/>
          </w:tcPr>
          <w:p>
            <w:pPr>
              <w:spacing w:after="0"/>
              <w:rPr>
                <w:sz w:val="12"/>
                <w:szCs w:val="12"/>
                <w:color w:val="auto"/>
              </w:rPr>
            </w:pPr>
          </w:p>
        </w:tc>
        <w:tc>
          <w:tcPr>
            <w:tcW w:w="1180" w:type="dxa"/>
            <w:vAlign w:val="bottom"/>
          </w:tcPr>
          <w:p>
            <w:pPr>
              <w:jc w:val="center"/>
              <w:ind w:right="180"/>
              <w:spacing w:after="0"/>
              <w:rPr>
                <w:sz w:val="20"/>
                <w:szCs w:val="20"/>
                <w:color w:val="auto"/>
              </w:rPr>
            </w:pPr>
            <w:r>
              <w:rPr>
                <w:rFonts w:ascii="Arial" w:cs="Arial" w:eastAsia="Arial" w:hAnsi="Arial"/>
                <w:sz w:val="13"/>
                <w:szCs w:val="13"/>
                <w:b w:val="1"/>
                <w:bCs w:val="1"/>
                <w:color w:val="auto"/>
                <w:w w:val="94"/>
              </w:rPr>
              <w:t>Twelve Months</w:t>
            </w:r>
          </w:p>
        </w:tc>
      </w:tr>
      <w:tr>
        <w:trPr>
          <w:trHeight w:val="148"/>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238"/>
              <w:spacing w:after="0"/>
              <w:rPr>
                <w:sz w:val="20"/>
                <w:szCs w:val="20"/>
                <w:color w:val="auto"/>
              </w:rPr>
            </w:pPr>
            <w:r>
              <w:rPr>
                <w:rFonts w:ascii="Arial" w:cs="Arial" w:eastAsia="Arial" w:hAnsi="Arial"/>
                <w:sz w:val="13"/>
                <w:szCs w:val="13"/>
                <w:b w:val="1"/>
                <w:bCs w:val="1"/>
                <w:color w:val="auto"/>
                <w:w w:val="95"/>
              </w:rPr>
              <w:t>Year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239"/>
              <w:spacing w:after="0"/>
              <w:rPr>
                <w:sz w:val="20"/>
                <w:szCs w:val="20"/>
                <w:color w:val="auto"/>
              </w:rPr>
            </w:pPr>
            <w:r>
              <w:rPr>
                <w:rFonts w:ascii="Arial" w:cs="Arial" w:eastAsia="Arial" w:hAnsi="Arial"/>
                <w:sz w:val="13"/>
                <w:szCs w:val="13"/>
                <w:b w:val="1"/>
                <w:bCs w:val="1"/>
                <w:color w:val="auto"/>
                <w:w w:val="92"/>
              </w:rPr>
              <w:t>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right w:val="single" w:sz="8" w:color="auto"/>
            </w:tcBorders>
          </w:tcPr>
          <w:p>
            <w:pPr>
              <w:jc w:val="center"/>
              <w:ind w:right="241"/>
              <w:spacing w:after="0"/>
              <w:rPr>
                <w:sz w:val="20"/>
                <w:szCs w:val="20"/>
                <w:color w:val="auto"/>
              </w:rPr>
            </w:pPr>
            <w:r>
              <w:rPr>
                <w:rFonts w:ascii="Arial" w:cs="Arial" w:eastAsia="Arial" w:hAnsi="Arial"/>
                <w:sz w:val="13"/>
                <w:szCs w:val="13"/>
                <w:b w:val="1"/>
                <w:bCs w:val="1"/>
                <w:color w:val="auto"/>
                <w:w w:val="93"/>
              </w:rPr>
              <w:t>through</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82"/>
              <w:spacing w:after="0"/>
              <w:rPr>
                <w:sz w:val="20"/>
                <w:szCs w:val="20"/>
                <w:color w:val="auto"/>
              </w:rPr>
            </w:pPr>
            <w:r>
              <w:rPr>
                <w:rFonts w:ascii="Arial" w:cs="Arial" w:eastAsia="Arial" w:hAnsi="Arial"/>
                <w:sz w:val="13"/>
                <w:szCs w:val="13"/>
                <w:b w:val="1"/>
                <w:bCs w:val="1"/>
                <w:color w:val="auto"/>
                <w:w w:val="93"/>
              </w:rPr>
              <w:t>through</w:t>
            </w:r>
          </w:p>
        </w:tc>
        <w:tc>
          <w:tcPr>
            <w:tcW w:w="140" w:type="dxa"/>
            <w:vAlign w:val="bottom"/>
          </w:tcPr>
          <w:p>
            <w:pPr>
              <w:spacing w:after="0"/>
              <w:rPr>
                <w:sz w:val="12"/>
                <w:szCs w:val="12"/>
                <w:color w:val="auto"/>
              </w:rPr>
            </w:pPr>
          </w:p>
        </w:tc>
        <w:tc>
          <w:tcPr>
            <w:tcW w:w="1100" w:type="dxa"/>
            <w:vAlign w:val="bottom"/>
          </w:tcPr>
          <w:p>
            <w:pPr>
              <w:jc w:val="center"/>
              <w:ind w:right="181"/>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180" w:type="dxa"/>
            <w:vAlign w:val="bottom"/>
          </w:tcPr>
          <w:p>
            <w:pPr>
              <w:jc w:val="center"/>
              <w:ind w:right="140"/>
              <w:spacing w:after="0"/>
              <w:rPr>
                <w:sz w:val="20"/>
                <w:szCs w:val="20"/>
                <w:color w:val="auto"/>
              </w:rPr>
            </w:pPr>
            <w:r>
              <w:rPr>
                <w:rFonts w:ascii="Arial" w:cs="Arial" w:eastAsia="Arial" w:hAnsi="Arial"/>
                <w:sz w:val="13"/>
                <w:szCs w:val="13"/>
                <w:b w:val="1"/>
                <w:bCs w:val="1"/>
                <w:color w:val="auto"/>
                <w:w w:val="90"/>
              </w:rPr>
              <w:t>Ended</w:t>
            </w:r>
          </w:p>
        </w:tc>
      </w:tr>
      <w:tr>
        <w:trPr>
          <w:trHeight w:val="175"/>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198"/>
              <w:spacing w:after="0"/>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199"/>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right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02"/>
              <w:spacing w:after="0"/>
              <w:rPr>
                <w:sz w:val="20"/>
                <w:szCs w:val="20"/>
                <w:color w:val="auto"/>
              </w:rPr>
            </w:pPr>
            <w:r>
              <w:rPr>
                <w:rFonts w:ascii="Arial" w:cs="Arial" w:eastAsia="Arial" w:hAnsi="Arial"/>
                <w:sz w:val="13"/>
                <w:szCs w:val="13"/>
                <w:b w:val="1"/>
                <w:bCs w:val="1"/>
                <w:color w:val="auto"/>
                <w:w w:val="94"/>
              </w:rPr>
              <w:t>January 31,</w:t>
            </w:r>
          </w:p>
        </w:tc>
        <w:tc>
          <w:tcPr>
            <w:tcW w:w="140" w:type="dxa"/>
            <w:vAlign w:val="bottom"/>
          </w:tcPr>
          <w:p>
            <w:pPr>
              <w:spacing w:after="0"/>
              <w:rPr>
                <w:sz w:val="15"/>
                <w:szCs w:val="15"/>
                <w:color w:val="auto"/>
              </w:rPr>
            </w:pPr>
          </w:p>
        </w:tc>
        <w:tc>
          <w:tcPr>
            <w:tcW w:w="1100" w:type="dxa"/>
            <w:vAlign w:val="bottom"/>
          </w:tcPr>
          <w:p>
            <w:pPr>
              <w:jc w:val="center"/>
              <w:ind w:right="161"/>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5"/>
                <w:szCs w:val="15"/>
                <w:color w:val="auto"/>
              </w:rPr>
            </w:pPr>
          </w:p>
        </w:tc>
        <w:tc>
          <w:tcPr>
            <w:tcW w:w="1180" w:type="dxa"/>
            <w:vAlign w:val="bottom"/>
          </w:tcPr>
          <w:p>
            <w:pPr>
              <w:jc w:val="center"/>
              <w:ind w:right="140"/>
              <w:spacing w:after="0"/>
              <w:rPr>
                <w:sz w:val="20"/>
                <w:szCs w:val="20"/>
                <w:color w:val="auto"/>
              </w:rPr>
            </w:pPr>
            <w:r>
              <w:rPr>
                <w:rFonts w:ascii="Arial" w:cs="Arial" w:eastAsia="Arial" w:hAnsi="Arial"/>
                <w:sz w:val="13"/>
                <w:szCs w:val="13"/>
                <w:b w:val="1"/>
                <w:bCs w:val="1"/>
                <w:color w:val="auto"/>
                <w:w w:val="94"/>
              </w:rPr>
              <w:t>December 31,</w:t>
            </w:r>
          </w:p>
        </w:tc>
      </w:tr>
      <w:tr>
        <w:trPr>
          <w:trHeight w:val="175"/>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8"/>
              <w:spacing w:after="0"/>
              <w:rPr>
                <w:sz w:val="20"/>
                <w:szCs w:val="20"/>
                <w:color w:val="auto"/>
              </w:rPr>
            </w:pPr>
            <w:r>
              <w:rPr>
                <w:rFonts w:ascii="Arial" w:cs="Arial" w:eastAsia="Arial" w:hAnsi="Arial"/>
                <w:sz w:val="13"/>
                <w:szCs w:val="13"/>
                <w:b w:val="1"/>
                <w:bCs w:val="1"/>
                <w:color w:val="auto"/>
                <w:w w:val="96"/>
              </w:rPr>
              <w:t>2022</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9"/>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6"/>
              </w:rPr>
              <w:t>2020</w:t>
            </w:r>
          </w:p>
        </w:tc>
      </w:tr>
      <w:tr>
        <w:trPr>
          <w:trHeight w:val="223"/>
        </w:trPr>
        <w:tc>
          <w:tcPr>
            <w:tcW w:w="3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64,604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16,051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(47,492 )</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(36,530 ) $</w:t>
            </w: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20,447</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(63,575 )</w:t>
            </w:r>
          </w:p>
        </w:tc>
      </w:tr>
      <w:tr>
        <w:trPr>
          <w:trHeight w:val="223"/>
        </w:trPr>
        <w:tc>
          <w:tcPr>
            <w:tcW w:w="3300" w:type="dxa"/>
            <w:vAlign w:val="bottom"/>
          </w:tcPr>
          <w:p>
            <w:pPr>
              <w:ind w:left="20"/>
              <w:spacing w:after="0"/>
              <w:rPr>
                <w:sz w:val="20"/>
                <w:szCs w:val="20"/>
                <w:color w:val="auto"/>
              </w:rPr>
            </w:pPr>
            <w:r>
              <w:rPr>
                <w:rFonts w:ascii="Arial" w:cs="Arial" w:eastAsia="Arial" w:hAnsi="Arial"/>
                <w:sz w:val="17"/>
                <w:szCs w:val="17"/>
                <w:color w:val="auto"/>
              </w:rPr>
              <w:t>Provision (benefit) for income taxes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20,475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8,862</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(11,355 )</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(871 )</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7,073</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(5,153 )</w:t>
            </w:r>
          </w:p>
        </w:tc>
      </w:tr>
      <w:tr>
        <w:trPr>
          <w:trHeight w:val="198"/>
        </w:trPr>
        <w:tc>
          <w:tcPr>
            <w:tcW w:w="3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 (loss) before provision for income</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tcBorders>
              <w:right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3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taxes</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85,079</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24,913</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(58,847 )</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(37,401 )</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27,520</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(68,728 )</w:t>
            </w:r>
          </w:p>
        </w:tc>
      </w:tr>
      <w:tr>
        <w:trPr>
          <w:trHeight w:val="229"/>
        </w:trPr>
        <w:tc>
          <w:tcPr>
            <w:tcW w:w="3300" w:type="dxa"/>
            <w:vAlign w:val="bottom"/>
          </w:tcPr>
          <w:p>
            <w:pPr>
              <w:ind w:left="20"/>
              <w:spacing w:after="0" w:line="229" w:lineRule="exact"/>
              <w:rPr>
                <w:sz w:val="20"/>
                <w:szCs w:val="20"/>
                <w:color w:val="auto"/>
              </w:rPr>
            </w:pPr>
            <w:r>
              <w:rPr>
                <w:rFonts w:ascii="Arial" w:cs="Arial" w:eastAsia="Arial" w:hAnsi="Arial"/>
                <w:sz w:val="17"/>
                <w:szCs w:val="17"/>
                <w:color w:val="auto"/>
              </w:rPr>
              <w:t>Debt-related costs</w:t>
            </w:r>
            <w:r>
              <w:rPr>
                <w:rFonts w:ascii="Arial" w:cs="Arial" w:eastAsia="Arial" w:hAnsi="Arial"/>
                <w:sz w:val="22"/>
                <w:szCs w:val="22"/>
                <w:color w:val="auto"/>
                <w:vertAlign w:val="superscript"/>
              </w:rPr>
              <w:t>(a)</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(9,569 )</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7"/>
                <w:szCs w:val="17"/>
                <w:color w:val="auto"/>
              </w:rPr>
              <w:t>20,143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Borders>
              <w:right w:val="single" w:sz="8" w:color="auto"/>
            </w:tcBorders>
          </w:tcPr>
          <w:p>
            <w:pPr>
              <w:jc w:val="right"/>
              <w:ind w:right="61"/>
              <w:spacing w:after="0"/>
              <w:rPr>
                <w:sz w:val="20"/>
                <w:szCs w:val="20"/>
                <w:color w:val="auto"/>
              </w:rPr>
            </w:pPr>
            <w:r>
              <w:rPr>
                <w:rFonts w:ascii="Arial" w:cs="Arial" w:eastAsia="Arial" w:hAnsi="Arial"/>
                <w:sz w:val="17"/>
                <w:szCs w:val="17"/>
                <w:color w:val="auto"/>
              </w:rPr>
              <w:t>3,242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11,102</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(10,801 )</w:t>
            </w: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7"/>
                <w:szCs w:val="17"/>
                <w:color w:val="auto"/>
              </w:rPr>
              <w:t>3,543</w:t>
            </w:r>
          </w:p>
        </w:tc>
      </w:tr>
      <w:tr>
        <w:trPr>
          <w:trHeight w:val="171"/>
        </w:trPr>
        <w:tc>
          <w:tcPr>
            <w:tcW w:w="3300" w:type="dxa"/>
            <w:vAlign w:val="bottom"/>
            <w:shd w:val="clear" w:color="auto" w:fill="CFF0FC"/>
          </w:tcPr>
          <w:p>
            <w:pPr>
              <w:ind w:left="20"/>
              <w:spacing w:after="0" w:line="172" w:lineRule="exact"/>
              <w:rPr>
                <w:sz w:val="20"/>
                <w:szCs w:val="20"/>
                <w:color w:val="auto"/>
              </w:rPr>
            </w:pPr>
            <w:r>
              <w:rPr>
                <w:rFonts w:ascii="Arial" w:cs="Arial" w:eastAsia="Arial" w:hAnsi="Arial"/>
                <w:sz w:val="17"/>
                <w:szCs w:val="17"/>
                <w:color w:val="auto"/>
              </w:rPr>
              <w:t>Acquisition-related depreciation and</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tcBorders>
              <w:right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r>
      <w:tr>
        <w:trPr>
          <w:trHeight w:val="261"/>
        </w:trPr>
        <w:tc>
          <w:tcPr>
            <w:tcW w:w="3300" w:type="dxa"/>
            <w:vAlign w:val="bottom"/>
            <w:shd w:val="clear" w:color="auto" w:fill="CFF0FC"/>
          </w:tcPr>
          <w:p>
            <w:pPr>
              <w:ind w:left="20"/>
              <w:spacing w:after="0"/>
              <w:rPr>
                <w:sz w:val="20"/>
                <w:szCs w:val="20"/>
                <w:color w:val="auto"/>
              </w:rPr>
            </w:pPr>
            <w:r>
              <w:rPr>
                <w:rFonts w:ascii="Arial" w:cs="Arial" w:eastAsia="Arial" w:hAnsi="Arial"/>
                <w:sz w:val="17"/>
                <w:szCs w:val="17"/>
                <w:color w:val="auto"/>
              </w:rPr>
              <w:t>amortization</w:t>
            </w:r>
            <w:r>
              <w:rPr>
                <w:rFonts w:ascii="Arial" w:cs="Arial" w:eastAsia="Arial" w:hAnsi="Arial"/>
                <w:sz w:val="22"/>
                <w:szCs w:val="22"/>
                <w:color w:val="auto"/>
                <w:vertAlign w:val="superscript"/>
              </w:rPr>
              <w:t>(b)</w:t>
            </w: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115,944</w:t>
            </w:r>
          </w:p>
        </w:tc>
        <w:tc>
          <w:tcPr>
            <w:tcW w:w="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126,865</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tcBorders>
              <w:right w:val="single" w:sz="8" w:color="auto"/>
            </w:tcBorders>
            <w:shd w:val="clear" w:color="auto" w:fill="CFF0FC"/>
          </w:tcPr>
          <w:p>
            <w:pPr>
              <w:jc w:val="right"/>
              <w:ind w:right="61"/>
              <w:spacing w:after="0"/>
              <w:rPr>
                <w:sz w:val="20"/>
                <w:szCs w:val="20"/>
                <w:color w:val="auto"/>
              </w:rPr>
            </w:pPr>
            <w:r>
              <w:rPr>
                <w:rFonts w:ascii="Arial" w:cs="Arial" w:eastAsia="Arial" w:hAnsi="Arial"/>
                <w:sz w:val="17"/>
                <w:szCs w:val="17"/>
                <w:color w:val="auto"/>
              </w:rPr>
              <w:t>125,419</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848</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6,124</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132,391</w:t>
            </w:r>
          </w:p>
        </w:tc>
      </w:tr>
      <w:tr>
        <w:trPr>
          <w:trHeight w:val="223"/>
        </w:trPr>
        <w:tc>
          <w:tcPr>
            <w:tcW w:w="330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7,856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7"/>
                <w:szCs w:val="17"/>
                <w:color w:val="auto"/>
              </w:rPr>
              <w:t>9,530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Borders>
              <w:right w:val="single" w:sz="8" w:color="auto"/>
            </w:tcBorders>
          </w:tcPr>
          <w:p>
            <w:pPr>
              <w:jc w:val="right"/>
              <w:ind w:right="61"/>
              <w:spacing w:after="0"/>
              <w:rPr>
                <w:sz w:val="20"/>
                <w:szCs w:val="20"/>
                <w:color w:val="auto"/>
              </w:rPr>
            </w:pPr>
            <w:r>
              <w:rPr>
                <w:rFonts w:ascii="Arial" w:cs="Arial" w:eastAsia="Arial" w:hAnsi="Arial"/>
                <w:sz w:val="17"/>
                <w:szCs w:val="17"/>
                <w:color w:val="auto"/>
              </w:rPr>
              <w:t>1,876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3,976</w:t>
            </w:r>
          </w:p>
        </w:tc>
        <w:tc>
          <w:tcPr>
            <w:tcW w:w="1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7"/>
                <w:szCs w:val="17"/>
                <w:color w:val="auto"/>
              </w:rPr>
              <w:t>5,852</w:t>
            </w:r>
          </w:p>
        </w:tc>
      </w:tr>
      <w:tr>
        <w:trPr>
          <w:trHeight w:val="236"/>
        </w:trPr>
        <w:tc>
          <w:tcPr>
            <w:tcW w:w="3300" w:type="dxa"/>
            <w:vAlign w:val="bottom"/>
            <w:shd w:val="clear" w:color="auto" w:fill="CFF0FC"/>
          </w:tcPr>
          <w:p>
            <w:pPr>
              <w:ind w:left="20"/>
              <w:spacing w:after="0" w:line="237" w:lineRule="exact"/>
              <w:rPr>
                <w:sz w:val="20"/>
                <w:szCs w:val="20"/>
                <w:color w:val="auto"/>
              </w:rPr>
            </w:pPr>
            <w:r>
              <w:rPr>
                <w:rFonts w:ascii="Arial" w:cs="Arial" w:eastAsia="Arial" w:hAnsi="Arial"/>
                <w:sz w:val="17"/>
                <w:szCs w:val="17"/>
                <w:color w:val="auto"/>
                <w:w w:val="93"/>
              </w:rPr>
              <w:t>Transaction and acquisition-related charges</w:t>
            </w:r>
            <w:r>
              <w:rPr>
                <w:rFonts w:ascii="Arial" w:cs="Arial" w:eastAsia="Arial" w:hAnsi="Arial"/>
                <w:sz w:val="22"/>
                <w:szCs w:val="22"/>
                <w:color w:val="auto"/>
                <w:w w:val="93"/>
                <w:vertAlign w:val="superscript"/>
              </w:rPr>
              <w:t>(c)</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6,018</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9,314</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tcBorders>
              <w:right w:val="single" w:sz="8" w:color="auto"/>
            </w:tcBorders>
            <w:shd w:val="clear" w:color="auto" w:fill="CFF0FC"/>
          </w:tcPr>
          <w:p>
            <w:pPr>
              <w:jc w:val="right"/>
              <w:ind w:right="61"/>
              <w:spacing w:after="0"/>
              <w:rPr>
                <w:sz w:val="20"/>
                <w:szCs w:val="20"/>
                <w:color w:val="auto"/>
              </w:rPr>
            </w:pPr>
            <w:r>
              <w:rPr>
                <w:rFonts w:ascii="Arial" w:cs="Arial" w:eastAsia="Arial" w:hAnsi="Arial"/>
                <w:sz w:val="17"/>
                <w:szCs w:val="17"/>
                <w:color w:val="auto"/>
              </w:rPr>
              <w:t>10,146</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22,840</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(22,370 )</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10,616</w:t>
            </w:r>
          </w:p>
        </w:tc>
      </w:tr>
      <w:tr>
        <w:trPr>
          <w:trHeight w:val="230"/>
        </w:trPr>
        <w:tc>
          <w:tcPr>
            <w:tcW w:w="3300" w:type="dxa"/>
            <w:vAlign w:val="bottom"/>
          </w:tcPr>
          <w:p>
            <w:pPr>
              <w:ind w:left="20"/>
              <w:spacing w:after="0" w:line="229" w:lineRule="exact"/>
              <w:rPr>
                <w:sz w:val="20"/>
                <w:szCs w:val="20"/>
                <w:color w:val="auto"/>
              </w:rPr>
            </w:pPr>
            <w:r>
              <w:rPr>
                <w:rFonts w:ascii="Arial" w:cs="Arial" w:eastAsia="Arial" w:hAnsi="Arial"/>
                <w:sz w:val="17"/>
                <w:szCs w:val="17"/>
                <w:color w:val="auto"/>
                <w:w w:val="93"/>
              </w:rPr>
              <w:t>Integration, restructuring, and other charges</w:t>
            </w:r>
            <w:r>
              <w:rPr>
                <w:rFonts w:ascii="Arial" w:cs="Arial" w:eastAsia="Arial" w:hAnsi="Arial"/>
                <w:sz w:val="22"/>
                <w:szCs w:val="22"/>
                <w:color w:val="auto"/>
                <w:w w:val="93"/>
                <w:vertAlign w:val="superscript"/>
              </w:rPr>
              <w:t>(d)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2,512</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812</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4,160</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480</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4,640</w:t>
            </w:r>
          </w:p>
        </w:tc>
      </w:tr>
      <w:tr>
        <w:trPr>
          <w:trHeight w:val="223"/>
        </w:trPr>
        <w:tc>
          <w:tcPr>
            <w:tcW w:w="3300" w:type="dxa"/>
            <w:vAlign w:val="bottom"/>
            <w:shd w:val="clear" w:color="auto" w:fill="CFF0FC"/>
          </w:tcPr>
          <w:p>
            <w:pPr>
              <w:ind w:left="20"/>
              <w:spacing w:after="0"/>
              <w:rPr>
                <w:sz w:val="20"/>
                <w:szCs w:val="20"/>
                <w:color w:val="auto"/>
              </w:rPr>
            </w:pPr>
            <w:r>
              <w:rPr>
                <w:rFonts w:ascii="Arial" w:cs="Arial" w:eastAsia="Arial" w:hAnsi="Arial"/>
                <w:sz w:val="17"/>
                <w:szCs w:val="17"/>
                <w:color w:val="auto"/>
                <w:w w:val="94"/>
              </w:rPr>
              <w:t>Adjusted Net Income before income tax effect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207,840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191,577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tcBorders>
              <w:right w:val="single" w:sz="8" w:color="auto"/>
            </w:tcBorders>
            <w:shd w:val="clear" w:color="auto" w:fill="CFF0FC"/>
          </w:tcPr>
          <w:p>
            <w:pPr>
              <w:jc w:val="right"/>
              <w:ind w:right="61"/>
              <w:spacing w:after="0"/>
              <w:rPr>
                <w:sz w:val="20"/>
                <w:szCs w:val="20"/>
                <w:color w:val="auto"/>
              </w:rPr>
            </w:pPr>
            <w:r>
              <w:rPr>
                <w:rFonts w:ascii="Arial" w:cs="Arial" w:eastAsia="Arial" w:hAnsi="Arial"/>
                <w:sz w:val="17"/>
                <w:szCs w:val="17"/>
                <w:color w:val="auto"/>
              </w:rPr>
              <w:t>85,996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1,845</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473</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88,314</w:t>
            </w:r>
          </w:p>
        </w:tc>
      </w:tr>
      <w:tr>
        <w:trPr>
          <w:trHeight w:val="229"/>
        </w:trPr>
        <w:tc>
          <w:tcPr>
            <w:tcW w:w="3300" w:type="dxa"/>
            <w:vAlign w:val="bottom"/>
          </w:tcPr>
          <w:p>
            <w:pPr>
              <w:ind w:left="20"/>
              <w:spacing w:after="0" w:line="229" w:lineRule="exact"/>
              <w:rPr>
                <w:sz w:val="20"/>
                <w:szCs w:val="20"/>
                <w:color w:val="auto"/>
              </w:rPr>
            </w:pPr>
            <w:r>
              <w:rPr>
                <w:rFonts w:ascii="Arial" w:cs="Arial" w:eastAsia="Arial" w:hAnsi="Arial"/>
                <w:sz w:val="17"/>
                <w:szCs w:val="17"/>
                <w:color w:val="auto"/>
              </w:rPr>
              <w:t>Less: Income tax effect</w:t>
            </w:r>
            <w:r>
              <w:rPr>
                <w:rFonts w:ascii="Arial" w:cs="Arial" w:eastAsia="Arial" w:hAnsi="Arial"/>
                <w:sz w:val="22"/>
                <w:szCs w:val="22"/>
                <w:color w:val="auto"/>
                <w:vertAlign w:val="superscript"/>
              </w:rPr>
              <w:t>(e)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51,378</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49,178</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22,101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474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22,697</w:t>
            </w:r>
          </w:p>
        </w:tc>
      </w:tr>
      <w:tr>
        <w:trPr>
          <w:trHeight w:val="258"/>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Adjusted 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b w:val="1"/>
                <w:bCs w:val="1"/>
                <w:color w:val="auto"/>
              </w:rPr>
              <w:t>156,462</w:t>
            </w:r>
          </w:p>
        </w:tc>
        <w:tc>
          <w:tcPr>
            <w:tcW w:w="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7"/>
                <w:szCs w:val="17"/>
                <w:b w:val="1"/>
                <w:bCs w:val="1"/>
                <w:color w:val="auto"/>
              </w:rPr>
              <w:t>142,399</w:t>
            </w:r>
          </w:p>
        </w:tc>
        <w:tc>
          <w:tcPr>
            <w:tcW w:w="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right w:val="single" w:sz="8" w:color="CFF0FC"/>
            </w:tcBorders>
            <w:shd w:val="clear" w:color="auto" w:fill="CFF0FC"/>
          </w:tcPr>
          <w:p>
            <w:pPr>
              <w:jc w:val="right"/>
              <w:ind w:right="61"/>
              <w:spacing w:after="0"/>
              <w:rPr>
                <w:sz w:val="20"/>
                <w:szCs w:val="20"/>
                <w:color w:val="auto"/>
              </w:rPr>
            </w:pPr>
            <w:r>
              <w:rPr>
                <w:rFonts w:ascii="Arial" w:cs="Arial" w:eastAsia="Arial" w:hAnsi="Arial"/>
                <w:sz w:val="17"/>
                <w:szCs w:val="17"/>
                <w:b w:val="1"/>
                <w:bCs w:val="1"/>
                <w:color w:val="auto"/>
              </w:rPr>
              <w:t>63,895</w:t>
            </w: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b w:val="1"/>
                <w:bCs w:val="1"/>
                <w:color w:val="auto"/>
              </w:rPr>
              <w:t>1,371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b w:val="1"/>
                <w:bCs w:val="1"/>
                <w:color w:val="auto"/>
              </w:rPr>
              <w:t>351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65,617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-2043430</wp:posOffset>
            </wp:positionV>
            <wp:extent cx="827405"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7405" cy="14541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-1778000</wp:posOffset>
            </wp:positionV>
            <wp:extent cx="243840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38400" cy="179705"/>
                    </a:xfrm>
                    <a:prstGeom prst="rect">
                      <a:avLst/>
                    </a:prstGeom>
                    <a:noFill/>
                  </pic:spPr>
                </pic:pic>
              </a:graphicData>
            </a:graphic>
          </wp:anchor>
        </w:drawing>
        <w:drawing>
          <wp:anchor simplePos="0" relativeHeight="251657728" behindDoc="1" locked="0" layoutInCell="0" allowOverlap="1">
            <wp:simplePos x="0" y="0"/>
            <wp:positionH relativeFrom="column">
              <wp:posOffset>4698365</wp:posOffset>
            </wp:positionH>
            <wp:positionV relativeFrom="paragraph">
              <wp:posOffset>-638175</wp:posOffset>
            </wp:positionV>
            <wp:extent cx="243840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38400" cy="17970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-25400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-8255</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-337820</wp:posOffset>
            </wp:positionV>
            <wp:extent cx="3291840" cy="351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91840" cy="3511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4" w:name="page65"/>
    <w:bookmarkEnd w:id="64"/>
    <w:p>
      <w:pPr>
        <w:ind w:right="180"/>
        <w:spacing w:after="0" w:line="257" w:lineRule="auto"/>
        <w:rPr>
          <w:sz w:val="20"/>
          <w:szCs w:val="20"/>
          <w:color w:val="auto"/>
        </w:rPr>
      </w:pPr>
      <w:r>
        <w:rPr>
          <w:rFonts w:ascii="Arial" w:cs="Arial" w:eastAsia="Arial" w:hAnsi="Arial"/>
          <w:sz w:val="18"/>
          <w:szCs w:val="18"/>
          <w:color w:val="auto"/>
        </w:rPr>
        <w:t>The following table presents the calculation of Adjusted Diluted Earnings Per Share for the periods presented. For a discussion of pro forma adjustments, see “Notes to the Unaudited Supplemental Pro Forma Financial Information Presented in Management’s Discussion and Analysis of Financial Condition and Results of Operations.” Prior to the IPO, the equity awards under the Successor Plan were issued by the Company’s Parent. As a result, these awards are not considered equity awards issued by the Company, and therefore not included in the calculation of adjusted weighted average number of shares outstanding—diluted.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w w:val="97"/>
              </w:rPr>
              <w:t>Successor</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1"/>
              <w:spacing w:after="0"/>
              <w:rPr>
                <w:sz w:val="20"/>
                <w:szCs w:val="20"/>
                <w:color w:val="auto"/>
              </w:rPr>
            </w:pPr>
            <w:r>
              <w:rPr>
                <w:rFonts w:ascii="Arial" w:cs="Arial" w:eastAsia="Arial" w:hAnsi="Arial"/>
                <w:sz w:val="13"/>
                <w:szCs w:val="13"/>
                <w:b w:val="1"/>
                <w:bCs w:val="1"/>
                <w:color w:val="auto"/>
                <w:w w:val="89"/>
              </w:rPr>
              <w:t>Predecessor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61"/>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81"/>
              <w:spacing w:after="0" w:line="143" w:lineRule="exact"/>
              <w:rPr>
                <w:sz w:val="20"/>
                <w:szCs w:val="20"/>
                <w:color w:val="auto"/>
              </w:rPr>
            </w:pPr>
            <w:r>
              <w:rPr>
                <w:rFonts w:ascii="Arial" w:cs="Arial" w:eastAsia="Arial" w:hAnsi="Arial"/>
                <w:sz w:val="13"/>
                <w:szCs w:val="13"/>
                <w:b w:val="1"/>
                <w:bCs w:val="1"/>
                <w:color w:val="auto"/>
                <w:w w:val="95"/>
              </w:rPr>
              <w:t>Period from</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01"/>
              <w:spacing w:after="0" w:line="143" w:lineRule="exact"/>
              <w:rPr>
                <w:sz w:val="20"/>
                <w:szCs w:val="20"/>
                <w:color w:val="auto"/>
              </w:rPr>
            </w:pPr>
            <w:r>
              <w:rPr>
                <w:rFonts w:ascii="Arial" w:cs="Arial" w:eastAsia="Arial" w:hAnsi="Arial"/>
                <w:sz w:val="13"/>
                <w:szCs w:val="13"/>
                <w:b w:val="1"/>
                <w:bCs w:val="1"/>
                <w:color w:val="auto"/>
                <w:w w:val="95"/>
              </w:rPr>
              <w:t>Pro Forma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81"/>
              <w:spacing w:after="0"/>
              <w:rPr>
                <w:sz w:val="20"/>
                <w:szCs w:val="20"/>
                <w:color w:val="auto"/>
              </w:rPr>
            </w:pPr>
            <w:r>
              <w:rPr>
                <w:rFonts w:ascii="Arial" w:cs="Arial" w:eastAsia="Arial" w:hAnsi="Arial"/>
                <w:sz w:val="13"/>
                <w:szCs w:val="13"/>
                <w:b w:val="1"/>
                <w:bCs w:val="1"/>
                <w:color w:val="auto"/>
                <w:w w:val="96"/>
              </w:rPr>
              <w:t>February 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81"/>
              <w:spacing w:after="0"/>
              <w:rPr>
                <w:sz w:val="20"/>
                <w:szCs w:val="20"/>
                <w:color w:val="auto"/>
              </w:rPr>
            </w:pPr>
            <w:r>
              <w:rPr>
                <w:rFonts w:ascii="Arial" w:cs="Arial" w:eastAsia="Arial" w:hAnsi="Arial"/>
                <w:sz w:val="13"/>
                <w:szCs w:val="13"/>
                <w:b w:val="1"/>
                <w:bCs w:val="1"/>
                <w:color w:val="auto"/>
                <w:w w:val="96"/>
              </w:rPr>
              <w:t>January 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01"/>
              <w:spacing w:after="0"/>
              <w:rPr>
                <w:sz w:val="20"/>
                <w:szCs w:val="20"/>
                <w:color w:val="auto"/>
              </w:rPr>
            </w:pPr>
            <w:r>
              <w:rPr>
                <w:rFonts w:ascii="Arial" w:cs="Arial" w:eastAsia="Arial" w:hAnsi="Arial"/>
                <w:sz w:val="13"/>
                <w:szCs w:val="13"/>
                <w:b w:val="1"/>
                <w:bCs w:val="1"/>
                <w:color w:val="auto"/>
                <w:w w:val="93"/>
              </w:rPr>
              <w:t>Adjustments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79"/>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81"/>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221"/>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01"/>
              <w:spacing w:after="0"/>
              <w:rPr>
                <w:sz w:val="20"/>
                <w:szCs w:val="20"/>
                <w:color w:val="auto"/>
              </w:rPr>
            </w:pPr>
            <w:r>
              <w:rPr>
                <w:rFonts w:ascii="Arial" w:cs="Arial" w:eastAsia="Arial" w:hAnsi="Arial"/>
                <w:sz w:val="13"/>
                <w:szCs w:val="13"/>
                <w:b w:val="1"/>
                <w:bCs w:val="1"/>
                <w:color w:val="auto"/>
                <w:w w:val="93"/>
              </w:rPr>
              <w:t>for the</w:t>
            </w:r>
          </w:p>
        </w:tc>
        <w:tc>
          <w:tcPr>
            <w:tcW w:w="100" w:type="dxa"/>
            <w:vAlign w:val="bottom"/>
          </w:tcPr>
          <w:p>
            <w:pPr>
              <w:spacing w:after="0"/>
              <w:rPr>
                <w:sz w:val="12"/>
                <w:szCs w:val="12"/>
                <w:color w:val="auto"/>
              </w:rPr>
            </w:pPr>
          </w:p>
        </w:tc>
        <w:tc>
          <w:tcPr>
            <w:tcW w:w="1180" w:type="dxa"/>
            <w:vAlign w:val="bottom"/>
            <w:gridSpan w:val="2"/>
          </w:tcPr>
          <w:p>
            <w:pPr>
              <w:jc w:val="center"/>
              <w:ind w:right="59"/>
              <w:spacing w:after="0"/>
              <w:rPr>
                <w:sz w:val="20"/>
                <w:szCs w:val="20"/>
                <w:color w:val="auto"/>
              </w:rPr>
            </w:pPr>
            <w:r>
              <w:rPr>
                <w:rFonts w:ascii="Arial" w:cs="Arial" w:eastAsia="Arial" w:hAnsi="Arial"/>
                <w:sz w:val="13"/>
                <w:szCs w:val="13"/>
                <w:b w:val="1"/>
                <w:bCs w:val="1"/>
                <w:color w:val="auto"/>
                <w:w w:val="94"/>
              </w:rPr>
              <w:t>Twelve Months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98"/>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9"/>
              <w:spacing w:after="0"/>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81"/>
              <w:spacing w:after="0"/>
              <w:rPr>
                <w:sz w:val="20"/>
                <w:szCs w:val="20"/>
                <w:color w:val="auto"/>
              </w:rPr>
            </w:pPr>
            <w:r>
              <w:rPr>
                <w:rFonts w:ascii="Arial" w:cs="Arial" w:eastAsia="Arial" w:hAnsi="Arial"/>
                <w:sz w:val="13"/>
                <w:szCs w:val="13"/>
                <w:b w:val="1"/>
                <w:bCs w:val="1"/>
                <w:color w:val="auto"/>
                <w:w w:val="97"/>
              </w:rPr>
              <w:t>through</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81"/>
              <w:spacing w:after="0"/>
              <w:rPr>
                <w:sz w:val="20"/>
                <w:szCs w:val="20"/>
                <w:color w:val="auto"/>
              </w:rPr>
            </w:pPr>
            <w:r>
              <w:rPr>
                <w:rFonts w:ascii="Arial" w:cs="Arial" w:eastAsia="Arial" w:hAnsi="Arial"/>
                <w:sz w:val="13"/>
                <w:szCs w:val="13"/>
                <w:b w:val="1"/>
                <w:bCs w:val="1"/>
                <w:color w:val="auto"/>
                <w:w w:val="93"/>
              </w:rPr>
              <w:t>through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81"/>
              <w:spacing w:after="0"/>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59"/>
              <w:spacing w:after="0"/>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39"/>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41"/>
              <w:spacing w:after="0"/>
              <w:rPr>
                <w:sz w:val="20"/>
                <w:szCs w:val="20"/>
                <w:color w:val="auto"/>
              </w:rPr>
            </w:pPr>
            <w:r>
              <w:rPr>
                <w:rFonts w:ascii="Arial" w:cs="Arial" w:eastAsia="Arial" w:hAnsi="Arial"/>
                <w:sz w:val="13"/>
                <w:szCs w:val="13"/>
                <w:b w:val="1"/>
                <w:bCs w:val="1"/>
                <w:color w:val="auto"/>
                <w:w w:val="94"/>
              </w:rPr>
              <w:t>December 31,</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201"/>
              <w:spacing w:after="0"/>
              <w:rPr>
                <w:sz w:val="20"/>
                <w:szCs w:val="20"/>
                <w:color w:val="auto"/>
              </w:rPr>
            </w:pPr>
            <w:r>
              <w:rPr>
                <w:rFonts w:ascii="Arial" w:cs="Arial" w:eastAsia="Arial" w:hAnsi="Arial"/>
                <w:sz w:val="13"/>
                <w:szCs w:val="13"/>
                <w:b w:val="1"/>
                <w:bCs w:val="1"/>
                <w:color w:val="auto"/>
                <w:w w:val="94"/>
              </w:rPr>
              <w:t>January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61"/>
              <w:spacing w:after="0"/>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59"/>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3"/>
                <w:szCs w:val="13"/>
                <w:b w:val="1"/>
                <w:bCs w:val="1"/>
                <w:color w:val="auto"/>
                <w:w w:val="96"/>
              </w:rPr>
              <w:t>2022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9"/>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1"/>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ind w:left="20"/>
              <w:spacing w:after="0"/>
              <w:rPr>
                <w:sz w:val="20"/>
                <w:szCs w:val="20"/>
                <w:color w:val="auto"/>
              </w:rPr>
            </w:pPr>
            <w:r>
              <w:rPr>
                <w:rFonts w:ascii="Arial" w:cs="Arial" w:eastAsia="Arial" w:hAnsi="Arial"/>
                <w:sz w:val="17"/>
                <w:szCs w:val="17"/>
                <w:color w:val="auto"/>
              </w:rPr>
              <w:t>Diluted net income (loss) per share (GAAP)</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0.43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0.11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(0.37 )</w:t>
            </w:r>
          </w:p>
        </w:tc>
        <w:tc>
          <w:tcPr>
            <w:tcW w:w="1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(0.24 )</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0.16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(0.49 )</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7"/>
                <w:szCs w:val="17"/>
                <w:i w:val="1"/>
                <w:iCs w:val="1"/>
                <w:color w:val="auto"/>
              </w:rPr>
              <w:t>Adjusted Net Income adjustments per share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Income taxes</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0.13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(0.09 )</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(0.01 )</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(0.04 )</w:t>
            </w:r>
          </w:p>
        </w:tc>
        <w:tc>
          <w:tcPr>
            <w:tcW w:w="0" w:type="dxa"/>
            <w:vAlign w:val="bottom"/>
          </w:tcPr>
          <w:p>
            <w:pPr>
              <w:spacing w:after="0"/>
              <w:rPr>
                <w:sz w:val="1"/>
                <w:szCs w:val="1"/>
                <w:color w:val="auto"/>
              </w:rPr>
            </w:pPr>
          </w:p>
        </w:tc>
      </w:tr>
      <w:tr>
        <w:trPr>
          <w:trHeight w:val="229"/>
        </w:trPr>
        <w:tc>
          <w:tcPr>
            <w:tcW w:w="3540" w:type="dxa"/>
            <w:vAlign w:val="bottom"/>
          </w:tcPr>
          <w:p>
            <w:pPr>
              <w:ind w:left="120"/>
              <w:spacing w:after="0" w:line="229" w:lineRule="exact"/>
              <w:rPr>
                <w:sz w:val="20"/>
                <w:szCs w:val="20"/>
                <w:color w:val="auto"/>
              </w:rPr>
            </w:pPr>
            <w:r>
              <w:rPr>
                <w:rFonts w:ascii="Arial" w:cs="Arial" w:eastAsia="Arial" w:hAnsi="Arial"/>
                <w:sz w:val="17"/>
                <w:szCs w:val="17"/>
                <w:color w:val="auto"/>
              </w:rPr>
              <w:t>Debt-related costs</w:t>
            </w:r>
            <w:r>
              <w:rPr>
                <w:rFonts w:ascii="Arial" w:cs="Arial" w:eastAsia="Arial" w:hAnsi="Arial"/>
                <w:sz w:val="22"/>
                <w:szCs w:val="22"/>
                <w:color w:val="auto"/>
                <w:vertAlign w:val="superscript"/>
              </w:rPr>
              <w:t>(a)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0.02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0.07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71"/>
        </w:trPr>
        <w:tc>
          <w:tcPr>
            <w:tcW w:w="3540" w:type="dxa"/>
            <w:vAlign w:val="bottom"/>
            <w:shd w:val="clear" w:color="auto" w:fill="CFF0FC"/>
          </w:tcPr>
          <w:p>
            <w:pPr>
              <w:ind w:left="120"/>
              <w:spacing w:after="0" w:line="172" w:lineRule="exact"/>
              <w:rPr>
                <w:sz w:val="20"/>
                <w:szCs w:val="20"/>
                <w:color w:val="auto"/>
              </w:rPr>
            </w:pPr>
            <w:r>
              <w:rPr>
                <w:rFonts w:ascii="Arial" w:cs="Arial" w:eastAsia="Arial" w:hAnsi="Arial"/>
                <w:sz w:val="17"/>
                <w:szCs w:val="17"/>
                <w:color w:val="auto"/>
              </w:rPr>
              <w:t>Acquisition-related depreciation and</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35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amortization</w:t>
            </w:r>
            <w:r>
              <w:rPr>
                <w:rFonts w:ascii="Arial" w:cs="Arial" w:eastAsia="Arial" w:hAnsi="Arial"/>
                <w:sz w:val="22"/>
                <w:szCs w:val="22"/>
                <w:color w:val="auto"/>
                <w:vertAlign w:val="superscript"/>
              </w:rPr>
              <w:t>(b)</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0.76</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0.90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0.96</w:t>
            </w:r>
          </w:p>
        </w:tc>
        <w:tc>
          <w:tcPr>
            <w:tcW w:w="100" w:type="dxa"/>
            <w:vAlign w:val="bottom"/>
            <w:tcBorders>
              <w:right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3"/>
        </w:trPr>
        <w:tc>
          <w:tcPr>
            <w:tcW w:w="3540" w:type="dxa"/>
            <w:vAlign w:val="bottom"/>
          </w:tcPr>
          <w:p>
            <w:pPr>
              <w:ind w:left="120"/>
              <w:spacing w:after="0"/>
              <w:rPr>
                <w:sz w:val="20"/>
                <w:szCs w:val="20"/>
                <w:color w:val="auto"/>
              </w:rPr>
            </w:pPr>
            <w:r>
              <w:rPr>
                <w:rFonts w:ascii="Arial" w:cs="Arial" w:eastAsia="Arial" w:hAnsi="Arial"/>
                <w:sz w:val="17"/>
                <w:szCs w:val="17"/>
                <w:color w:val="auto"/>
              </w:rPr>
              <w:t>Share-based compensation</w:t>
            </w:r>
          </w:p>
        </w:tc>
        <w:tc>
          <w:tcPr>
            <w:tcW w:w="120" w:type="dxa"/>
            <w:vAlign w:val="bottom"/>
          </w:tcPr>
          <w:p>
            <w:pPr>
              <w:spacing w:after="0"/>
              <w:rPr>
                <w:sz w:val="19"/>
                <w:szCs w:val="19"/>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0.01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0.03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36"/>
        </w:trPr>
        <w:tc>
          <w:tcPr>
            <w:tcW w:w="3540" w:type="dxa"/>
            <w:vAlign w:val="bottom"/>
            <w:shd w:val="clear" w:color="auto" w:fill="CFF0FC"/>
          </w:tcPr>
          <w:p>
            <w:pPr>
              <w:ind w:left="120"/>
              <w:spacing w:after="0" w:line="237" w:lineRule="exact"/>
              <w:rPr>
                <w:sz w:val="20"/>
                <w:szCs w:val="20"/>
                <w:color w:val="auto"/>
              </w:rPr>
            </w:pPr>
            <w:r>
              <w:rPr>
                <w:rFonts w:ascii="Arial" w:cs="Arial" w:eastAsia="Arial" w:hAnsi="Arial"/>
                <w:sz w:val="17"/>
                <w:szCs w:val="17"/>
                <w:color w:val="auto"/>
                <w:w w:val="98"/>
              </w:rPr>
              <w:t>Transaction and acquisition related charges</w:t>
            </w:r>
            <w:r>
              <w:rPr>
                <w:rFonts w:ascii="Arial" w:cs="Arial" w:eastAsia="Arial" w:hAnsi="Arial"/>
                <w:sz w:val="22"/>
                <w:szCs w:val="22"/>
                <w:color w:val="auto"/>
                <w:w w:val="98"/>
                <w:vertAlign w:val="superscript"/>
              </w:rPr>
              <w:t>(c)</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0.04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0.08</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0.15</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(0.17 )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30"/>
        </w:trPr>
        <w:tc>
          <w:tcPr>
            <w:tcW w:w="3540" w:type="dxa"/>
            <w:vAlign w:val="bottom"/>
          </w:tcPr>
          <w:p>
            <w:pPr>
              <w:ind w:left="120"/>
              <w:spacing w:after="0" w:line="229" w:lineRule="exact"/>
              <w:rPr>
                <w:sz w:val="20"/>
                <w:szCs w:val="20"/>
                <w:color w:val="auto"/>
              </w:rPr>
            </w:pPr>
            <w:r>
              <w:rPr>
                <w:rFonts w:ascii="Arial" w:cs="Arial" w:eastAsia="Arial" w:hAnsi="Arial"/>
                <w:sz w:val="17"/>
                <w:szCs w:val="17"/>
                <w:color w:val="auto"/>
                <w:w w:val="97"/>
              </w:rPr>
              <w:t>Integration, restructuring, and other charges</w:t>
            </w:r>
            <w:r>
              <w:rPr>
                <w:rFonts w:ascii="Arial" w:cs="Arial" w:eastAsia="Arial" w:hAnsi="Arial"/>
                <w:sz w:val="22"/>
                <w:szCs w:val="22"/>
                <w:color w:val="auto"/>
                <w:w w:val="97"/>
                <w:vertAlign w:val="superscript"/>
              </w:rPr>
              <w:t>(d)</w:t>
            </w:r>
          </w:p>
        </w:tc>
        <w:tc>
          <w:tcPr>
            <w:tcW w:w="120" w:type="dxa"/>
            <w:vAlign w:val="bottom"/>
          </w:tcPr>
          <w:p>
            <w:pPr>
              <w:spacing w:after="0"/>
              <w:rPr>
                <w:sz w:val="19"/>
                <w:szCs w:val="19"/>
                <w:color w:val="auto"/>
              </w:rPr>
            </w:pPr>
          </w:p>
        </w:tc>
        <w:tc>
          <w:tcPr>
            <w:tcW w:w="1080" w:type="dxa"/>
            <w:vAlign w:val="bottom"/>
          </w:tcPr>
          <w:p>
            <w:pPr>
              <w:jc w:val="right"/>
              <w:ind w:right="38"/>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0.03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FF0FC"/>
            </w:tcBorders>
            <w:shd w:val="clear" w:color="auto" w:fill="CFF0FC"/>
          </w:tcPr>
          <w:p>
            <w:pPr>
              <w:ind w:left="120"/>
              <w:spacing w:after="0" w:line="229" w:lineRule="exact"/>
              <w:rPr>
                <w:sz w:val="20"/>
                <w:szCs w:val="20"/>
                <w:color w:val="auto"/>
              </w:rPr>
            </w:pPr>
            <w:r>
              <w:rPr>
                <w:rFonts w:ascii="Arial" w:cs="Arial" w:eastAsia="Arial" w:hAnsi="Arial"/>
                <w:sz w:val="17"/>
                <w:szCs w:val="17"/>
                <w:color w:val="auto"/>
              </w:rPr>
              <w:t>Adjusted income tax effect</w:t>
            </w:r>
            <w:r>
              <w:rPr>
                <w:rFonts w:ascii="Arial" w:cs="Arial" w:eastAsia="Arial" w:hAnsi="Arial"/>
                <w:sz w:val="22"/>
                <w:szCs w:val="22"/>
                <w:color w:val="auto"/>
                <w:vertAlign w:val="superscript"/>
              </w:rPr>
              <w:t>(e)</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(0.34 )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(0.35 )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(0.17 )</w:t>
            </w: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(0.00 )</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(0.00 )</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(0.17 )</w:t>
            </w:r>
          </w:p>
        </w:tc>
        <w:tc>
          <w:tcPr>
            <w:tcW w:w="0" w:type="dxa"/>
            <w:vAlign w:val="bottom"/>
          </w:tcPr>
          <w:p>
            <w:pPr>
              <w:spacing w:after="0"/>
              <w:rPr>
                <w:sz w:val="1"/>
                <w:szCs w:val="1"/>
                <w:color w:val="auto"/>
              </w:rPr>
            </w:pPr>
          </w:p>
        </w:tc>
      </w:tr>
      <w:tr>
        <w:trPr>
          <w:trHeight w:val="188"/>
        </w:trPr>
        <w:tc>
          <w:tcPr>
            <w:tcW w:w="3540" w:type="dxa"/>
            <w:vAlign w:val="bottom"/>
          </w:tcPr>
          <w:p>
            <w:pPr>
              <w:ind w:left="200"/>
              <w:spacing w:after="0" w:line="188" w:lineRule="exact"/>
              <w:rPr>
                <w:sz w:val="20"/>
                <w:szCs w:val="20"/>
                <w:color w:val="auto"/>
              </w:rPr>
            </w:pPr>
            <w:r>
              <w:rPr>
                <w:rFonts w:ascii="Arial" w:cs="Arial" w:eastAsia="Arial" w:hAnsi="Arial"/>
                <w:sz w:val="17"/>
                <w:szCs w:val="17"/>
                <w:b w:val="1"/>
                <w:bCs w:val="1"/>
                <w:color w:val="auto"/>
                <w:w w:val="96"/>
              </w:rPr>
              <w:t>Adjusted Diluted Earnings Per Share (Non-</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ind w:right="38"/>
              <w:spacing w:after="0"/>
              <w:rPr>
                <w:sz w:val="20"/>
                <w:szCs w:val="20"/>
                <w:color w:val="auto"/>
              </w:rPr>
            </w:pPr>
            <w:r>
              <w:rPr>
                <w:rFonts w:ascii="Arial" w:cs="Arial" w:eastAsia="Arial" w:hAnsi="Arial"/>
                <w:sz w:val="17"/>
                <w:szCs w:val="17"/>
                <w:color w:val="auto"/>
              </w:rPr>
              <w:t>1.03</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ind w:right="39"/>
              <w:spacing w:after="0"/>
              <w:rPr>
                <w:sz w:val="20"/>
                <w:szCs w:val="20"/>
                <w:color w:val="auto"/>
              </w:rPr>
            </w:pPr>
            <w:r>
              <w:rPr>
                <w:rFonts w:ascii="Arial" w:cs="Arial" w:eastAsia="Arial" w:hAnsi="Arial"/>
                <w:sz w:val="17"/>
                <w:szCs w:val="17"/>
                <w:color w:val="auto"/>
              </w:rPr>
              <w:t>1.01</w:t>
            </w:r>
          </w:p>
        </w:tc>
        <w:tc>
          <w:tcPr>
            <w:tcW w:w="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7"/>
                <w:szCs w:val="17"/>
                <w:color w:val="auto"/>
              </w:rPr>
              <w:t>0.49</w:t>
            </w:r>
          </w:p>
        </w:tc>
        <w:tc>
          <w:tcPr>
            <w:tcW w:w="34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ind w:right="41"/>
              <w:spacing w:after="0"/>
              <w:rPr>
                <w:sz w:val="20"/>
                <w:szCs w:val="20"/>
                <w:color w:val="auto"/>
              </w:rPr>
            </w:pPr>
            <w:r>
              <w:rPr>
                <w:rFonts w:ascii="Arial" w:cs="Arial" w:eastAsia="Arial" w:hAnsi="Arial"/>
                <w:sz w:val="17"/>
                <w:szCs w:val="17"/>
                <w:color w:val="auto"/>
              </w:rPr>
              <w:t>0.01</w:t>
            </w:r>
          </w:p>
        </w:tc>
        <w:tc>
          <w:tcPr>
            <w:tcW w:w="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ind w:right="41"/>
              <w:spacing w:after="0"/>
              <w:rPr>
                <w:sz w:val="20"/>
                <w:szCs w:val="20"/>
                <w:color w:val="auto"/>
              </w:rPr>
            </w:pPr>
            <w:r>
              <w:rPr>
                <w:rFonts w:ascii="Arial" w:cs="Arial" w:eastAsia="Arial" w:hAnsi="Arial"/>
                <w:sz w:val="17"/>
                <w:szCs w:val="17"/>
                <w:color w:val="auto"/>
              </w:rPr>
              <w:t>0.00</w:t>
            </w:r>
          </w:p>
        </w:tc>
        <w:tc>
          <w:tcPr>
            <w:tcW w:w="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ind w:right="39"/>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197"/>
        </w:trPr>
        <w:tc>
          <w:tcPr>
            <w:tcW w:w="3540" w:type="dxa"/>
            <w:vAlign w:val="bottom"/>
          </w:tcPr>
          <w:p>
            <w:pPr>
              <w:ind w:left="200"/>
              <w:spacing w:after="0"/>
              <w:rPr>
                <w:sz w:val="20"/>
                <w:szCs w:val="20"/>
                <w:color w:val="auto"/>
              </w:rPr>
            </w:pPr>
            <w:r>
              <w:rPr>
                <w:rFonts w:ascii="Arial" w:cs="Arial" w:eastAsia="Arial" w:hAnsi="Arial"/>
                <w:sz w:val="17"/>
                <w:szCs w:val="17"/>
                <w:b w:val="1"/>
                <w:bCs w:val="1"/>
                <w:color w:val="auto"/>
              </w:rPr>
              <w:t>GAAP)</w:t>
            </w:r>
          </w:p>
        </w:tc>
        <w:tc>
          <w:tcPr>
            <w:tcW w:w="1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20"/>
              <w:spacing w:after="0"/>
              <w:rPr>
                <w:sz w:val="20"/>
                <w:szCs w:val="20"/>
                <w:color w:val="auto"/>
              </w:rPr>
            </w:pPr>
            <w:r>
              <w:rPr>
                <w:rFonts w:ascii="Arial" w:cs="Arial" w:eastAsia="Arial" w:hAnsi="Arial"/>
                <w:sz w:val="17"/>
                <w:szCs w:val="17"/>
                <w:color w:val="auto"/>
                <w:w w:val="95"/>
              </w:rPr>
              <w:t>Weighted average number of shares outstanding</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Arial" w:cs="Arial" w:eastAsia="Arial" w:hAnsi="Arial"/>
                <w:sz w:val="17"/>
                <w:szCs w:val="17"/>
                <w:color w:val="auto"/>
              </w:rPr>
              <w:t>used in computation of Adjusted Diluted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Earnings Per Share: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4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2"/>
              </w:rPr>
              <w:t>Weighted average number of shares outstanding</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—diluted (GAAP)</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w w:val="99"/>
              </w:rPr>
              <w:t>151,807,139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w w:val="95"/>
              </w:rPr>
              <w:t>141,687,384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w w:val="97"/>
              </w:rPr>
              <w:t>130,000,000</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w w:val="95"/>
              </w:rPr>
              <w:t>149,686,460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w w:val="97"/>
              </w:rPr>
              <w:t>130,000,000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w w:val="97"/>
              </w:rPr>
              <w:t>130,000,000</w:t>
            </w:r>
          </w:p>
        </w:tc>
        <w:tc>
          <w:tcPr>
            <w:tcW w:w="0" w:type="dxa"/>
            <w:vAlign w:val="bottom"/>
          </w:tcPr>
          <w:p>
            <w:pPr>
              <w:spacing w:after="0"/>
              <w:rPr>
                <w:sz w:val="1"/>
                <w:szCs w:val="1"/>
                <w:color w:val="auto"/>
              </w:rPr>
            </w:pPr>
          </w:p>
        </w:tc>
      </w:tr>
      <w:tr>
        <w:trPr>
          <w:trHeight w:val="198"/>
        </w:trPr>
        <w:tc>
          <w:tcPr>
            <w:tcW w:w="3540" w:type="dxa"/>
            <w:vAlign w:val="bottom"/>
          </w:tcPr>
          <w:p>
            <w:pPr>
              <w:ind w:left="120"/>
              <w:spacing w:after="0"/>
              <w:rPr>
                <w:sz w:val="20"/>
                <w:szCs w:val="20"/>
                <w:color w:val="auto"/>
              </w:rPr>
            </w:pPr>
            <w:r>
              <w:rPr>
                <w:rFonts w:ascii="Arial" w:cs="Arial" w:eastAsia="Arial" w:hAnsi="Arial"/>
                <w:sz w:val="17"/>
                <w:szCs w:val="17"/>
                <w:color w:val="auto"/>
              </w:rPr>
              <w:t>Options and restricted stock not included in</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120"/>
              <w:spacing w:after="0"/>
              <w:rPr>
                <w:sz w:val="20"/>
                <w:szCs w:val="20"/>
                <w:color w:val="auto"/>
              </w:rPr>
            </w:pPr>
            <w:r>
              <w:rPr>
                <w:rFonts w:ascii="Arial" w:cs="Arial" w:eastAsia="Arial" w:hAnsi="Arial"/>
                <w:sz w:val="17"/>
                <w:szCs w:val="17"/>
                <w:color w:val="auto"/>
                <w:w w:val="93"/>
              </w:rPr>
              <w:t>weighted average number of shares outstanding</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120"/>
              <w:spacing w:after="0"/>
              <w:rPr>
                <w:sz w:val="20"/>
                <w:szCs w:val="20"/>
                <w:color w:val="auto"/>
              </w:rPr>
            </w:pPr>
            <w:r>
              <w:rPr>
                <w:rFonts w:ascii="Arial" w:cs="Arial" w:eastAsia="Arial" w:hAnsi="Arial"/>
                <w:sz w:val="17"/>
                <w:szCs w:val="17"/>
                <w:color w:val="auto"/>
              </w:rPr>
              <w:t>—diluted (GAAP) (using treasury stock</w:t>
            </w:r>
          </w:p>
        </w:tc>
        <w:tc>
          <w:tcPr>
            <w:tcW w:w="120" w:type="dxa"/>
            <w:vAlign w:val="bottom"/>
          </w:tcPr>
          <w:p>
            <w:pPr>
              <w:spacing w:after="0"/>
              <w:rPr>
                <w:sz w:val="17"/>
                <w:szCs w:val="17"/>
                <w:color w:val="auto"/>
              </w:rPr>
            </w:pPr>
          </w:p>
        </w:tc>
        <w:tc>
          <w:tcPr>
            <w:tcW w:w="1080" w:type="dxa"/>
            <w:vAlign w:val="bottom"/>
            <w:vMerge w:val="restart"/>
          </w:tcPr>
          <w:p>
            <w:pPr>
              <w:jc w:val="right"/>
              <w:ind w:right="3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jc w:val="right"/>
              <w:ind w:right="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ind w:right="4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ind w:right="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540" w:type="dxa"/>
            <w:vAlign w:val="bottom"/>
          </w:tcPr>
          <w:p>
            <w:pPr>
              <w:ind w:left="120"/>
              <w:spacing w:after="0"/>
              <w:rPr>
                <w:sz w:val="20"/>
                <w:szCs w:val="20"/>
                <w:color w:val="auto"/>
              </w:rPr>
            </w:pPr>
            <w:r>
              <w:rPr>
                <w:rFonts w:ascii="Arial" w:cs="Arial" w:eastAsia="Arial" w:hAnsi="Arial"/>
                <w:sz w:val="17"/>
                <w:szCs w:val="17"/>
                <w:color w:val="auto"/>
              </w:rPr>
              <w:t>method)</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FF0FC"/>
          </w:tcPr>
          <w:p>
            <w:pPr>
              <w:ind w:left="120"/>
              <w:spacing w:after="0" w:line="194" w:lineRule="exact"/>
              <w:rPr>
                <w:sz w:val="20"/>
                <w:szCs w:val="20"/>
                <w:color w:val="auto"/>
              </w:rPr>
            </w:pPr>
            <w:r>
              <w:rPr>
                <w:rFonts w:ascii="Arial" w:cs="Arial" w:eastAsia="Arial" w:hAnsi="Arial"/>
                <w:sz w:val="17"/>
                <w:szCs w:val="17"/>
                <w:color w:val="auto"/>
                <w:w w:val="99"/>
              </w:rPr>
              <w:t>Adjusted weighted average number of shares</w:t>
            </w:r>
          </w:p>
        </w:tc>
        <w:tc>
          <w:tcPr>
            <w:tcW w:w="12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ind w:right="38"/>
              <w:spacing w:after="0"/>
              <w:rPr>
                <w:sz w:val="20"/>
                <w:szCs w:val="20"/>
                <w:color w:val="auto"/>
              </w:rPr>
            </w:pPr>
            <w:r>
              <w:rPr>
                <w:rFonts w:ascii="Arial" w:cs="Arial" w:eastAsia="Arial" w:hAnsi="Arial"/>
                <w:sz w:val="17"/>
                <w:szCs w:val="17"/>
                <w:color w:val="auto"/>
                <w:w w:val="99"/>
              </w:rPr>
              <w:t>151,807,139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ind w:right="39"/>
              <w:spacing w:after="0"/>
              <w:rPr>
                <w:sz w:val="20"/>
                <w:szCs w:val="20"/>
                <w:color w:val="auto"/>
              </w:rPr>
            </w:pPr>
            <w:r>
              <w:rPr>
                <w:rFonts w:ascii="Arial" w:cs="Arial" w:eastAsia="Arial" w:hAnsi="Arial"/>
                <w:sz w:val="17"/>
                <w:szCs w:val="17"/>
                <w:color w:val="auto"/>
                <w:w w:val="95"/>
              </w:rPr>
              <w:t>141,687,384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ind w:right="41"/>
              <w:spacing w:after="0"/>
              <w:rPr>
                <w:sz w:val="20"/>
                <w:szCs w:val="20"/>
                <w:color w:val="auto"/>
              </w:rPr>
            </w:pPr>
            <w:r>
              <w:rPr>
                <w:rFonts w:ascii="Arial" w:cs="Arial" w:eastAsia="Arial" w:hAnsi="Arial"/>
                <w:sz w:val="17"/>
                <w:szCs w:val="17"/>
                <w:color w:val="auto"/>
                <w:w w:val="97"/>
              </w:rPr>
              <w:t>130,000,000</w:t>
            </w: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ind w:right="41"/>
              <w:spacing w:after="0"/>
              <w:rPr>
                <w:sz w:val="20"/>
                <w:szCs w:val="20"/>
                <w:color w:val="auto"/>
              </w:rPr>
            </w:pPr>
            <w:r>
              <w:rPr>
                <w:rFonts w:ascii="Arial" w:cs="Arial" w:eastAsia="Arial" w:hAnsi="Arial"/>
                <w:sz w:val="17"/>
                <w:szCs w:val="17"/>
                <w:color w:val="auto"/>
                <w:w w:val="95"/>
              </w:rPr>
              <w:t>149,686,460</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ind w:right="41"/>
              <w:spacing w:after="0"/>
              <w:rPr>
                <w:sz w:val="20"/>
                <w:szCs w:val="20"/>
                <w:color w:val="auto"/>
              </w:rPr>
            </w:pPr>
            <w:r>
              <w:rPr>
                <w:rFonts w:ascii="Arial" w:cs="Arial" w:eastAsia="Arial" w:hAnsi="Arial"/>
                <w:sz w:val="17"/>
                <w:szCs w:val="17"/>
                <w:color w:val="auto"/>
                <w:w w:val="97"/>
              </w:rPr>
              <w:t>130,000,000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ind w:right="39"/>
              <w:spacing w:after="0"/>
              <w:rPr>
                <w:sz w:val="20"/>
                <w:szCs w:val="20"/>
                <w:color w:val="auto"/>
              </w:rPr>
            </w:pPr>
            <w:r>
              <w:rPr>
                <w:rFonts w:ascii="Arial" w:cs="Arial" w:eastAsia="Arial" w:hAnsi="Arial"/>
                <w:sz w:val="17"/>
                <w:szCs w:val="17"/>
                <w:color w:val="auto"/>
                <w:w w:val="97"/>
              </w:rPr>
              <w:t>130,000,000</w:t>
            </w:r>
          </w:p>
        </w:tc>
        <w:tc>
          <w:tcPr>
            <w:tcW w:w="0" w:type="dxa"/>
            <w:vAlign w:val="bottom"/>
          </w:tcPr>
          <w:p>
            <w:pPr>
              <w:spacing w:after="0"/>
              <w:rPr>
                <w:sz w:val="1"/>
                <w:szCs w:val="1"/>
                <w:color w:val="auto"/>
              </w:rPr>
            </w:pPr>
          </w:p>
        </w:tc>
      </w:tr>
      <w:tr>
        <w:trPr>
          <w:trHeight w:val="233"/>
        </w:trPr>
        <w:tc>
          <w:tcPr>
            <w:tcW w:w="3540" w:type="dxa"/>
            <w:vAlign w:val="bottom"/>
            <w:tcBorders>
              <w:bottom w:val="single" w:sz="8" w:color="CFF0FC"/>
            </w:tcBorders>
            <w:shd w:val="clear" w:color="auto" w:fill="CFF0FC"/>
          </w:tcPr>
          <w:p>
            <w:pPr>
              <w:ind w:left="120"/>
              <w:spacing w:after="0" w:line="194" w:lineRule="exact"/>
              <w:rPr>
                <w:sz w:val="20"/>
                <w:szCs w:val="20"/>
                <w:color w:val="auto"/>
              </w:rPr>
            </w:pPr>
            <w:r>
              <w:rPr>
                <w:rFonts w:ascii="Arial" w:cs="Arial" w:eastAsia="Arial" w:hAnsi="Arial"/>
                <w:sz w:val="17"/>
                <w:szCs w:val="17"/>
                <w:color w:val="auto"/>
              </w:rPr>
              <w:t>outstanding—diluted (Non-GAAP)</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-3483610</wp:posOffset>
            </wp:positionV>
            <wp:extent cx="83566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35660" cy="14541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-1910715</wp:posOffset>
            </wp:positionV>
            <wp:extent cx="68580" cy="283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-2069465</wp:posOffset>
            </wp:positionV>
            <wp:extent cx="1739900" cy="4540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39900" cy="45402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-1910715</wp:posOffset>
            </wp:positionV>
            <wp:extent cx="59690" cy="283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28321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-817880</wp:posOffset>
            </wp:positionV>
            <wp:extent cx="3308985" cy="8312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8985" cy="831215"/>
                    </a:xfrm>
                    <a:prstGeom prst="rect">
                      <a:avLst/>
                    </a:prstGeom>
                    <a:noFill/>
                  </pic:spPr>
                </pic:pic>
              </a:graphicData>
            </a:graphic>
          </wp:anchor>
        </w:drawing>
      </w:r>
    </w:p>
    <w:p>
      <w:pPr>
        <w:spacing w:after="0" w:line="123" w:lineRule="exact"/>
        <w:rPr>
          <w:sz w:val="20"/>
          <w:szCs w:val="20"/>
          <w:color w:val="auto"/>
        </w:rPr>
      </w:pPr>
    </w:p>
    <w:p>
      <w:pPr>
        <w:ind w:left="520" w:right="20" w:hanging="512"/>
        <w:spacing w:after="0" w:line="224"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loss on extinguishment of debt and non-cash interest expense related to the amortization of debt issuance costs for the 2021 February refinancing and repayment of the Company’s Successor First Lien Credit Facility (as defined below) and Successor Second Lien Credit Facility (as defined below), respectively. Beginning in 2022, this adjustment also includes the impact of the change in fair value of interest rate swaps. This adjustment, which represents the difference between the fair value gains or losses and actual cash payments and receipts on the interest rate swaps, was added as a result of the increased interest rate volatility observed in 2022. The Company determined that the impact to the previous year for the year ended December 31, 2021 (Successor) and for the period February 1, 2020 through December 31, 2020 (Successor), was not significant and therefore, the previously reported amounts will not be recast.</w:t>
      </w:r>
    </w:p>
    <w:p>
      <w:pPr>
        <w:spacing w:after="0" w:line="1" w:lineRule="exact"/>
        <w:rPr>
          <w:rFonts w:ascii="Arial" w:cs="Arial" w:eastAsia="Arial" w:hAnsi="Arial"/>
          <w:sz w:val="14"/>
          <w:szCs w:val="14"/>
          <w:color w:val="auto"/>
        </w:rPr>
      </w:pPr>
    </w:p>
    <w:p>
      <w:pPr>
        <w:jc w:val="both"/>
        <w:ind w:left="520" w:right="160" w:hanging="512"/>
        <w:spacing w:after="0" w:line="22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Represents the depreciation and amortization expense related to intangible assets and developed technology assets recorded due to the application of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As a result, the purchase accounting related depreciation and amortization expense will recur in future periods until the related assets are fully depreciated or amortized, and the related purchase accounting assets may contribute to revenue generation.</w:t>
      </w:r>
    </w:p>
    <w:p>
      <w:pPr>
        <w:ind w:left="520" w:right="120" w:hanging="512"/>
        <w:spacing w:after="0" w:line="22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years ended December 31, 2021 and 2022 (Successor) include a transaction bonus expense related to one of the Company’s 2021 acquisitions.</w:t>
      </w:r>
    </w:p>
    <w:p>
      <w:pPr>
        <w:ind w:left="520" w:right="440" w:hanging="512"/>
        <w:spacing w:after="0" w:line="22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ind w:left="520" w:right="140" w:hanging="512"/>
        <w:spacing w:after="0" w:line="241" w:lineRule="auto"/>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Effective tax rates of approximately 24.7%, 25.7%, and 25.7% have been used to compute Adjusted Net Income and Adjusted Diluted Earnings Per Share for the year ended December 31, 2022 (Successor), for the year ended December 31, 2021 (Successor), and for the 2020 periods, respectively. As of December 31, 2022, we had net operating loss carryforwards of approximately $11.0 million for federal income tax purposes available to reduce future income subject to income taxes. As a result, the amount of actual cash taxes we may pay for federal income taxes differs significantly from the effective income tax rate computed in accordance with GAAP and from the normalized rate shown above.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primary liquidity requirements are for working capital, continued investments in software development and other capital expenditures, and other strategic investments. Income taxes are currently not a significant use of funds but after the benefits of our net operating loss carryforwards are fully recognized in early 2023, will become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p>
    <w:p>
      <w:pPr>
        <w:spacing w:after="0" w:line="12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of December 31, 2022, we had $391.7 million in cash and cash equivalents and $100.0 million available under our revolving credit facility. As of December 31, 2022,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“Risk Factors.”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Exchange Act,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and plans to use its existing cash to fund repurchases made under the share repurchase program.</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November 8, 2022, the Company' Board of Directors authorized an increase to the total available amount under its Repurchase Program to $150.0 million and extended the program through December 31, 2023. In February 2023, the Company’s Board of Directors authorized an increase to the total available amount under its Repurchase Program to $200.0 million effective February 28, 2023. Through February 23, 2023, the Company had made $75.7 million of purchases under the Repurchase Program.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January 31, 2020, our previously outstanding indebtedness was repaid in full as part of the Silver Lake Transaction. As part of the Silver Lake Transaction,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(“Successor First Lien Credit Facility”) and a $75.0 million new revolving credit facility due January 31, 2025 (“Successor Revolver”). The Successor Second Lien Agreement provided financing in the form of a $145.0 million term loan due January 31, 2028 (“Successor Second Lien Credit Facility”).</w:t>
      </w:r>
    </w:p>
    <w:p>
      <w:pPr>
        <w:spacing w:after="0" w:line="12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February 1, 2021, we amended the Successor First Lien Agreement to fund $100.0 million of additional first lien term loans and reduce the applicable margins by 0.25%. The refinancing resulted in a loss on extinguishment of debt of $5.1 million, composed of the write-off of $4.5 million of unamortized deferred financing costs and $0.6 million of accrued interest and miscellaneous fees. In addition, we fully repaid the outstanding Successor Second Lien Agreement and recorded a loss on extinguishment of debt of $8.9 million, composed of the write-off of $7.3 million of unamortized deferred financing costs plus a $1.5 million prepayment premium, and $0.1 million of accrued interest and other miscellaneous fees.</w:t>
      </w:r>
    </w:p>
    <w:p>
      <w:pPr>
        <w:spacing w:after="0" w:line="1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IPO, the Company entered into an amendment to increase the borrowing capacity under the Successor Revolver from $75.0 million to $100.0 million and extend the maturity date from January 31, 2025 to July 31, 2026.</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Borrowings under the Successor First Lien Agreement bear interest at a rate per annum equal to an applicable margin plus, at our option, either (a) a base rate or (b) LIBOR, which is subject to a floor of 0.00% per annum. The applicable margins under the Successor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Successor First Lien Credit Facility amortizes in equal quarterly installments in aggregate annual amounts equal to 1.00% of the principal amount. The Successor Revolver has no amortization. The Successor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3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connection with the closing of the IPO, on June 30, 2021 the Company repaid $200.0 million of the Successor First Lien Credit Facility outstanding, of which $44.3 million was applied to all of the remaining quarterly amortizing principal payments due under the Successor First Lien Agreement.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Successor First Lien Agreement is unconditionally guaranteed by Fastball Parent, Inc., a wholly-owned subsidiary of the Company and the direct parent of the borrower, and material wholly owned domestic restricted subsidiaries of Fastball Parent, Inc. The Successor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2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credit agreement contains customary affirmative covenants, negative covenants and events of default (including upon a change of control). The credit agreement also includes a “springing” first lien net leverage ratio test, applicable only to the revolving credit facility, that requires such ratio to be no greater than 7.75:1.00 on the last day of any fiscal quarter if more than 35.0% of the revolving credit facility is utilized on such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Cash Flow Analysis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Comparison of Cash Flows for the Year Ended December 31, 2022 (Successor) compared to the Year Ended December 31, 2021 (Successor) and for the Year Ended December 31, 2021 (Successor) compared to the Period from February 1, 2020 through December 31, 2020 (Successor) and for the Period from January 1, 2020 through January 31, 2020 (Predecessor)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cash flow activity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95"/>
              </w:rPr>
              <w:t>Successor</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237"/>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12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Year Ended</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5"/>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w w:val="96"/>
              </w:rPr>
              <w:t>December 31, 2022</w:t>
            </w:r>
          </w:p>
        </w:tc>
        <w:tc>
          <w:tcPr>
            <w:tcW w:w="150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December 31, 2021</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January 31, 2020</w:t>
            </w: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212,770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148,677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72,851</w:t>
            </w:r>
          </w:p>
        </w:tc>
        <w:tc>
          <w:tcPr>
            <w:tcW w:w="10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(19,216 )</w:t>
            </w: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(48,596 )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(72,427 )</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(15,569 )</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(2,043 )</w:t>
            </w: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(59,154 )</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63,848</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46,404</w:t>
            </w:r>
          </w:p>
        </w:tc>
        <w:tc>
          <w:tcPr>
            <w:tcW w:w="10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year ended December 31, 2022 (Successor), for the year ended December 31, 2021 (Successor), for the period from February 1, 2020 through December 31, 2020 (Successor), and for the period from January 1, 2020 through January 31, 2020 (Predecessor), net cash provided by (used in) operating activities was $212.8 million, $148.7 million, $72.9 million, and $(19.2) million, respectively.</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Cash flows from operating activities for the year ended December 31, 2022 were positively impacted by the Company’s revenue growth from existing customers, new customer go-lives, recent acquisitions and lower accounts receivable driven by cash collections from customers. These were partially offset with other changes in working capital, primarily accrued compensation.</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flows from operating activities for the year ended December 31, 2021 was positively impacted by increased profitability related to the Company’s revenue growth from existing customers, new customer go-lives, and the 2021 acquisitions. This was offset in part by the use of cash for working capital primarily due to the high level of revenue growth acceleration that remained in receivables at December 31, 2021, consistent with normal payment terms offered to our customers. The cash flows from operating activities for the period from February 1, 2020 through December 31, 2020 (Successor) and for the period from January 1, 2020 through January 31, 2020 (Predecessor) were impacted by $9.4 million and $22.4 million of transaction expenses from the Silver Lake Transaction,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year ended December 31, 2022 (Successor), for the year ended December 31, 2021 (Successor), for the period from February 1, 2020 through December 31, 2020 (Successor), and for the period from January 1, 2020 through January 31, 2020 (Predecessor), net cash used in investing activities was $48.6 million, $72.4 million, $15.6 million, and $2.0 million, respectively.</w:t>
      </w:r>
    </w:p>
    <w:p>
      <w:pPr>
        <w:spacing w:after="0" w:line="13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cash flows used in investing activities for the year ended December 31, 2022 included the $19.1 million acquisition of Form I-9 Compliance, net of cash acquired. The remaining investing cash flows are driven primarily by capitalized software development costs and purchases of property and equipment, which increased in 2022 as the Company continued to make incremental investments in its technology platform.</w:t>
      </w:r>
    </w:p>
    <w:p>
      <w:pPr>
        <w:spacing w:after="0" w:line="1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cash flows used in investing activities for the year ended December 31, 2021 (Successor) included an aggregate of $48.9 million in purchase price for the three 2021 acquisitions. The remaining use of investing cash flows are driven primarily by capitalized software development costs and purchases of property and equipment, which increased in 2021 as we continued to make incremental investments in our technology and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year ended December 31, 2022 (Successor), for the year ended December 31, 2021 (Successor), for the period from February 1, 2020 through December 31, 2020 (Successor), and for the period from January 1, 2020 through January 31, 2020 (Predecessor), net cash (used in) provided by financing activities was $(59.2) million, $63.8 million, $46.4 million, and $(11.1) million, respectively.</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financing activities for the year ended December 31, 2022 (Successor) were primarily driven by shares repurchased under the Company’s Repurchase Program. During the year ended December 31, 2022, 4.7 million shares were repurchased under the program at a total cost of $60.5 million. Additionally, the Company had additional outflows related to payments on capital lease obligations and deferred purchase of a software platform. These outflows were partially offset by share-based compensation activity.</w:t>
      </w:r>
    </w:p>
    <w:p>
      <w:pPr>
        <w:spacing w:after="0" w:line="13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(Successor) was primarily driven by the Company’s completion of its IPO on June 25, 2021. Cash inflows related to the IPO were $320.6 million, partially offset by the use of proceeds which consisted of a $200.0 million repayment of the Company’s Successor First Lien Credit Facility and $4.0 million of offering costs.</w:t>
      </w:r>
    </w:p>
    <w:p>
      <w:pPr>
        <w:spacing w:after="0" w:line="13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Net cash provided by financing activities for the year ended December 31, 2021 (Successor) was incrementally driven by the Company’s February 2021 debt refinancing which consisted of a refinancing of the Successor First Lien Credit Facility and the full repayment of the Successor Second Lien Credit Facility. Cash outflows related to this refinancing were $308.5 million, partially offset by cash inflows of $261.4 million. As part of the refinancing, the Company paid $1.3 million related to new debt issuance costs. The remaining outflows primarily consisted of principal payments due under the Successor First Lien Credit Facility, payments on capital lease obligations, a deferred purchase of a software platform, and share-based compensation activity.</w:t>
      </w:r>
    </w:p>
    <w:p>
      <w:pPr>
        <w:spacing w:after="0" w:line="10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Net cash provided by financing activities for the period from February 1, 2020 through December 31, 2021 (Successor) was driven by a $50.0 million investment in the Company’s equity by Workday, Inc. and $9.4 million of capital contributions related to the transaction expenses from the Silver Lake Transaction. In March 2020, we made a $25.0 million precautionary draw on our revolving credit facility in light of the COVID-19 pandemic, which we fully repaid in June 2020. These inflows were primarily offset by debt issuance costs paid, principal payments on the Successor First Lien Credit Facility, and distributions to Predecessor’s members and optionholders in connection with the Silver Lake Transaction.</w:t>
      </w:r>
    </w:p>
    <w:p>
      <w:pPr>
        <w:spacing w:after="0" w:line="1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used in financing activities for the period from January 1, 2020 through January 31, 2020 (Predecessor) were driven by a $34.0 million repayment of our previous credit facility in place at the time of the Silver Lake Transaction and distributions of $18.0 million to Predecessor’s members and optionholders in connection with the Silver Lake Transaction. These were partially offset by additional capital contributions of $41.1 million related to payment and settlement of existing options issued by Predecessor and transaction expenses from the Silver Lake Transaction.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9" w:name="page70"/>
    <w:bookmarkEnd w:id="69"/>
    <w:p>
      <w:pPr>
        <w:ind w:right="700"/>
        <w:spacing w:after="0" w:line="282" w:lineRule="auto"/>
        <w:rPr>
          <w:sz w:val="20"/>
          <w:szCs w:val="20"/>
          <w:color w:val="auto"/>
        </w:rPr>
      </w:pPr>
      <w:r>
        <w:rPr>
          <w:rFonts w:ascii="Arial" w:cs="Arial" w:eastAsia="Arial" w:hAnsi="Arial"/>
          <w:sz w:val="18"/>
          <w:szCs w:val="18"/>
          <w:b w:val="1"/>
          <w:bCs w:val="1"/>
          <w:color w:val="auto"/>
        </w:rPr>
        <w:t>Notes to the Unaudited Supplemental Pro Forma Financial Information Presented in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&amp; Description of the Transactions</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unaudited pro forma consolidated statement of operations for the year ended December 31, 2020 gives effect to the Silver Lake Transaction and the Silver Lake Transaction Refinancing as if they had occurred on January 1, 2020. The unaudited pro forma consolidated statement of operations for the year ended December 31, 2021 does not give effect to either the Silver Lake Transaction or the Silver Lake Transaction Refinancing as if they had occurred on January 1, 2020 because these events are already reflected for the full period presented in the historical statement of operations of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Silver Lake Transaction and Silver Lake Transaction Refinancing</w:t>
      </w:r>
    </w:p>
    <w:p>
      <w:pPr>
        <w:spacing w:after="0" w:line="17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 xml:space="preserve">On January 31, 2020, Silver Lake acquired substantially all of the Company’s equity interests for approximately $1,576.0 million. A portion of the consideration was derived from members of the management team contributing an allocation of their Silver Lake Transaction proceeds. The Silver Lake Transaction was accounted for under the acquisition method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allocation of the purchase price is based on the fair value of assets acquired and liabilities assumed as of the acquisition date, less transaction expenses funded by transaction proceeds. The following table summarizes the consideration paid and the amounts recognized for the assets acquired and liabilities assumed (in thousands):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Cash, net of cash acquired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1,556,810</w:t>
            </w:r>
          </w:p>
        </w:tc>
      </w:tr>
      <w:tr>
        <w:trPr>
          <w:trHeight w:val="24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Rollover management equity interests</w:t>
            </w: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19,148</w:t>
            </w:r>
          </w:p>
        </w:tc>
      </w:tr>
      <w:tr>
        <w:trPr>
          <w:trHeight w:val="238"/>
        </w:trPr>
        <w:tc>
          <w:tcPr>
            <w:tcW w:w="7340" w:type="dxa"/>
            <w:vAlign w:val="bottom"/>
          </w:tcPr>
          <w:p>
            <w:pPr>
              <w:spacing w:after="0"/>
              <w:rPr>
                <w:sz w:val="20"/>
                <w:szCs w:val="20"/>
                <w:color w:val="auto"/>
              </w:rPr>
            </w:pPr>
            <w:r>
              <w:rPr>
                <w:rFonts w:ascii="Arial" w:cs="Arial" w:eastAsia="Arial" w:hAnsi="Arial"/>
                <w:sz w:val="18"/>
                <w:szCs w:val="18"/>
                <w:b w:val="1"/>
                <w:bCs w:val="1"/>
                <w:color w:val="auto"/>
              </w:rPr>
              <w:t>Total fair value of consideration transferred</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1,575,958</w:t>
            </w:r>
          </w:p>
        </w:tc>
      </w:tr>
      <w:tr>
        <w:trPr>
          <w:trHeight w:val="241"/>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145,277</w:t>
            </w: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Property and equipment, including software developed for internal use</w:t>
            </w:r>
          </w:p>
        </w:tc>
        <w:tc>
          <w:tcPr>
            <w:tcW w:w="4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236,775</w:t>
            </w:r>
          </w:p>
        </w:tc>
      </w:tr>
      <w:tr>
        <w:trPr>
          <w:trHeight w:val="24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95,000</w:t>
            </w: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Customer lists</w:t>
            </w:r>
          </w:p>
        </w:tc>
        <w:tc>
          <w:tcPr>
            <w:tcW w:w="4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4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w:t>
            </w: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106,327</w:t>
            </w: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1,429</w:t>
            </w:r>
          </w:p>
        </w:tc>
      </w:tr>
      <w:tr>
        <w:trPr>
          <w:trHeight w:val="24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(71,496 )</w:t>
            </w: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(198,535 )</w:t>
            </w:r>
          </w:p>
        </w:tc>
      </w:tr>
      <w:tr>
        <w:trPr>
          <w:trHeight w:val="243"/>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(6,616 )</w:t>
            </w:r>
          </w:p>
        </w:tc>
      </w:tr>
      <w:tr>
        <w:trPr>
          <w:trHeight w:val="239"/>
        </w:trPr>
        <w:tc>
          <w:tcPr>
            <w:tcW w:w="7340" w:type="dxa"/>
            <w:vAlign w:val="bottom"/>
          </w:tcPr>
          <w:p>
            <w:pPr>
              <w:spacing w:after="0"/>
              <w:rPr>
                <w:sz w:val="20"/>
                <w:szCs w:val="20"/>
                <w:color w:val="auto"/>
              </w:rPr>
            </w:pPr>
            <w:r>
              <w:rPr>
                <w:rFonts w:ascii="Arial" w:cs="Arial" w:eastAsia="Arial" w:hAnsi="Arial"/>
                <w:sz w:val="18"/>
                <w:szCs w:val="18"/>
                <w:b w:val="1"/>
                <w:bCs w:val="1"/>
                <w:color w:val="auto"/>
              </w:rPr>
              <w:t>Total identifiable net assets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808,161</w:t>
            </w:r>
          </w:p>
        </w:tc>
      </w:tr>
      <w:tr>
        <w:trPr>
          <w:trHeight w:val="276"/>
        </w:trPr>
        <w:tc>
          <w:tcPr>
            <w:tcW w:w="7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767,797</w:t>
            </w:r>
          </w:p>
        </w:tc>
      </w:tr>
    </w:tbl>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Silver Lake Transaction, on January 31, 2020, the existing credit facilities of the Predecessor were repaid in full with the proceeds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carrying an interest rate of 3.25% to 3.50%, based on the first lien leverage ratio, plus LIBOR (“Successor First Lien Credit Facility”) and a $75.0 million new revolving facility due January 31, 2025 (“Successor Revolver”). The Successor First Lien Credit Facility required mandatory quarterly repayments of 0.25% of the original loan balance commencing September 30, 2020. The Successor Second Lien Agreement provided financing in the form of a $145.0 million term loan due January 31, 2028, carrying an interest rate of 8.50% plus LIBOR (“Successor Second Lien Credit Facility”).</w:t>
      </w:r>
    </w:p>
    <w:p>
      <w:pPr>
        <w:spacing w:after="0" w:line="1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February 2021, the Company refinanced the Successor First Lien Credit Facility and fully repaid the outstanding balance on the Successor Second Lien Credit Facility (the “2021 Debt Refinancing”). The effects of the 2021 Debt Refinancing are fully reflected in the historical statement of operations of the Company for the year ended December 31, 2021. Because the Company does not consider the effects of the 2021 Debt Refinancing to be material, no pro forma adjustments have been made to the unaudited pro forma statement of operations for the year ended December 31, 2020 to reflect the 2021 Debt Refinancing as if it had occurred on January 1, 2020.</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2. Notes to Unaudited Pro Forma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adjustments were made related to the unaudited pro forma consolidated statement of operations for the year ended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 Accounting Adjustments</w:t>
      </w:r>
    </w:p>
    <w:p>
      <w:pPr>
        <w:spacing w:after="0" w:line="171" w:lineRule="exact"/>
        <w:rPr>
          <w:sz w:val="20"/>
          <w:szCs w:val="20"/>
          <w:color w:val="auto"/>
        </w:rPr>
      </w:pPr>
    </w:p>
    <w:p>
      <w:pPr>
        <w:ind w:left="1020" w:right="140" w:hanging="503"/>
        <w:spacing w:after="0" w:line="311"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the incremental amortization expense related to certain definite-lived intangible assets, reflected in the purchase price allocation at the date of the Silver Lake Transaction, as if those certain definite-lived intangible assets were put into place on January 1, 2020. The following table shows the pro forma adjustment to estimated amortization expense for the year ended December 31, 2020:</w:t>
      </w:r>
    </w:p>
    <w:p>
      <w:pPr>
        <w:spacing w:after="0" w:line="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7"/>
              <w:spacing w:after="0"/>
              <w:rPr>
                <w:sz w:val="20"/>
                <w:szCs w:val="20"/>
                <w:color w:val="auto"/>
              </w:rPr>
            </w:pPr>
            <w:r>
              <w:rPr>
                <w:rFonts w:ascii="Arial" w:cs="Arial" w:eastAsia="Arial" w:hAnsi="Arial"/>
                <w:sz w:val="14"/>
                <w:szCs w:val="14"/>
                <w:b w:val="1"/>
                <w:bCs w:val="1"/>
                <w:color w:val="auto"/>
                <w:w w:val="95"/>
              </w:rPr>
              <w:t>Estimated Fair</w:t>
            </w:r>
          </w:p>
        </w:tc>
        <w:tc>
          <w:tcPr>
            <w:tcW w:w="80" w:type="dxa"/>
            <w:vAlign w:val="bottom"/>
          </w:tcPr>
          <w:p>
            <w:pPr>
              <w:spacing w:after="0"/>
              <w:rPr>
                <w:sz w:val="14"/>
                <w:szCs w:val="14"/>
                <w:color w:val="auto"/>
              </w:rPr>
            </w:pPr>
          </w:p>
        </w:tc>
        <w:tc>
          <w:tcPr>
            <w:tcW w:w="11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1"/>
              </w:rPr>
              <w:t>Estimated Useful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3"/>
              </w:rPr>
              <w:t>Value at</w:t>
            </w:r>
          </w:p>
        </w:tc>
        <w:tc>
          <w:tcPr>
            <w:tcW w:w="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Acquisition</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for internal use</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220,000</w:t>
            </w: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57,081</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Trade name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95,000</w:t>
            </w:r>
          </w:p>
        </w:tc>
        <w:tc>
          <w:tcPr>
            <w:tcW w:w="1260" w:type="dxa"/>
            <w:vAlign w:val="bottom"/>
            <w:gridSpan w:val="2"/>
          </w:tcPr>
          <w:p>
            <w:pPr>
              <w:jc w:val="right"/>
              <w:ind w:right="4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8,171</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500,000</w:t>
            </w:r>
          </w:p>
        </w:tc>
        <w:tc>
          <w:tcPr>
            <w:tcW w:w="1260" w:type="dxa"/>
            <w:vAlign w:val="bottom"/>
            <w:tcBorders>
              <w:bottom w:val="single" w:sz="8" w:color="CFF0FC"/>
            </w:tcBorders>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70,807</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 forma amortization expense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136,059</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historical amortization expense recorded</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(129,935 )</w:t>
            </w: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Pro forma adjustment for amortization expense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020" w:right="120" w:hanging="503"/>
        <w:spacing w:after="0" w:line="30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the adjustment to remove Predecessor transaction expenses related to the Silver Lake Transaction which would have been incurred and recorded during the year ended December 31, 2019 if the Silver Lake Transaction had occurred on January 1, 2020.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 Refinancing Accounting Adjustments</w:t>
      </w:r>
    </w:p>
    <w:p>
      <w:pPr>
        <w:spacing w:after="0" w:line="171" w:lineRule="exact"/>
        <w:rPr>
          <w:sz w:val="20"/>
          <w:szCs w:val="20"/>
          <w:color w:val="auto"/>
        </w:rPr>
      </w:pPr>
    </w:p>
    <w:p>
      <w:pPr>
        <w:jc w:val="both"/>
        <w:ind w:left="1020" w:right="80" w:hanging="503"/>
        <w:spacing w:after="0" w:line="25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adjustment to interest expense resulting from (i) the elimination of interest expense related to the debt financing in place during the Predecessor period, and (ii) the incremental interest expense and amortization of deferred financing costs associated with the Successor First Lien Credit Agreement and Successor Second Lien Credit Agreement to give effect to the Silver Lake Transaction Refinancing as if it had occurred on January 1, 2020, calculated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41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7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36"/>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Successor First Lien Agreement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29,835</w:t>
            </w:r>
          </w:p>
        </w:tc>
        <w:tc>
          <w:tcPr>
            <w:tcW w:w="0" w:type="dxa"/>
            <w:vAlign w:val="bottom"/>
          </w:tcPr>
          <w:p>
            <w:pPr>
              <w:spacing w:after="0"/>
              <w:rPr>
                <w:sz w:val="1"/>
                <w:szCs w:val="1"/>
                <w:color w:val="auto"/>
              </w:rPr>
            </w:pPr>
          </w:p>
        </w:tc>
      </w:tr>
      <w:tr>
        <w:trPr>
          <w:trHeight w:val="237"/>
        </w:trPr>
        <w:tc>
          <w:tcPr>
            <w:tcW w:w="7260" w:type="dxa"/>
            <w:vAlign w:val="bottom"/>
          </w:tcPr>
          <w:p>
            <w:pPr>
              <w:spacing w:after="0"/>
              <w:rPr>
                <w:sz w:val="20"/>
                <w:szCs w:val="20"/>
                <w:color w:val="auto"/>
              </w:rPr>
            </w:pPr>
            <w:r>
              <w:rPr>
                <w:rFonts w:ascii="Arial" w:cs="Arial" w:eastAsia="Arial" w:hAnsi="Arial"/>
                <w:sz w:val="18"/>
                <w:szCs w:val="18"/>
                <w:color w:val="auto"/>
              </w:rPr>
              <w:t>Interest Expense on Successor Second Lien Agreement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13,713</w:t>
            </w:r>
          </w:p>
        </w:tc>
        <w:tc>
          <w:tcPr>
            <w:tcW w:w="0" w:type="dxa"/>
            <w:vAlign w:val="bottom"/>
          </w:tcPr>
          <w:p>
            <w:pPr>
              <w:spacing w:after="0"/>
              <w:rPr>
                <w:sz w:val="1"/>
                <w:szCs w:val="1"/>
                <w:color w:val="auto"/>
              </w:rPr>
            </w:pPr>
          </w:p>
        </w:tc>
      </w:tr>
      <w:tr>
        <w:trPr>
          <w:trHeight w:val="243"/>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36"/>
        </w:trPr>
        <w:tc>
          <w:tcPr>
            <w:tcW w:w="7260" w:type="dxa"/>
            <w:vAlign w:val="bottom"/>
          </w:tcPr>
          <w:p>
            <w:pPr>
              <w:spacing w:after="0"/>
              <w:rPr>
                <w:sz w:val="20"/>
                <w:szCs w:val="20"/>
                <w:color w:val="auto"/>
              </w:rPr>
            </w:pPr>
            <w:r>
              <w:rPr>
                <w:rFonts w:ascii="Arial" w:cs="Arial" w:eastAsia="Arial" w:hAnsi="Arial"/>
                <w:sz w:val="18"/>
                <w:szCs w:val="18"/>
                <w:color w:val="auto"/>
              </w:rPr>
              <w:t>Pro forma interest 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47,091</w:t>
            </w:r>
          </w:p>
        </w:tc>
        <w:tc>
          <w:tcPr>
            <w:tcW w:w="0" w:type="dxa"/>
            <w:vAlign w:val="bottom"/>
          </w:tcPr>
          <w:p>
            <w:pPr>
              <w:spacing w:after="0"/>
              <w:rPr>
                <w:sz w:val="1"/>
                <w:szCs w:val="1"/>
                <w:color w:val="auto"/>
              </w:rPr>
            </w:pPr>
          </w:p>
        </w:tc>
      </w:tr>
      <w:tr>
        <w:trPr>
          <w:trHeight w:val="243"/>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historical interest expense recorded</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(47,832 )</w:t>
            </w:r>
          </w:p>
        </w:tc>
        <w:tc>
          <w:tcPr>
            <w:tcW w:w="0" w:type="dxa"/>
            <w:vAlign w:val="bottom"/>
          </w:tcPr>
          <w:p>
            <w:pPr>
              <w:spacing w:after="0"/>
              <w:rPr>
                <w:sz w:val="1"/>
                <w:szCs w:val="1"/>
                <w:color w:val="auto"/>
              </w:rPr>
            </w:pPr>
          </w:p>
        </w:tc>
      </w:tr>
      <w:tr>
        <w:trPr>
          <w:trHeight w:val="237"/>
        </w:trPr>
        <w:tc>
          <w:tcPr>
            <w:tcW w:w="7260" w:type="dxa"/>
            <w:vAlign w:val="bottom"/>
          </w:tcPr>
          <w:p>
            <w:pPr>
              <w:spacing w:after="0"/>
              <w:rPr>
                <w:sz w:val="20"/>
                <w:szCs w:val="20"/>
                <w:color w:val="auto"/>
              </w:rPr>
            </w:pPr>
            <w:r>
              <w:rPr>
                <w:rFonts w:ascii="Arial" w:cs="Arial" w:eastAsia="Arial" w:hAnsi="Arial"/>
                <w:sz w:val="18"/>
                <w:szCs w:val="18"/>
                <w:color w:val="auto"/>
              </w:rPr>
              <w:t>Pro forma adjustment for interest expense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(741 )</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020"/>
        <w:spacing w:after="0" w:line="342" w:lineRule="auto"/>
        <w:rPr>
          <w:sz w:val="20"/>
          <w:szCs w:val="20"/>
          <w:color w:val="auto"/>
        </w:rPr>
      </w:pPr>
      <w:r>
        <w:rPr>
          <w:rFonts w:ascii="Arial" w:cs="Arial" w:eastAsia="Arial" w:hAnsi="Arial"/>
          <w:sz w:val="16"/>
          <w:szCs w:val="16"/>
          <w:color w:val="auto"/>
        </w:rPr>
        <w:t>No adjustment has been made to the unaudited pro forma statement of operations for the year ended December 31, 2020 to reflect changes in interest expense as a result of the 2021 Debt Refinancing because the Company does not consider the 2021 Debt Refinancing to be material.</w:t>
      </w:r>
    </w:p>
    <w:p>
      <w:pPr>
        <w:spacing w:after="0" w:line="16" w:lineRule="exact"/>
        <w:rPr>
          <w:sz w:val="20"/>
          <w:szCs w:val="20"/>
          <w:color w:val="auto"/>
        </w:rPr>
      </w:pPr>
    </w:p>
    <w:p>
      <w:pPr>
        <w:ind w:left="1020" w:right="100" w:hanging="503"/>
        <w:spacing w:after="0" w:line="342"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an adjustment to the historical loss on extinguishment of Predecessor debt for the unaudited pro forma consolidated statements of operations for the year ended December 31, 2020 as if the Silver Lake Transaction Refinancing had been consummated on January 1,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Lake Transactions Accounting Adjustments</w:t>
      </w:r>
    </w:p>
    <w:p>
      <w:pPr>
        <w:spacing w:after="0" w:line="171" w:lineRule="exact"/>
        <w:rPr>
          <w:sz w:val="20"/>
          <w:szCs w:val="20"/>
          <w:color w:val="auto"/>
        </w:rPr>
      </w:pPr>
    </w:p>
    <w:p>
      <w:pPr>
        <w:ind w:left="1020" w:right="580" w:hanging="503"/>
        <w:spacing w:after="0" w:line="25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Reflects the adjustment to the provision for income taxes attributable to the tax impacts of the preceding Silver Lake Transaction and Refinancing Accounting Adjustments, assuming an effective tax rate of approximately 25.7%.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commitments as of December 31, 2022 that require us to make future cash payments: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2027</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r>
      <w:tr>
        <w:trPr>
          <w:trHeight w:val="236"/>
        </w:trPr>
        <w:tc>
          <w:tcPr>
            <w:tcW w:w="272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Debt Principal </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564,724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564,724</w:t>
            </w:r>
          </w:p>
        </w:tc>
      </w:tr>
      <w:tr>
        <w:trPr>
          <w:trHeight w:val="243"/>
        </w:trPr>
        <w:tc>
          <w:tcPr>
            <w:tcW w:w="27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4"/>
                <w:szCs w:val="24"/>
                <w:color w:val="auto"/>
                <w:vertAlign w:val="superscript"/>
              </w:rPr>
              <w:t>(1)</w:t>
            </w:r>
          </w:p>
        </w:tc>
        <w:tc>
          <w:tcPr>
            <w:tcW w:w="2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32,193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39,515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40,844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40,844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3,469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156,865</w:t>
            </w:r>
          </w:p>
        </w:tc>
      </w:tr>
      <w:tr>
        <w:trPr>
          <w:trHeight w:val="243"/>
        </w:trPr>
        <w:tc>
          <w:tcPr>
            <w:tcW w:w="2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5,841</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5,066</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1,861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14,224</w:t>
            </w:r>
          </w:p>
        </w:tc>
      </w:tr>
      <w:tr>
        <w:trPr>
          <w:trHeight w:val="243"/>
        </w:trPr>
        <w:tc>
          <w:tcPr>
            <w:tcW w:w="27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4"/>
                <w:szCs w:val="24"/>
                <w:color w:val="auto"/>
                <w:vertAlign w:val="superscript"/>
              </w:rPr>
              <w:t>(2)</w:t>
            </w:r>
          </w:p>
        </w:tc>
        <w:tc>
          <w:tcPr>
            <w:tcW w:w="2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106</w:t>
            </w:r>
          </w:p>
        </w:tc>
      </w:tr>
      <w:tr>
        <w:trPr>
          <w:trHeight w:val="243"/>
        </w:trPr>
        <w:tc>
          <w:tcPr>
            <w:tcW w:w="272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Purchase Obligation</w:t>
            </w:r>
            <w:r>
              <w:rPr>
                <w:rFonts w:ascii="Arial" w:cs="Arial" w:eastAsia="Arial" w:hAnsi="Arial"/>
                <w:sz w:val="24"/>
                <w:szCs w:val="24"/>
                <w:color w:val="auto"/>
                <w:vertAlign w:val="superscript"/>
              </w:rPr>
              <w:t>(3)</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938</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938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1,876</w:t>
            </w:r>
          </w:p>
        </w:tc>
      </w:tr>
      <w:tr>
        <w:trPr>
          <w:trHeight w:val="187"/>
        </w:trPr>
        <w:tc>
          <w:tcPr>
            <w:tcW w:w="2720" w:type="dxa"/>
            <w:vAlign w:val="bottom"/>
          </w:tcPr>
          <w:p>
            <w:pPr>
              <w:ind w:left="20"/>
              <w:spacing w:after="0" w:line="187" w:lineRule="exact"/>
              <w:rPr>
                <w:sz w:val="20"/>
                <w:szCs w:val="20"/>
                <w:color w:val="auto"/>
              </w:rPr>
            </w:pPr>
            <w:r>
              <w:rPr>
                <w:rFonts w:ascii="Arial" w:cs="Arial" w:eastAsia="Arial" w:hAnsi="Arial"/>
                <w:sz w:val="18"/>
                <w:szCs w:val="18"/>
                <w:color w:val="auto"/>
              </w:rPr>
              <w:t>Total contractual cash</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15"/>
        </w:trPr>
        <w:tc>
          <w:tcPr>
            <w:tcW w:w="2720" w:type="dxa"/>
            <w:vAlign w:val="bottom"/>
          </w:tcPr>
          <w:p>
            <w:pPr>
              <w:ind w:left="20"/>
              <w:spacing w:after="0"/>
              <w:rPr>
                <w:sz w:val="20"/>
                <w:szCs w:val="20"/>
                <w:color w:val="auto"/>
              </w:rPr>
            </w:pPr>
            <w:r>
              <w:rPr>
                <w:rFonts w:ascii="Arial" w:cs="Arial" w:eastAsia="Arial" w:hAnsi="Arial"/>
                <w:sz w:val="18"/>
                <w:szCs w:val="18"/>
                <w:color w:val="auto"/>
              </w:rPr>
              <w:t>obligations</w:t>
            </w:r>
            <w:r>
              <w:rPr>
                <w:rFonts w:ascii="Arial" w:cs="Arial" w:eastAsia="Arial" w:hAnsi="Arial"/>
                <w:sz w:val="24"/>
                <w:szCs w:val="24"/>
                <w:color w:val="auto"/>
                <w:vertAlign w:val="superscript"/>
              </w:rPr>
              <w:t>(4)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39,078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45,519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42,705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42,188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568,305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737,795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-330200</wp:posOffset>
            </wp:positionV>
            <wp:extent cx="94615" cy="30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615" cy="3003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-330200</wp:posOffset>
            </wp:positionV>
            <wp:extent cx="94615" cy="300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3003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-330200</wp:posOffset>
            </wp:positionV>
            <wp:extent cx="85725" cy="3003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-330200</wp:posOffset>
            </wp:positionV>
            <wp:extent cx="85725"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-330200</wp:posOffset>
            </wp:positionV>
            <wp:extent cx="85725" cy="300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-330200</wp:posOffset>
            </wp:positionV>
            <wp:extent cx="85725" cy="3003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300355"/>
                    </a:xfrm>
                    <a:prstGeom prst="rect">
                      <a:avLst/>
                    </a:prstGeom>
                    <a:noFill/>
                  </pic:spPr>
                </pic:pic>
              </a:graphicData>
            </a:graphic>
          </wp:anchor>
        </w:drawing>
      </w:r>
    </w:p>
    <w:p>
      <w:pPr>
        <w:spacing w:after="0" w:line="129" w:lineRule="exact"/>
        <w:rPr>
          <w:sz w:val="20"/>
          <w:szCs w:val="20"/>
          <w:color w:val="auto"/>
        </w:rPr>
      </w:pPr>
    </w:p>
    <w:p>
      <w:pPr>
        <w:ind w:left="900" w:right="100" w:hanging="518"/>
        <w:spacing w:after="0" w:line="227" w:lineRule="auto"/>
        <w:tabs>
          <w:tab w:leader="none" w:pos="9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Debt principal consists of short-term and long-term debt obligations, and excludes debt discounts and deferred financing costs. The estimated interest payments are based on rates on individual debt and our interest rate collar agreements outstanding at December 31, 2022. Actual interest rates on our variable rate debt and interest rate collars and the actual amount of our variable indebtedness could vary from the amounts used to compute the amounts shown here.</w:t>
      </w:r>
    </w:p>
    <w:p>
      <w:pPr>
        <w:ind w:left="900" w:hanging="518"/>
        <w:spacing w:after="0" w:line="221" w:lineRule="auto"/>
        <w:tabs>
          <w:tab w:leader="none" w:pos="9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Finance leases reflect the principal amount of finance lease obligations, including related interest.</w:t>
      </w:r>
    </w:p>
    <w:p>
      <w:pPr>
        <w:ind w:left="900" w:right="120" w:hanging="518"/>
        <w:spacing w:after="0" w:line="221" w:lineRule="auto"/>
        <w:tabs>
          <w:tab w:leader="none" w:pos="9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Purchase obligations reflects a deferred purchase in 2021 of a web-based software platform for $3.8 million to be paid over four years. We had no other material purchase obligations as of December 31, 2022. In December 2022, we entered into a one-year contract with a third-party service provider which contains a minimum volume commitment, which was renewed for 2023. The Company expects to exceed the stipulated minimum volume of purchases in the ordinary course of business.</w:t>
      </w:r>
    </w:p>
    <w:p>
      <w:pPr>
        <w:ind w:left="900" w:right="60" w:hanging="518"/>
        <w:spacing w:after="0" w:line="229" w:lineRule="auto"/>
        <w:tabs>
          <w:tab w:leader="none" w:pos="9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Total contractual cash obligations in the table above exclude income taxes as we are unable to make a reasonably reliable estimate of the timing for the remaining payments in future years. As of December 31, 2022, we had unrecognized tax benefits of $1.0 million, including $0.5 million of accrued interest. Accrued penalties related to the unrecognized tax benefits were not material. Payments or receipts from tax authorities are not expected to have a significant impact on liquidity in the next year. See Note 8 to the audited consolidated financial statements included elsewhere in this Annual Report for further information.</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above does not include the liability of $4.4 million relating to legal proceedings in which the Company believes a loss is both probable and estimable. See Note 13 of the audited consolidated financial statements included elsewhere in this Annual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no standby letters of credit or other contingently available credit outstanding.</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See Note 2 to the audited consolidated financial statements included elsewhere in this Annual Report for a full description of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audited consolidated financial statements and the related notes thereto included elsewhere in this Annual Report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see Note 2 to the audited consolidated financial statements included elsewhere in this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Company’s primary source of revenues is derived from pre-onboarding background screening and related products provided to our customers on a transactional basis, in which a background screening package or selection of products is ordered by a customer related to a single applicant. Substantially all of the Company’s customers are employers, staffing companies, and other businesses or organizations. The Company’s revenues are mostly comprised of a significant volume of low-dollar services fulfilled by multiple highly automated, proprietary systems and applications. The processing of transactions and recording of revenue is based on contractual terms with the Company’s customers. The Company satisfies its performance obligations and recognizes revenues for its products as the orders are completed and the completed results or reports are transmitted, or otherwise made available. The Company’s remaining products, substantially consisting of post-onboarding monitoring, tax consulting, fleet management, and driver qualification services, are delivered over time as the customer simultaneously receives and consumes the benefits of the products and solutions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 The Company records third-party pass- through fees incurred as part of screening related products on a gross revenue basis, with the related expense recorded as a cost of service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record business combinations using the acquisition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recorded in the period in which they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We review long-lived assets held and used by us—including property and equipment primarily consisting of capitalized internal use software, and finite-lived intangible assets—for impairment whenever events or changes in business circumstances indicate that the carrying amount of an asset or asset group may not be fully recoverable. If an impairment is determined to exist, we calculate any related impairment loss based on the difference between the fair value and carrying values of the respective assets or asset groups.</w:t>
      </w:r>
    </w:p>
    <w:p>
      <w:pPr>
        <w:spacing w:after="0" w:line="1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Internal use software development costs are capitalized during the application development stage of initial development or during development of new features and enhancements. The Company amortizes these costs using the straight-line method over the estimated useful life of the software, generally three years. Software costs not meeting the criteria for capitalization are expensed as incurred.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assess goodwill for impairment annually or more frequently if events or changes in business circumstances indicate that it is more likely than not that the carrying value of a reporting unit exceeds its fair value. In performing these assessments, management relies on various factors, including operating results, business plans, economic projections, anticipated future cash flows and other market data. There are inherent uncertainties related to these factors and judgment is required in applying them to the goodwill impairment test. Our annual goodwill impairment test is performed on the last day of the year. We perform additional tests throughout the year when required.</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quantitative goodwill impairment tests, the fair value for each reporting unit is determined using a discounted cash flow method. Key assumptions for computing fair value include discount rate, long term growth rate, foreign currency exchange rate, and cash flow projections for each reporting unit. No goodwill impairment was recognized for 2022. See Note 2 to the audited consolidated financial statements included elsewhere in this Annual Report for more information on our goodwill impairment testing.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determining taxable income for our consolidated financial statements,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revenues and expenses.</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our underlying businesses.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ASC 740 requires a valuation allowance to reduce the deferred income tax assets recorded if, based on the weight of the evidence, it is more likely than not, that some or all of the deferred income tax assets will not be realized. The Company evaluates all of the positive and negative evidence annually to determine the need for a valuation allowance. After consideration of all of the evidence, the Company has determined that a valuation allowance of $1.5 million and $2.4 million is necessary at December 31, 2022 and 2021 (Successor), respectively.</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Changes in tax laws and rates could also affect recorded deferred tax assets and liabilities in the future. We record the effect of a tax rate or law change on our deferred tax assets and liabilities in the period of enactment. Future tax rate or law changes could have a material effect on our results of operations, financial condition, or cash flows.</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the calculation of our tax liabilities involves dealing with uncertainties in the application of complex tax regulations in the United States and elsewhere. We recognize potential liabilities and record tax liabilities for anticipated tax audit issues in the U.S. and other tax jurisdictions based on estimates of whether, and the extent to which, additional taxes will be due in accordance with the authoritative guidance regarding the accounting for uncertain tax positions. These tax liabilities are reflected net of related tax loss carryforwards. We adjust these reserves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 The Company classifies interest and penalties associated with its unrecognized tax benefits as a component of income tax expense (see Note 8 to the audited consolidated financial statements included elsewhere in this Annual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7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Effective December 31, 2022, we lost our status as an Emerging Growth Company (“EGC”) as defined in the Jumpstart Our Business Startups Act due to becoming a “large accelerated filer.” As a result, we must comply with all financial disclosure and governance requirements applicable to a “large accelerated filer.” For further information, see Note 2 to our audited consolidated financial statements included elsewhere in this Annual Report.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global company, we are exposed to a variety of market risks, including the effects of changes in interest rates and foreign currency exchange rates. We monitor and manage these financial exposures as an integral part of our overall risk management program. We use derivative financial instruments for hedging purposes only. We do not use derivatives for speculation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had cash and cash equivalents of $391.7 million and $292.6 million as of December 31, 2022 and 2021 (Successor), respectively. We also had short-term investments of $2.0 million and $0.9 million at December 31, 2022 and 2021 (Successor), respectively. Our cash and cash equivalents consist primarily of bank demand deposits. Our short-term investments consist of fixed time deposits having a maturity date within twelve months. We hold cash, cash equivalents, and short-term investments for working capital purposes. We do not enter into investments for trading or speculative purposes.</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not have material exposure to market risk with respect to our cash, cash equivalents, or short-term investments as these consist primarily of highly liquid investments purchased with original maturities of twelve months or less at December 31, 2022 and 2021.</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debt includes variable-rate debt and a revolving credit facility that bear interest based on LIBOR. As a result, we are exposed to fluctuations in interest rates on our long-term debt. The carrying value of our long-term debt, excluding capital lease and other long-term obligations, was $556.6 million as of December 31, 2022. The fair value of our long-term debt, excluding finance lease and other long-term obligations, was approximately the same as its carrying value of $556.6 million as of December 31, 2022. As of December 31, 2022, a hypothetical 100 basis point increase or decrease in interest rates would change the fair value of our debt by approximately $0.3 million. As of December 31, 2022, the exposure associated with our variable-rate borrowings to a hypothetical 100 basis point increase or decrease in interest rates would not be material to earnings, fair values, or cash flows. See Note 6 to the audited consolidated financial statements included elsewhere in this Annual Report for more information on our debt offerings and any outstanding debt.</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help manage borrowing costs, we may from time to time enter into interest rate derivative transactions with financial institutions acting as principal counterparties. As of December 31, 2022, we had one interest rate collar agreement with a counterparty bank entered into during February 2020. In the agreement, we and the counterparty bank agreed to a one-month LIBOR floor of 0.48% and cap of 1.50% on a portion of our term loan facility. The notional amount of this agreement was $405.0 million through February 2022 and was reduced to $300.0 million from March 2022 through February 2024. Refer to Note 7 to the consolidated financial statements included elsewhere in this Annual Report for more information about our interest rate collar agreement.</w:t>
      </w:r>
    </w:p>
    <w:p>
      <w:pPr>
        <w:spacing w:after="0" w:line="1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February 2023, the Company entered into an interest rate swap agreement with a notional amount of $100.0 million. The interest rate swap will hedge our floating LIBOR rate outstanding debt with a fixed rate of 4.36%. The interest rate swap agreement matures on February 28, 2026. The related accounting impacts of this transaction will be recognized beginning in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have exposure to the effects of foreign currency exchange rate fluctuations due to our global operations. The functional currency of all of the Company’s foreign subsidiaries is the applicable local currency. Principal foreign currency exposures relate primarily to the Indian Rupee, British Pound Sterling, and to a lesser extent the Hong Kong Dollar, Australian Dollar, and Chinese Renminbi.</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Balance sheet adjustments resulting from the translation of foreign currency-denominated subsidiary financial statements are accumulated in a separate component of equity. Gains or losses resulting from foreign currency transactions are included in the Company’s consolidated statements of operations and comprehensive (loss) income, except for gains or losses relating to intercompany transactions of a long-term investment nature, which are presented in a separate component of members’ (deficit) equity as accumulated other comprehensive loss.</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historically have not hedged our investments in foreign subsidiaries or our exposure to transaction gains or losses resulting from fluctuations in foreign currency exchange rates. Currency translation (loss) income included in other comprehensive (loss) income were approximately $(20.7) million, $(4.1) million, $2.5 million, and $0.0 million, for the year ended December 31, 2022 (Successor), for the year ended December 31, 2021 (Successor), for the period from February 1, 2020 through December 31, 2020 (Successor), and for the period from January 1, 2020 through January 31, 2020 (Predecessor),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17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Exchange Act, as amended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41" w:lineRule="exact"/>
        <w:rPr>
          <w:sz w:val="20"/>
          <w:szCs w:val="20"/>
          <w:color w:val="auto"/>
        </w:rPr>
      </w:pPr>
    </w:p>
    <w:p>
      <w:pPr>
        <w:ind w:left="60" w:right="1520" w:hanging="44"/>
        <w:spacing w:after="0" w:line="301"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that occurred during the quarter ended December 31, 2022 that materially affected, or are reasonably likely to materially affect, our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Chief Executive Officer (principal executive officer) and Chief Financial Officer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2"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transactions and dispositions of our assets;</w:t>
      </w:r>
    </w:p>
    <w:p>
      <w:pPr>
        <w:spacing w:after="0" w:line="344" w:lineRule="exact"/>
        <w:rPr>
          <w:rFonts w:ascii="Arial" w:cs="Arial" w:eastAsia="Arial" w:hAnsi="Arial"/>
          <w:sz w:val="17"/>
          <w:szCs w:val="17"/>
          <w:color w:val="auto"/>
        </w:rPr>
      </w:pPr>
    </w:p>
    <w:p>
      <w:pPr>
        <w:ind w:left="1020" w:right="160" w:hanging="503"/>
        <w:spacing w:after="0" w:line="263"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and accepted accounting principles, and that our receipts and expenditures are being made only in accordance with authorizations of our management and directors; and</w:t>
      </w:r>
    </w:p>
    <w:p>
      <w:pPr>
        <w:spacing w:after="0" w:line="291"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Our management assessed the effectiveness of the Company’s internal control over financial reporting as of December 31, 2022 using the criteria set forth by the Committee of Sponsoring Organizations of the Treadway Commission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Based on this assessment using those criteria, our management concluded that, as of December 31, 2022, the Company’s internal control over financial reporting was effective. Management reviewed the results of its assessment with the Audit Committee of its Board of Directors. The effectiveness of the Company’s internal control over financial reporting as of December 31, 2022 has been audited by Deloitte &amp; Touche LLP, the Company’s independent registered public accounting firm, as stated in their report, which appears in “Item 8. Financial Statements and Supplementary Data” of this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7" w:name="page78"/>
    <w:bookmarkEnd w:id="77"/>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We have adopted a written Global Code of Conduct and Ethics that applies to all of our directors, officers, and employees, including our Chief Executive Officer, Chief Financial Officer, and Chief Accounting Officer. Our Global Code of Conduct and Ethics is posted under the “Governance” section on our website, https://investors.fadv.com/. Our Global Code of Conduct and Ethics is a “code of ethics,” as defined in Item 406(b) of Regulation S-K. We will make any legally required disclosures regarding amendments to, or waivers of, provisions of our code of ethics on our website.</w:t>
      </w:r>
    </w:p>
    <w:p>
      <w:pPr>
        <w:spacing w:after="0" w:line="10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2023 Annual Meeting of Stockholders, which will be filed with the SEC no later than 120 days after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99" w:right="499" w:bottom="1440" w:gutter="0" w:footer="0" w:header="0"/>
        </w:sectPr>
      </w:pPr>
    </w:p>
    <w:bookmarkStart w:id="78" w:name="page79"/>
    <w:bookmarkEnd w:id="78"/>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(a)(1) Financial Statements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Our consolidated financial statements are included in this Annual Report beginning on page F-1.</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(a)(2) Financial Statement Schedules</w:t>
      </w:r>
    </w:p>
    <w:p>
      <w:pPr>
        <w:spacing w:after="0" w:line="175" w:lineRule="exact"/>
        <w:rPr>
          <w:sz w:val="20"/>
          <w:szCs w:val="20"/>
          <w:color w:val="auto"/>
        </w:rPr>
      </w:pPr>
    </w:p>
    <w:p>
      <w:pPr>
        <w:ind w:left="1180" w:right="20"/>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exhibits listed below are filed as part of this Annual Report or are incorporated herein by reference, in each case as indicated below.</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99" w:right="5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20" w:type="dxa"/>
            <w:vAlign w:val="bottom"/>
            <w:gridSpan w:val="35"/>
          </w:tcPr>
          <w:p>
            <w:pPr>
              <w:ind w:left="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32"/>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740" w:type="dxa"/>
            <w:vAlign w:val="bottom"/>
            <w:tcBorders>
              <w:bottom w:val="single" w:sz="8" w:color="auto"/>
            </w:tcBorders>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34"/>
          </w:tcPr>
          <w:p>
            <w:pPr>
              <w:spacing w:after="0" w:line="169"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Amended and Restated Certificate of Incorporation of First Advantage Corporation (incorporated by reference to Exhibit 3.1 of First</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49">
              <w:r>
                <w:rPr>
                  <w:rFonts w:ascii="Arial" w:cs="Arial" w:eastAsia="Arial" w:hAnsi="Arial"/>
                  <w:sz w:val="18"/>
                  <w:szCs w:val="18"/>
                  <w:color w:val="0000FF"/>
                </w:rPr>
                <w:t>Advantage’s Current Report on Form 8-K filed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9"/>
          </w:tcPr>
          <w:p>
            <w:pPr>
              <w:spacing w:after="0"/>
              <w:rPr>
                <w:rFonts w:ascii="Arial" w:cs="Arial" w:eastAsia="Arial" w:hAnsi="Arial"/>
                <w:sz w:val="18"/>
                <w:szCs w:val="18"/>
                <w:color w:val="0000FF"/>
                <w:w w:val="91"/>
              </w:rPr>
            </w:pPr>
            <w:hyperlink r:id="rId150">
              <w:r>
                <w:rPr>
                  <w:rFonts w:ascii="Arial" w:cs="Arial" w:eastAsia="Arial" w:hAnsi="Arial"/>
                  <w:sz w:val="18"/>
                  <w:szCs w:val="18"/>
                  <w:color w:val="0000FF"/>
                  <w:w w:val="91"/>
                </w:rPr>
                <w:t>Amended and Restated Bylaws of First Advantage Corporation (incorporated by reference to Exhibit 3.2 of First Advantage’s Current</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50">
              <w:r>
                <w:rPr>
                  <w:rFonts w:ascii="Arial" w:cs="Arial" w:eastAsia="Arial" w:hAnsi="Arial"/>
                  <w:sz w:val="18"/>
                  <w:szCs w:val="18"/>
                  <w:color w:val="0000FF"/>
                </w:rPr>
                <w:t>Report on Form 8-K filed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tcBorders>
              <w:bottom w:val="single" w:sz="8" w:color="0000FF"/>
            </w:tcBorders>
            <w:gridSpan w:val="27"/>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Description of Securities Registered Pursuant to Section 12 of the Securities Exchange Act of 1934 (incorporated by reference to</w:t>
              </w:r>
            </w:hyperlink>
          </w:p>
        </w:tc>
        <w:tc>
          <w:tcPr>
            <w:tcW w:w="4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20" w:type="dxa"/>
            <w:vAlign w:val="bottom"/>
            <w:tcBorders>
              <w:bottom w:val="single" w:sz="8" w:color="0000EE"/>
            </w:tcBorders>
            <w:gridSpan w:val="10"/>
          </w:tcPr>
          <w:p>
            <w:pPr>
              <w:spacing w:after="0" w:line="196" w:lineRule="exact"/>
              <w:rPr>
                <w:rFonts w:ascii="Arial" w:cs="Arial" w:eastAsia="Arial" w:hAnsi="Arial"/>
                <w:sz w:val="18"/>
                <w:szCs w:val="18"/>
                <w:color w:val="0000FF"/>
                <w:w w:val="93"/>
              </w:rPr>
            </w:pPr>
            <w:hyperlink r:id="rId151">
              <w:r>
                <w:rPr>
                  <w:rFonts w:ascii="Arial" w:cs="Arial" w:eastAsia="Arial" w:hAnsi="Arial"/>
                  <w:sz w:val="18"/>
                  <w:szCs w:val="18"/>
                  <w:color w:val="0000FF"/>
                  <w:w w:val="93"/>
                </w:rPr>
                <w:t>Exhibit 4.1 to First Advantage’s Annual Report on Form 10-K filed on March 23, 2022).</w:t>
              </w:r>
            </w:hyperlink>
          </w:p>
        </w:tc>
        <w:tc>
          <w:tcPr>
            <w:tcW w:w="33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10.1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tcBorders>
              <w:bottom w:val="single" w:sz="8" w:color="0000FF"/>
            </w:tcBorders>
            <w:gridSpan w:val="28"/>
          </w:tcPr>
          <w:p>
            <w:pPr>
              <w:spacing w:after="0"/>
              <w:rPr>
                <w:rFonts w:ascii="Arial" w:cs="Arial" w:eastAsia="Arial" w:hAnsi="Arial"/>
                <w:sz w:val="18"/>
                <w:szCs w:val="18"/>
                <w:color w:val="0000FF"/>
                <w:w w:val="91"/>
              </w:rPr>
            </w:pPr>
            <w:hyperlink r:id="rId152">
              <w:r>
                <w:rPr>
                  <w:rFonts w:ascii="Arial" w:cs="Arial" w:eastAsia="Arial" w:hAnsi="Arial"/>
                  <w:sz w:val="18"/>
                  <w:szCs w:val="18"/>
                  <w:color w:val="0000FF"/>
                  <w:w w:val="91"/>
                </w:rPr>
                <w:t>First Advantage Corporation 2021 Employee Stock Purchase Plan (incorporated by reference to Exhibit 10.3 of First Advantage’s</w:t>
              </w:r>
            </w:hyperlink>
          </w:p>
        </w:tc>
        <w:tc>
          <w:tcPr>
            <w:tcW w:w="3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Current Report on Form 8-K filed on June 25, 2021).</w:t>
              </w:r>
            </w:hyperlink>
          </w:p>
        </w:tc>
        <w:tc>
          <w:tcPr>
            <w:tcW w:w="20" w:type="dxa"/>
            <w:vAlign w:val="bottom"/>
            <w:tcBorders>
              <w:bottom w:val="single" w:sz="8" w:color="0000EE"/>
            </w:tcBorders>
          </w:tcPr>
          <w:p>
            <w:pPr>
              <w:spacing w:after="0"/>
              <w:rPr>
                <w:sz w:val="17"/>
                <w:szCs w:val="17"/>
                <w:color w:val="auto"/>
              </w:rPr>
            </w:pPr>
          </w:p>
        </w:tc>
        <w:tc>
          <w:tcPr>
            <w:tcW w:w="590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10.2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35"/>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First Advantage Corporation 2021 Omnibus Incentive Plan (incorporated by reference to Exhibit 10.2 of First Advantage’s Quarterly</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Report on Form 10-Q filed on August 12,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10.3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33"/>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Form of Standard Option Award Agreement under the First Advantage Corporation 2021 Omnibus Incentive Program (incorporated</w:t>
              </w:r>
            </w:hyperlink>
          </w:p>
        </w:tc>
        <w:tc>
          <w:tcPr>
            <w:tcW w:w="1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by reference to Exhibit 4.5 to First Advantage’s Registration Statement on Form S-8 filed on June 25, 2021).</w:t>
              </w:r>
            </w:hyperlink>
          </w:p>
        </w:tc>
        <w:tc>
          <w:tcPr>
            <w:tcW w:w="20" w:type="dxa"/>
            <w:vAlign w:val="bottom"/>
            <w:tcBorders>
              <w:bottom w:val="single" w:sz="8" w:color="0000EE"/>
            </w:tcBorders>
          </w:tcPr>
          <w:p>
            <w:pPr>
              <w:spacing w:after="0"/>
              <w:rPr>
                <w:sz w:val="17"/>
                <w:szCs w:val="17"/>
                <w:color w:val="auto"/>
              </w:rPr>
            </w:pPr>
          </w:p>
        </w:tc>
        <w:tc>
          <w:tcPr>
            <w:tcW w:w="19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10.4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32"/>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Form of Standard Option Award Grant Notice and Agreement under the First Advantage Corporation 2021 Omnibus Incentive Plan</w:t>
              </w:r>
            </w:hyperlink>
          </w:p>
        </w:tc>
        <w:tc>
          <w:tcPr>
            <w:tcW w:w="2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(incorporated by reference to Exhibit 10.3 to First Advantage’s Quarterly Report on Form 10-Q filed on August 4,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5"/>
            <w:shd w:val="clear" w:color="auto" w:fill="0000FF"/>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10.5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40" w:type="dxa"/>
            <w:vAlign w:val="bottom"/>
            <w:tcBorders>
              <w:bottom w:val="single" w:sz="8" w:color="0000FF"/>
            </w:tcBorders>
            <w:gridSpan w:val="22"/>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Form of Non-Employee Director Restricted Stock Unit Initial Award Grant Notice and Agreement under the First Advantage</w:t>
              </w:r>
            </w:hyperlink>
          </w:p>
        </w:tc>
        <w:tc>
          <w:tcPr>
            <w:tcW w:w="70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Corporation 2021 Omnibus Incentive Plan (incorporated by reference to Exhibit 10.1 to First Advantage’s Quarterly Report on Form</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10-Q filed on August 4, 2022).</w:t>
              </w:r>
            </w:hyperlink>
          </w:p>
        </w:tc>
        <w:tc>
          <w:tcPr>
            <w:tcW w:w="20" w:type="dxa"/>
            <w:vAlign w:val="bottom"/>
            <w:tcBorders>
              <w:bottom w:val="single" w:sz="8" w:color="0000EE"/>
            </w:tcBorders>
          </w:tcPr>
          <w:p>
            <w:pPr>
              <w:spacing w:after="0"/>
              <w:rPr>
                <w:sz w:val="17"/>
                <w:szCs w:val="17"/>
                <w:color w:val="auto"/>
              </w:rPr>
            </w:pPr>
          </w:p>
        </w:tc>
        <w:tc>
          <w:tcPr>
            <w:tcW w:w="75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10.6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40" w:type="dxa"/>
            <w:vAlign w:val="bottom"/>
            <w:tcBorders>
              <w:bottom w:val="single" w:sz="8" w:color="0000FF"/>
            </w:tcBorders>
            <w:gridSpan w:val="24"/>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Form of Non-Employee Director Restricted Stock Unit Annual Award Grant Notice and Agreement under the First Advantage</w:t>
              </w:r>
            </w:hyperlink>
          </w:p>
        </w:tc>
        <w:tc>
          <w:tcPr>
            <w:tcW w:w="60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Corporation 2021 Omnibus Incentive Plan (incorporated by reference to Exhibit 10.2 to First Advantage’s Quarterly Report on Form</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10-Q filed on August 4, 2022).</w:t>
              </w:r>
            </w:hyperlink>
          </w:p>
        </w:tc>
        <w:tc>
          <w:tcPr>
            <w:tcW w:w="20" w:type="dxa"/>
            <w:vAlign w:val="bottom"/>
            <w:tcBorders>
              <w:bottom w:val="single" w:sz="8" w:color="0000EE"/>
            </w:tcBorders>
          </w:tcPr>
          <w:p>
            <w:pPr>
              <w:spacing w:after="0"/>
              <w:rPr>
                <w:sz w:val="17"/>
                <w:szCs w:val="17"/>
                <w:color w:val="auto"/>
              </w:rPr>
            </w:pPr>
          </w:p>
        </w:tc>
        <w:tc>
          <w:tcPr>
            <w:tcW w:w="75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10.7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0" w:type="dxa"/>
            <w:vAlign w:val="bottom"/>
            <w:tcBorders>
              <w:bottom w:val="single" w:sz="8" w:color="0000FF"/>
            </w:tcBorders>
            <w:gridSpan w:val="25"/>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Form of Non-Employee Director RSU Award Agreement under the First Advantage Corporation 2021 Omnibus Incentive Plan</w:t>
              </w:r>
            </w:hyperlink>
          </w:p>
        </w:tc>
        <w:tc>
          <w:tcPr>
            <w:tcW w:w="5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(incorporated by reference to Exhibit 4.6 to First Advantage’s Registration Statement on Form S-8 filed on June 25, 2021).</w:t>
              </w:r>
            </w:hyperlink>
          </w:p>
        </w:tc>
        <w:tc>
          <w:tcPr>
            <w:tcW w:w="20" w:type="dxa"/>
            <w:vAlign w:val="bottom"/>
            <w:tcBorders>
              <w:bottom w:val="single" w:sz="8" w:color="0000EE"/>
            </w:tcBorders>
          </w:tcPr>
          <w:p>
            <w:pPr>
              <w:spacing w:after="0"/>
              <w:rPr>
                <w:sz w:val="17"/>
                <w:szCs w:val="17"/>
                <w:color w:val="auto"/>
              </w:rPr>
            </w:pPr>
          </w:p>
        </w:tc>
        <w:tc>
          <w:tcPr>
            <w:tcW w:w="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10.8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32"/>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Form of Restricted Stock Unit Award Grant Notice and Agreement under the First Advantage Corporation 2021 Omnibus Incentive</w:t>
              </w:r>
            </w:hyperlink>
          </w:p>
        </w:tc>
        <w:tc>
          <w:tcPr>
            <w:tcW w:w="2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w w:val="98"/>
              </w:rPr>
            </w:pPr>
            <w:hyperlink r:id="rId159">
              <w:r>
                <w:rPr>
                  <w:rFonts w:ascii="Arial" w:cs="Arial" w:eastAsia="Arial" w:hAnsi="Arial"/>
                  <w:sz w:val="18"/>
                  <w:szCs w:val="18"/>
                  <w:color w:val="0000FF"/>
                  <w:w w:val="98"/>
                </w:rPr>
                <w:t>Plan (incorporated by reference to Exhibit 10.4 to First Advantage’s Quarterly Report on Form 10-Q filed on August 4,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gridSpan w:val="7"/>
            <w:shd w:val="clear" w:color="auto" w:fill="0000FF"/>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EE"/>
            </w:tcBorders>
            <w:gridSpan w:val="5"/>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10.9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tcBorders>
              <w:bottom w:val="single" w:sz="8" w:color="0000FF"/>
            </w:tcBorders>
            <w:gridSpan w:val="31"/>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Form of Restricted Stock Award Agreement under the First Advantage Corporation 2021 Omnibus Incentive Plan (incorporated by</w:t>
              </w:r>
            </w:hyperlink>
          </w:p>
        </w:tc>
        <w:tc>
          <w:tcPr>
            <w:tcW w:w="2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reference to Exhibit 10.6 to First Advantage’s Quarterly Report on Form 10-Q filed on August 12, 2021).</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10.10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bottom w:val="single" w:sz="8" w:color="0000FF"/>
            </w:tcBorders>
            <w:gridSpan w:val="29"/>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Form of Top-Up Option Award Agreement under the First Advantage Corporation 2021 Omnibus Incentive Plan (incorporated by</w:t>
              </w:r>
            </w:hyperlink>
          </w:p>
        </w:tc>
        <w:tc>
          <w:tcPr>
            <w:tcW w:w="3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reference to Exhibit 10.7 to First Advantage’s Quarterly Report on Form 10-Q filed on August 12, 2021).</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10.11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80" w:type="dxa"/>
            <w:vAlign w:val="bottom"/>
            <w:tcBorders>
              <w:bottom w:val="single" w:sz="8" w:color="0000FF"/>
            </w:tcBorders>
            <w:gridSpan w:val="26"/>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Form of Restrictive Covenant Agreement under the First Advantage Corporation 2021 Omnibus Incentive Plan (incorporated by</w:t>
              </w:r>
            </w:hyperlink>
          </w:p>
        </w:tc>
        <w:tc>
          <w:tcPr>
            <w:tcW w:w="46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62">
              <w:r>
                <w:rPr>
                  <w:rFonts w:ascii="Arial" w:cs="Arial" w:eastAsia="Arial" w:hAnsi="Arial"/>
                  <w:sz w:val="18"/>
                  <w:szCs w:val="18"/>
                  <w:color w:val="0000FF"/>
                </w:rPr>
                <w:t>reference to Exhibit 10.7 to First Advantage’s Registration Statement on Form S-1 filed on June 14, 2021).</w:t>
              </w:r>
            </w:hyperlink>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10.12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8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of Non-Employee Director Compensation Policy.</w:t>
            </w:r>
          </w:p>
        </w:tc>
        <w:tc>
          <w:tcPr>
            <w:tcW w:w="206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160" w:type="dxa"/>
            <w:vAlign w:val="bottom"/>
            <w:tcBorders>
              <w:right w:val="single" w:sz="8" w:color="0000EE"/>
            </w:tcBorders>
            <w:gridSpan w:val="7"/>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10.13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35"/>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Form of IPO Director RSU Award Agreement under the First Advantage Corporation 2021 Omnibus Incentive Plan (incorporated by</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reference to Exhibit 10.9 to First Advantage’s Quarterly Report on Form 10-Q filed on August 12, 2021).</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10.14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36"/>
          </w:tcPr>
          <w:p>
            <w:pPr>
              <w:spacing w:after="0"/>
              <w:rPr>
                <w:rFonts w:ascii="Arial" w:cs="Arial" w:eastAsia="Arial" w:hAnsi="Arial"/>
                <w:sz w:val="18"/>
                <w:szCs w:val="18"/>
                <w:color w:val="0000FF"/>
                <w:w w:val="91"/>
              </w:rPr>
            </w:pPr>
            <w:hyperlink r:id="rId164">
              <w:r>
                <w:rPr>
                  <w:rFonts w:ascii="Arial" w:cs="Arial" w:eastAsia="Arial" w:hAnsi="Arial"/>
                  <w:sz w:val="18"/>
                  <w:szCs w:val="18"/>
                  <w:color w:val="0000FF"/>
                  <w:w w:val="91"/>
                </w:rPr>
                <w:t>Form of Option Conversion Notice (incorporated by reference to Exhibit 4.12 to First Advantage’s Registration Statement on Form S-</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8 filed on June 25, 2021).</w:t>
              </w:r>
            </w:hyperlink>
          </w:p>
        </w:tc>
        <w:tc>
          <w:tcPr>
            <w:tcW w:w="7900" w:type="dxa"/>
            <w:vAlign w:val="bottom"/>
            <w:gridSpan w:val="3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10.15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37"/>
          </w:tcPr>
          <w:p>
            <w:pPr>
              <w:spacing w:after="0"/>
              <w:rPr>
                <w:rFonts w:ascii="Arial" w:cs="Arial" w:eastAsia="Arial" w:hAnsi="Arial"/>
                <w:sz w:val="18"/>
                <w:szCs w:val="18"/>
                <w:color w:val="0000FF"/>
                <w:w w:val="90"/>
              </w:rPr>
            </w:pPr>
            <w:hyperlink r:id="rId165">
              <w:r>
                <w:rPr>
                  <w:rFonts w:ascii="Arial" w:cs="Arial" w:eastAsia="Arial" w:hAnsi="Arial"/>
                  <w:sz w:val="18"/>
                  <w:szCs w:val="18"/>
                  <w:color w:val="0000FF"/>
                  <w:w w:val="90"/>
                </w:rPr>
                <w:t>Employment Offer Letter, dated March 1, 2017, between First Advantage Corporation and Scott Staples (incorporated by reference to</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Exhibit 10.3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tcBorders>
              <w:right w:val="single" w:sz="8" w:color="0000EE"/>
            </w:tcBorders>
            <w:gridSpan w:val="11"/>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10.16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bottom w:val="single" w:sz="8" w:color="0000FF"/>
            </w:tcBorders>
            <w:gridSpan w:val="38"/>
          </w:tcPr>
          <w:p>
            <w:pPr>
              <w:spacing w:after="0"/>
              <w:rPr>
                <w:rFonts w:ascii="Arial" w:cs="Arial" w:eastAsia="Arial" w:hAnsi="Arial"/>
                <w:sz w:val="18"/>
                <w:szCs w:val="18"/>
                <w:color w:val="0000FF"/>
                <w:w w:val="90"/>
              </w:rPr>
            </w:pPr>
            <w:hyperlink r:id="rId166">
              <w:r>
                <w:rPr>
                  <w:rFonts w:ascii="Arial" w:cs="Arial" w:eastAsia="Arial" w:hAnsi="Arial"/>
                  <w:sz w:val="18"/>
                  <w:szCs w:val="18"/>
                  <w:color w:val="0000FF"/>
                  <w:w w:val="90"/>
                </w:rPr>
                <w:t>Employment Offer Letter, dated August 14, 2015, between First Advantage Corporation and Joseph Jaeger (incorporated by reference</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to Exhibit 10.4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80" w:type="dxa"/>
            <w:vAlign w:val="bottom"/>
            <w:tcBorders>
              <w:right w:val="single" w:sz="8" w:color="0000EE"/>
            </w:tcBorders>
            <w:gridSpan w:val="12"/>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10.17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37"/>
          </w:tcPr>
          <w:p>
            <w:pPr>
              <w:spacing w:after="0"/>
              <w:rPr>
                <w:rFonts w:ascii="Arial" w:cs="Arial" w:eastAsia="Arial" w:hAnsi="Arial"/>
                <w:sz w:val="18"/>
                <w:szCs w:val="18"/>
                <w:color w:val="0000FF"/>
                <w:w w:val="90"/>
              </w:rPr>
            </w:pPr>
            <w:hyperlink r:id="rId167">
              <w:r>
                <w:rPr>
                  <w:rFonts w:ascii="Arial" w:cs="Arial" w:eastAsia="Arial" w:hAnsi="Arial"/>
                  <w:sz w:val="18"/>
                  <w:szCs w:val="18"/>
                  <w:color w:val="0000FF"/>
                  <w:w w:val="90"/>
                </w:rPr>
                <w:t>Amendment to Employment Offer Letter, dated May 19, 2016, between First Advantage Corporation and Joseph Jaeger (incorporated</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by reference to Exhibit 10.5 to First Advantage’s Registration Statement on Form S-1 filed on May 28,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20" w:type="dxa"/>
            <w:vAlign w:val="bottom"/>
            <w:tcBorders>
              <w:right w:val="single" w:sz="8" w:color="0000EE"/>
            </w:tcBorders>
            <w:gridSpan w:val="18"/>
            <w:shd w:val="clear" w:color="auto" w:fill="0000FF"/>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10.18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30"/>
          </w:tcPr>
          <w:p>
            <w:pPr>
              <w:spacing w:after="0"/>
              <w:rPr>
                <w:rFonts w:ascii="Arial" w:cs="Arial" w:eastAsia="Arial" w:hAnsi="Arial"/>
                <w:sz w:val="18"/>
                <w:szCs w:val="18"/>
                <w:color w:val="0000FF"/>
                <w:w w:val="91"/>
              </w:rPr>
            </w:pPr>
            <w:hyperlink r:id="rId168">
              <w:r>
                <w:rPr>
                  <w:rFonts w:ascii="Arial" w:cs="Arial" w:eastAsia="Arial" w:hAnsi="Arial"/>
                  <w:sz w:val="18"/>
                  <w:szCs w:val="18"/>
                  <w:color w:val="0000FF"/>
                  <w:w w:val="91"/>
                </w:rPr>
                <w:t>Employment Offer Letter, dated December 17, 2015, between First Advantage Corporation and David L. Gamsey (incorporated by</w:t>
              </w:r>
            </w:hyperlink>
          </w:p>
        </w:tc>
        <w:tc>
          <w:tcPr>
            <w:tcW w:w="2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0"/>
          </w:tcPr>
          <w:p>
            <w:pPr>
              <w:spacing w:after="0" w:line="196" w:lineRule="exact"/>
              <w:rPr>
                <w:rFonts w:ascii="Arial" w:cs="Arial" w:eastAsia="Arial" w:hAnsi="Arial"/>
                <w:sz w:val="18"/>
                <w:szCs w:val="18"/>
                <w:color w:val="0000FF"/>
              </w:rPr>
            </w:pPr>
            <w:hyperlink r:id="rId168">
              <w:r>
                <w:rPr>
                  <w:rFonts w:ascii="Arial" w:cs="Arial" w:eastAsia="Arial" w:hAnsi="Arial"/>
                  <w:sz w:val="18"/>
                  <w:szCs w:val="18"/>
                  <w:color w:val="0000FF"/>
                </w:rPr>
                <w:t>reference to Exhibit 10.6 to First Advantage’s Registration Statement on Form S-1 filed on May 28, 2021).</w:t>
              </w:r>
            </w:hyperlink>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4780" w:type="dxa"/>
            <w:vAlign w:val="bottom"/>
            <w:tcBorders>
              <w:top w:val="single" w:sz="8" w:color="0000FF"/>
            </w:tcBorders>
            <w:gridSpan w:val="9"/>
          </w:tcPr>
          <w:p>
            <w:pPr>
              <w:ind w:left="4040"/>
              <w:spacing w:after="0"/>
              <w:rPr>
                <w:sz w:val="20"/>
                <w:szCs w:val="20"/>
                <w:color w:val="auto"/>
              </w:rPr>
            </w:pPr>
            <w:r>
              <w:rPr>
                <w:rFonts w:ascii="Arial" w:cs="Arial" w:eastAsia="Arial" w:hAnsi="Arial"/>
                <w:sz w:val="18"/>
                <w:szCs w:val="18"/>
                <w:color w:val="auto"/>
              </w:rPr>
              <w:t>80</w:t>
            </w:r>
          </w:p>
        </w:tc>
        <w:tc>
          <w:tcPr>
            <w:tcW w:w="16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340" w:type="dxa"/>
            <w:vAlign w:val="bottom"/>
            <w:gridSpan w:val="28"/>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185"/>
        </w:trPr>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10.19 †</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bottom w:val="single" w:sz="8" w:color="0000FF"/>
            </w:tcBorders>
            <w:gridSpan w:val="31"/>
          </w:tcPr>
          <w:p>
            <w:pPr>
              <w:spacing w:after="0" w:line="169" w:lineRule="exact"/>
              <w:rPr>
                <w:rFonts w:ascii="Arial" w:cs="Arial" w:eastAsia="Arial" w:hAnsi="Arial"/>
                <w:sz w:val="18"/>
                <w:szCs w:val="18"/>
                <w:color w:val="0000FF"/>
                <w:w w:val="89"/>
              </w:rPr>
            </w:pPr>
            <w:hyperlink r:id="rId171">
              <w:r>
                <w:rPr>
                  <w:rFonts w:ascii="Arial" w:cs="Arial" w:eastAsia="Arial" w:hAnsi="Arial"/>
                  <w:sz w:val="18"/>
                  <w:szCs w:val="18"/>
                  <w:color w:val="0000FF"/>
                  <w:w w:val="89"/>
                </w:rPr>
                <w:t>Class C LP Unit Grant Agreement, dated February 9, 2020, between Fastball Holdco, L.P. and Scott Staples (incorporated by reference</w:t>
              </w:r>
            </w:hyperlink>
          </w:p>
        </w:tc>
        <w:tc>
          <w:tcPr>
            <w:tcW w:w="20" w:type="dxa"/>
            <w:vAlign w:val="bottom"/>
          </w:tcPr>
          <w:p>
            <w:pPr>
              <w:spacing w:after="0"/>
              <w:rPr>
                <w:sz w:val="14"/>
                <w:szCs w:val="14"/>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2"/>
          </w:tcPr>
          <w:p>
            <w:pPr>
              <w:spacing w:after="0" w:line="196" w:lineRule="exact"/>
              <w:rPr>
                <w:rFonts w:ascii="Arial" w:cs="Arial" w:eastAsia="Arial" w:hAnsi="Arial"/>
                <w:sz w:val="18"/>
                <w:szCs w:val="18"/>
                <w:color w:val="0000FF"/>
              </w:rPr>
            </w:pPr>
            <w:hyperlink r:id="rId171">
              <w:r>
                <w:rPr>
                  <w:rFonts w:ascii="Arial" w:cs="Arial" w:eastAsia="Arial" w:hAnsi="Arial"/>
                  <w:sz w:val="18"/>
                  <w:szCs w:val="18"/>
                  <w:color w:val="0000FF"/>
                </w:rPr>
                <w:t>to Exhibit 10.7 to First Advantage’s Registration Statement on Form S-1 filed on May 28,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10.20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tcBorders>
              <w:bottom w:val="single" w:sz="8" w:color="0000FF"/>
            </w:tcBorders>
            <w:gridSpan w:val="19"/>
          </w:tcPr>
          <w:p>
            <w:pPr>
              <w:spacing w:after="0"/>
              <w:rPr>
                <w:rFonts w:ascii="Arial" w:cs="Arial" w:eastAsia="Arial" w:hAnsi="Arial"/>
                <w:sz w:val="18"/>
                <w:szCs w:val="18"/>
                <w:color w:val="0000FF"/>
                <w:w w:val="89"/>
              </w:rPr>
            </w:pPr>
            <w:hyperlink r:id="rId172">
              <w:r>
                <w:rPr>
                  <w:rFonts w:ascii="Arial" w:cs="Arial" w:eastAsia="Arial" w:hAnsi="Arial"/>
                  <w:sz w:val="18"/>
                  <w:szCs w:val="18"/>
                  <w:color w:val="0000FF"/>
                  <w:w w:val="89"/>
                </w:rPr>
                <w:t>Class C LP Unit Grant Agreement, dated February 9, 2020, between Fastball Holdco, L.P. and Joseph Jaeger (incorporated by</w:t>
              </w:r>
            </w:hyperlink>
          </w:p>
        </w:tc>
        <w:tc>
          <w:tcPr>
            <w:tcW w:w="640" w:type="dxa"/>
            <w:vAlign w:val="bottom"/>
            <w:gridSpan w:val="13"/>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2"/>
          </w:tcPr>
          <w:p>
            <w:pPr>
              <w:spacing w:after="0" w:line="196" w:lineRule="exact"/>
              <w:rPr>
                <w:rFonts w:ascii="Arial" w:cs="Arial" w:eastAsia="Arial" w:hAnsi="Arial"/>
                <w:sz w:val="18"/>
                <w:szCs w:val="18"/>
                <w:color w:val="0000FF"/>
              </w:rPr>
            </w:pPr>
            <w:hyperlink r:id="rId172">
              <w:r>
                <w:rPr>
                  <w:rFonts w:ascii="Arial" w:cs="Arial" w:eastAsia="Arial" w:hAnsi="Arial"/>
                  <w:sz w:val="18"/>
                  <w:szCs w:val="18"/>
                  <w:color w:val="0000FF"/>
                </w:rPr>
                <w:t>reference to Exhibit 10.8 to First Advantage’s Registration Statement on Form S-1 filed on May 28,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10.21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tcBorders>
              <w:bottom w:val="single" w:sz="8" w:color="0000FF"/>
            </w:tcBorders>
            <w:gridSpan w:val="20"/>
          </w:tcPr>
          <w:p>
            <w:pPr>
              <w:spacing w:after="0"/>
              <w:rPr>
                <w:rFonts w:ascii="Arial" w:cs="Arial" w:eastAsia="Arial" w:hAnsi="Arial"/>
                <w:sz w:val="18"/>
                <w:szCs w:val="18"/>
                <w:color w:val="0000FF"/>
                <w:w w:val="90"/>
              </w:rPr>
            </w:pPr>
            <w:hyperlink r:id="rId173">
              <w:r>
                <w:rPr>
                  <w:rFonts w:ascii="Arial" w:cs="Arial" w:eastAsia="Arial" w:hAnsi="Arial"/>
                  <w:sz w:val="18"/>
                  <w:szCs w:val="18"/>
                  <w:color w:val="0000FF"/>
                  <w:w w:val="90"/>
                </w:rPr>
                <w:t>Class C LP Unit Grant Agreement, dated February 9, 2020, between Fastball Holdco, L.P. and David L. Gamsey (incorporated by</w:t>
              </w:r>
            </w:hyperlink>
          </w:p>
        </w:tc>
        <w:tc>
          <w:tcPr>
            <w:tcW w:w="360" w:type="dxa"/>
            <w:vAlign w:val="bottom"/>
            <w:gridSpan w:val="12"/>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2"/>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reference to Exhibit 10.9 to First Advantage’s Registration Statement on Form S-1 filed on May 28,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10.22 †</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28"/>
          </w:tcPr>
          <w:p>
            <w:pPr>
              <w:spacing w:after="0"/>
              <w:rPr>
                <w:rFonts w:ascii="Arial" w:cs="Arial" w:eastAsia="Arial" w:hAnsi="Arial"/>
                <w:sz w:val="18"/>
                <w:szCs w:val="18"/>
                <w:color w:val="0000FF"/>
                <w:w w:val="91"/>
              </w:rPr>
            </w:pPr>
            <w:hyperlink r:id="rId174">
              <w:r>
                <w:rPr>
                  <w:rFonts w:ascii="Arial" w:cs="Arial" w:eastAsia="Arial" w:hAnsi="Arial"/>
                  <w:sz w:val="18"/>
                  <w:szCs w:val="18"/>
                  <w:color w:val="0000FF"/>
                  <w:w w:val="91"/>
                </w:rPr>
                <w:t>Option Grant Agreement (Class B LP Units), dated February 9, 2020, among Fastball Holdco, L.P., Bret Jardine and First Advantage</w:t>
              </w:r>
            </w:hyperlink>
          </w:p>
        </w:tc>
        <w:tc>
          <w:tcPr>
            <w:tcW w:w="100" w:type="dxa"/>
            <w:vAlign w:val="bottom"/>
            <w:gridSpan w:val="4"/>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Background Services Corp (incorporated by reference to Exhibit 10.16 to First Advantage’s Registration Statement on Form S-1/A</w:t>
              </w:r>
            </w:hyperlink>
          </w:p>
        </w:tc>
        <w:tc>
          <w:tcPr>
            <w:tcW w:w="26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2"/>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filed on June 14,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bottom w:val="single" w:sz="8" w:color="0000FF"/>
            </w:tcBorders>
            <w:gridSpan w:val="18"/>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Restricted Stock Unit Grant Agreement, dated December 22, 2021, between First Advantage Corporation and Joseph Jaeger</w:t>
              </w:r>
            </w:hyperlink>
          </w:p>
        </w:tc>
        <w:tc>
          <w:tcPr>
            <w:tcW w:w="760" w:type="dxa"/>
            <w:vAlign w:val="bottom"/>
            <w:gridSpan w:val="14"/>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(incorporated by reference to Exhibit 10.19 to First Advantage’s Annual Report on Form 10-K filed on March 23, 2022).</w:t>
              </w:r>
            </w:hyperlink>
          </w:p>
        </w:tc>
        <w:tc>
          <w:tcPr>
            <w:tcW w:w="20" w:type="dxa"/>
            <w:vAlign w:val="bottom"/>
            <w:tcBorders>
              <w:bottom w:val="single" w:sz="8" w:color="0000EE"/>
            </w:tcBorders>
          </w:tcPr>
          <w:p>
            <w:pPr>
              <w:spacing w:after="0"/>
              <w:rPr>
                <w:sz w:val="17"/>
                <w:szCs w:val="17"/>
                <w:color w:val="auto"/>
              </w:rPr>
            </w:pPr>
          </w:p>
        </w:tc>
        <w:tc>
          <w:tcPr>
            <w:tcW w:w="1020" w:type="dxa"/>
            <w:vAlign w:val="bottom"/>
            <w:gridSpan w:val="17"/>
          </w:tcPr>
          <w:p>
            <w:pPr>
              <w:spacing w:after="0"/>
              <w:rPr>
                <w:sz w:val="17"/>
                <w:szCs w:val="17"/>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28"/>
          </w:tcPr>
          <w:p>
            <w:pPr>
              <w:spacing w:after="0"/>
              <w:rPr>
                <w:rFonts w:ascii="Arial" w:cs="Arial" w:eastAsia="Arial" w:hAnsi="Arial"/>
                <w:sz w:val="18"/>
                <w:szCs w:val="18"/>
                <w:color w:val="0000FF"/>
                <w:w w:val="91"/>
              </w:rPr>
            </w:pPr>
            <w:hyperlink r:id="rId176">
              <w:r>
                <w:rPr>
                  <w:rFonts w:ascii="Arial" w:cs="Arial" w:eastAsia="Arial" w:hAnsi="Arial"/>
                  <w:sz w:val="18"/>
                  <w:szCs w:val="18"/>
                  <w:color w:val="0000FF"/>
                  <w:w w:val="91"/>
                </w:rPr>
                <w:t>First Lien Credit Agreement, dated January 31, 2020, among Fastball Parent, Inc., Fastball MergerSub, LLC the lenders from time to</w:t>
              </w:r>
            </w:hyperlink>
          </w:p>
        </w:tc>
        <w:tc>
          <w:tcPr>
            <w:tcW w:w="100" w:type="dxa"/>
            <w:vAlign w:val="bottom"/>
            <w:gridSpan w:val="4"/>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time party thereto, and Bank of America, N.A., as administrative agent (incorporated by reference to Exhibit 10.10 to First</w:t>
              </w:r>
            </w:hyperlink>
          </w:p>
        </w:tc>
        <w:tc>
          <w:tcPr>
            <w:tcW w:w="880" w:type="dxa"/>
            <w:vAlign w:val="bottom"/>
            <w:gridSpan w:val="1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Advantage’s Registration Statement on Form S-1 filed on May 28, 2021).</w:t>
              </w:r>
            </w:hyperlink>
          </w:p>
        </w:tc>
        <w:tc>
          <w:tcPr>
            <w:tcW w:w="20" w:type="dxa"/>
            <w:vAlign w:val="bottom"/>
            <w:tcBorders>
              <w:bottom w:val="single" w:sz="8" w:color="0000EE"/>
            </w:tcBorders>
          </w:tcPr>
          <w:p>
            <w:pPr>
              <w:spacing w:after="0"/>
              <w:rPr>
                <w:sz w:val="17"/>
                <w:szCs w:val="17"/>
                <w:color w:val="auto"/>
              </w:rPr>
            </w:pPr>
          </w:p>
        </w:tc>
        <w:tc>
          <w:tcPr>
            <w:tcW w:w="4420" w:type="dxa"/>
            <w:vAlign w:val="bottom"/>
            <w:gridSpan w:val="24"/>
          </w:tcPr>
          <w:p>
            <w:pPr>
              <w:spacing w:after="0"/>
              <w:rPr>
                <w:sz w:val="17"/>
                <w:szCs w:val="17"/>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tcBorders>
              <w:bottom w:val="single" w:sz="8" w:color="0000FF"/>
            </w:tcBorders>
            <w:gridSpan w:val="21"/>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Amendment No. 1 to First Lien Credit Agreement, dated February 1, 2021, among Fastball Parent, Inc., First Advantage Holdings,</w:t>
              </w:r>
            </w:hyperlink>
          </w:p>
        </w:tc>
        <w:tc>
          <w:tcPr>
            <w:tcW w:w="280" w:type="dxa"/>
            <w:vAlign w:val="bottom"/>
            <w:gridSpan w:val="11"/>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LLC, the lenders from time to time party thereto, and Bank of America, N.A., as administrative agent (incorporated by reference to</w:t>
              </w:r>
            </w:hyperlink>
          </w:p>
        </w:tc>
        <w:tc>
          <w:tcPr>
            <w:tcW w:w="26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2"/>
          </w:tcPr>
          <w:p>
            <w:pPr>
              <w:spacing w:after="0" w:line="196" w:lineRule="exact"/>
              <w:rPr>
                <w:rFonts w:ascii="Arial" w:cs="Arial" w:eastAsia="Arial" w:hAnsi="Arial"/>
                <w:sz w:val="18"/>
                <w:szCs w:val="18"/>
                <w:color w:val="0000FF"/>
              </w:rPr>
            </w:pPr>
            <w:hyperlink r:id="rId177">
              <w:r>
                <w:rPr>
                  <w:rFonts w:ascii="Arial" w:cs="Arial" w:eastAsia="Arial" w:hAnsi="Arial"/>
                  <w:sz w:val="18"/>
                  <w:szCs w:val="18"/>
                  <w:color w:val="0000FF"/>
                </w:rPr>
                <w:t>Exhibit 10.11 to First Advantage’s Registration Statement on Form S-1 filed on May 28,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30"/>
          </w:tcPr>
          <w:p>
            <w:pPr>
              <w:spacing w:after="0"/>
              <w:rPr>
                <w:rFonts w:ascii="Arial" w:cs="Arial" w:eastAsia="Arial" w:hAnsi="Arial"/>
                <w:sz w:val="18"/>
                <w:szCs w:val="18"/>
                <w:color w:val="0000FF"/>
                <w:w w:val="92"/>
              </w:rPr>
            </w:pPr>
            <w:hyperlink r:id="rId178">
              <w:r>
                <w:rPr>
                  <w:rFonts w:ascii="Arial" w:cs="Arial" w:eastAsia="Arial" w:hAnsi="Arial"/>
                  <w:sz w:val="18"/>
                  <w:szCs w:val="18"/>
                  <w:color w:val="0000FF"/>
                  <w:w w:val="92"/>
                </w:rPr>
                <w:t>Amendment No. 2 to First Lien Credit Agreement, dated May 28, 2021, among Fastball Parent, Inc., First Advantage Holdings, LLC,</w:t>
              </w:r>
            </w:hyperlink>
          </w:p>
        </w:tc>
        <w:tc>
          <w:tcPr>
            <w:tcW w:w="60" w:type="dxa"/>
            <w:vAlign w:val="bottom"/>
            <w:gridSpan w:val="2"/>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the lenders form time to time party thereto, and Bank of America, N.A. as administrative agent (incorporated by reference to Exhibit</w:t>
              </w:r>
            </w:hyperlink>
          </w:p>
        </w:tc>
        <w:tc>
          <w:tcPr>
            <w:tcW w:w="16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12</w:t>
              </w:r>
              <w:r>
                <w:rPr>
                  <w:rFonts w:ascii="Arial" w:cs="Arial" w:eastAsia="Arial" w:hAnsi="Arial"/>
                  <w:sz w:val="18"/>
                  <w:szCs w:val="18"/>
                  <w:color w:val="0000FF"/>
                  <w:w w:val="91"/>
                </w:rPr>
                <w:t xml:space="preserve"> filed to First Advantage’s Registration Statement on Form S-1 filed on May 28, 2021).</w:t>
              </w:r>
            </w:hyperlink>
          </w:p>
        </w:tc>
        <w:tc>
          <w:tcPr>
            <w:tcW w:w="20" w:type="dxa"/>
            <w:vAlign w:val="bottom"/>
            <w:tcBorders>
              <w:bottom w:val="single" w:sz="8" w:color="0000EE"/>
            </w:tcBorders>
          </w:tcPr>
          <w:p>
            <w:pPr>
              <w:spacing w:after="0"/>
              <w:rPr>
                <w:sz w:val="17"/>
                <w:szCs w:val="17"/>
                <w:color w:val="auto"/>
              </w:rPr>
            </w:pPr>
          </w:p>
        </w:tc>
        <w:tc>
          <w:tcPr>
            <w:tcW w:w="3040" w:type="dxa"/>
            <w:vAlign w:val="bottom"/>
            <w:gridSpan w:val="22"/>
          </w:tcPr>
          <w:p>
            <w:pPr>
              <w:spacing w:after="0"/>
              <w:rPr>
                <w:sz w:val="17"/>
                <w:szCs w:val="17"/>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3"/>
          </w:tcPr>
          <w:p>
            <w:pPr>
              <w:spacing w:after="0"/>
              <w:rPr>
                <w:rFonts w:ascii="Arial" w:cs="Arial" w:eastAsia="Arial" w:hAnsi="Arial"/>
                <w:sz w:val="18"/>
                <w:szCs w:val="18"/>
                <w:color w:val="0000FF"/>
                <w:w w:val="89"/>
              </w:rPr>
            </w:pPr>
            <w:hyperlink r:id="rId179">
              <w:r>
                <w:rPr>
                  <w:rFonts w:ascii="Arial" w:cs="Arial" w:eastAsia="Arial" w:hAnsi="Arial"/>
                  <w:sz w:val="18"/>
                  <w:szCs w:val="18"/>
                  <w:color w:val="0000FF"/>
                  <w:w w:val="89"/>
                </w:rPr>
                <w:t>Stockholders’ Agreement, dated as of June 25, 2021, by and among the Company and the stockholders listed on the signature pages</w:t>
              </w:r>
            </w:hyperlink>
          </w:p>
        </w:tc>
        <w:tc>
          <w:tcPr>
            <w:tcW w:w="220" w:type="dxa"/>
            <w:vAlign w:val="bottom"/>
            <w:gridSpan w:val="9"/>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thereto (incorporated by reference to Exhibit 10.1 to First Advantage’s Current Report on Form 8-K filed on June 25, 2021).</w:t>
              </w:r>
            </w:hyperlink>
          </w:p>
        </w:tc>
        <w:tc>
          <w:tcPr>
            <w:tcW w:w="800" w:type="dxa"/>
            <w:vAlign w:val="bottom"/>
            <w:gridSpan w:val="15"/>
          </w:tcPr>
          <w:p>
            <w:pPr>
              <w:spacing w:after="0"/>
              <w:rPr>
                <w:sz w:val="17"/>
                <w:szCs w:val="17"/>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0000FF"/>
              </w:rPr>
              <w:t>Subsidiaries of the Registrant.</w:t>
            </w: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gridSpan w:val="1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91"/>
              </w:rPr>
              <w:t>Consent of Independent Registered Public Accounting Firm.</w:t>
            </w:r>
          </w:p>
        </w:tc>
        <w:tc>
          <w:tcPr>
            <w:tcW w:w="5340" w:type="dxa"/>
            <w:vAlign w:val="bottom"/>
            <w:gridSpan w:val="28"/>
          </w:tcPr>
          <w:p>
            <w:pPr>
              <w:spacing w:after="0"/>
              <w:rPr>
                <w:sz w:val="18"/>
                <w:szCs w:val="18"/>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80" w:type="dxa"/>
            <w:vAlign w:val="bottom"/>
            <w:gridSpan w:val="3"/>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26"/>
          </w:tcPr>
          <w:p>
            <w:pPr>
              <w:spacing w:after="0"/>
              <w:rPr>
                <w:sz w:val="17"/>
                <w:szCs w:val="17"/>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120" w:type="dxa"/>
            <w:vAlign w:val="bottom"/>
            <w:gridSpan w:val="5"/>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26"/>
          </w:tcPr>
          <w:p>
            <w:pPr>
              <w:spacing w:after="0"/>
              <w:rPr>
                <w:sz w:val="17"/>
                <w:szCs w:val="17"/>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w:t>
            </w:r>
          </w:p>
        </w:tc>
        <w:tc>
          <w:tcPr>
            <w:tcW w:w="140" w:type="dxa"/>
            <w:vAlign w:val="bottom"/>
            <w:gridSpan w:val="6"/>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2"/>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2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24"/>
          </w:tcPr>
          <w:p>
            <w:pPr>
              <w:spacing w:after="0" w:line="196" w:lineRule="exact"/>
              <w:rPr>
                <w:sz w:val="20"/>
                <w:szCs w:val="20"/>
                <w:color w:val="auto"/>
              </w:rPr>
            </w:pPr>
            <w:r>
              <w:rPr>
                <w:rFonts w:ascii="Arial" w:cs="Arial" w:eastAsia="Arial" w:hAnsi="Arial"/>
                <w:sz w:val="18"/>
                <w:szCs w:val="18"/>
                <w:color w:val="0000FF"/>
              </w:rPr>
              <w:t>Oxley Act of 2002.</w:t>
            </w:r>
          </w:p>
        </w:tc>
        <w:tc>
          <w:tcPr>
            <w:tcW w:w="200" w:type="dxa"/>
            <w:vAlign w:val="bottom"/>
            <w:gridSpan w:val="8"/>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340" w:type="dxa"/>
            <w:vAlign w:val="bottom"/>
            <w:gridSpan w:val="31"/>
          </w:tcPr>
          <w:p>
            <w:pPr>
              <w:spacing w:after="0" w:line="20" w:lineRule="exact"/>
              <w:rPr>
                <w:sz w:val="1"/>
                <w:szCs w:val="1"/>
                <w:color w:val="auto"/>
              </w:rPr>
            </w:pPr>
          </w:p>
        </w:tc>
      </w:tr>
      <w:tr>
        <w:trPr>
          <w:trHeight w:val="236"/>
        </w:trPr>
        <w:tc>
          <w:tcPr>
            <w:tcW w:w="1240" w:type="dxa"/>
            <w:vAlign w:val="bottom"/>
          </w:tcPr>
          <w:p>
            <w:pPr>
              <w:ind w:left="20"/>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r>
      <w:tr>
        <w:trPr>
          <w:trHeight w:val="229"/>
        </w:trPr>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3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500" w:hanging="1479"/>
        <w:spacing w:after="0"/>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86" w:lineRule="exact"/>
        <w:rPr>
          <w:rFonts w:ascii="Arial" w:cs="Arial" w:eastAsia="Arial" w:hAnsi="Arial"/>
          <w:sz w:val="18"/>
          <w:szCs w:val="18"/>
          <w:color w:val="auto"/>
        </w:rPr>
      </w:pPr>
    </w:p>
    <w:p>
      <w:pPr>
        <w:ind w:left="140" w:hanging="132"/>
        <w:spacing w:after="0"/>
        <w:tabs>
          <w:tab w:leader="none" w:pos="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Compensatory arrangements for director(s) and/or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14230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FIRST ADVANTAGE CORPORATION</w:t>
      </w:r>
    </w:p>
    <w:p>
      <w:pPr>
        <w:spacing w:after="0" w:line="252" w:lineRule="exact"/>
        <w:rPr>
          <w:sz w:val="20"/>
          <w:szCs w:val="20"/>
          <w:color w:val="auto"/>
        </w:rPr>
      </w:pPr>
    </w:p>
    <w:p>
      <w:pPr>
        <w:ind w:left="20"/>
        <w:spacing w:after="0"/>
        <w:tabs>
          <w:tab w:leader="none" w:pos="5420" w:val="left"/>
          <w:tab w:leader="none" w:pos="788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23495</wp:posOffset>
            </wp:positionV>
            <wp:extent cx="33000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David L. Gamsey</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Executive Vice President &amp; Chief Financial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financial officer)</w:t>
      </w:r>
    </w:p>
    <w:p>
      <w:pPr>
        <w:spacing w:after="0" w:line="35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69" w:lineRule="exact"/>
        <w:rPr>
          <w:sz w:val="20"/>
          <w:szCs w:val="20"/>
          <w:color w:val="auto"/>
        </w:rPr>
      </w:pPr>
    </w:p>
    <w:p>
      <w:pPr>
        <w:ind w:left="1640"/>
        <w:spacing w:after="0"/>
        <w:tabs>
          <w:tab w:leader="none" w:pos="6080" w:val="left"/>
          <w:tab w:leader="none" w:pos="98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337" w:right="439"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Scott Staples</w:t>
            </w:r>
          </w:p>
        </w:tc>
        <w:tc>
          <w:tcPr>
            <w:tcW w:w="4400" w:type="dxa"/>
            <w:vAlign w:val="bottom"/>
          </w:tcPr>
          <w:p>
            <w:pPr>
              <w:jc w:val="center"/>
              <w:ind w:left="570"/>
              <w:spacing w:after="0"/>
              <w:rPr>
                <w:sz w:val="20"/>
                <w:szCs w:val="20"/>
                <w:color w:val="auto"/>
              </w:rPr>
            </w:pPr>
            <w:r>
              <w:rPr>
                <w:rFonts w:ascii="Arial" w:cs="Arial" w:eastAsia="Arial" w:hAnsi="Arial"/>
                <w:sz w:val="18"/>
                <w:szCs w:val="18"/>
                <w:color w:val="auto"/>
                <w:w w:val="95"/>
              </w:rPr>
              <w:t>Chief Executive Officer</w:t>
            </w: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5"/>
              </w:rPr>
              <w:t>Scott Staples</w:t>
            </w:r>
          </w:p>
        </w:tc>
        <w:tc>
          <w:tcPr>
            <w:tcW w:w="4400" w:type="dxa"/>
            <w:vAlign w:val="bottom"/>
          </w:tcPr>
          <w:p>
            <w:pPr>
              <w:jc w:val="center"/>
              <w:ind w:left="610"/>
              <w:spacing w:after="0"/>
              <w:rPr>
                <w:sz w:val="20"/>
                <w:szCs w:val="20"/>
                <w:color w:val="auto"/>
              </w:rPr>
            </w:pPr>
            <w:r>
              <w:rPr>
                <w:rFonts w:ascii="Arial" w:cs="Arial" w:eastAsia="Arial" w:hAnsi="Arial"/>
                <w:sz w:val="18"/>
                <w:szCs w:val="18"/>
                <w:color w:val="auto"/>
                <w:w w:val="94"/>
              </w:rPr>
              <w:t>(principal executive officer)</w:t>
            </w:r>
          </w:p>
        </w:tc>
      </w:tr>
      <w:tr>
        <w:trPr>
          <w:trHeight w:val="88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L. Gamsey</w:t>
            </w:r>
          </w:p>
        </w:tc>
        <w:tc>
          <w:tcPr>
            <w:tcW w:w="4400" w:type="dxa"/>
            <w:vAlign w:val="bottom"/>
          </w:tcPr>
          <w:p>
            <w:pPr>
              <w:jc w:val="center"/>
              <w:ind w:left="610"/>
              <w:spacing w:after="0"/>
              <w:rPr>
                <w:sz w:val="20"/>
                <w:szCs w:val="20"/>
                <w:color w:val="auto"/>
              </w:rPr>
            </w:pPr>
            <w:r>
              <w:rPr>
                <w:rFonts w:ascii="Arial" w:cs="Arial" w:eastAsia="Arial" w:hAnsi="Arial"/>
                <w:sz w:val="18"/>
                <w:szCs w:val="18"/>
                <w:color w:val="auto"/>
                <w:w w:val="92"/>
              </w:rPr>
              <w:t>Executive Vice President &amp; Chief Financial Officer</w:t>
            </w: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David L. Gamsey</w:t>
            </w:r>
          </w:p>
        </w:tc>
        <w:tc>
          <w:tcPr>
            <w:tcW w:w="4400" w:type="dxa"/>
            <w:vAlign w:val="bottom"/>
          </w:tcPr>
          <w:p>
            <w:pPr>
              <w:jc w:val="center"/>
              <w:ind w:left="610"/>
              <w:spacing w:after="0"/>
              <w:rPr>
                <w:sz w:val="20"/>
                <w:szCs w:val="20"/>
                <w:color w:val="auto"/>
              </w:rPr>
            </w:pPr>
            <w:r>
              <w:rPr>
                <w:rFonts w:ascii="Arial" w:cs="Arial" w:eastAsia="Arial" w:hAnsi="Arial"/>
                <w:sz w:val="18"/>
                <w:szCs w:val="18"/>
                <w:color w:val="auto"/>
                <w:w w:val="95"/>
              </w:rPr>
              <w:t>(principal financial officer)</w:t>
            </w:r>
          </w:p>
        </w:tc>
      </w:tr>
      <w:tr>
        <w:trPr>
          <w:trHeight w:val="68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Marks</w:t>
            </w:r>
          </w:p>
        </w:tc>
        <w:tc>
          <w:tcPr>
            <w:tcW w:w="4400" w:type="dxa"/>
            <w:vAlign w:val="bottom"/>
          </w:tcPr>
          <w:p>
            <w:pPr>
              <w:jc w:val="center"/>
              <w:ind w:left="610"/>
              <w:spacing w:after="0"/>
              <w:rPr>
                <w:sz w:val="20"/>
                <w:szCs w:val="20"/>
                <w:color w:val="auto"/>
              </w:rPr>
            </w:pPr>
            <w:r>
              <w:rPr>
                <w:rFonts w:ascii="Arial" w:cs="Arial" w:eastAsia="Arial" w:hAnsi="Arial"/>
                <w:sz w:val="18"/>
                <w:szCs w:val="18"/>
                <w:color w:val="auto"/>
                <w:w w:val="95"/>
              </w:rPr>
              <w:t>Chief Accounting Officer</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Steven Marks</w:t>
            </w:r>
          </w:p>
        </w:tc>
        <w:tc>
          <w:tcPr>
            <w:tcW w:w="4400" w:type="dxa"/>
            <w:vAlign w:val="bottom"/>
          </w:tcPr>
          <w:p>
            <w:pPr>
              <w:jc w:val="center"/>
              <w:ind w:left="610"/>
              <w:spacing w:after="0"/>
              <w:rPr>
                <w:sz w:val="20"/>
                <w:szCs w:val="20"/>
                <w:color w:val="auto"/>
              </w:rPr>
            </w:pPr>
            <w:r>
              <w:rPr>
                <w:rFonts w:ascii="Arial" w:cs="Arial" w:eastAsia="Arial" w:hAnsi="Arial"/>
                <w:sz w:val="18"/>
                <w:szCs w:val="18"/>
                <w:color w:val="auto"/>
                <w:w w:val="93"/>
              </w:rPr>
              <w:t>(principal accounting officer)</w:t>
            </w:r>
          </w:p>
        </w:tc>
      </w:tr>
      <w:tr>
        <w:trPr>
          <w:trHeight w:val="65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Osnoss</w:t>
            </w:r>
          </w:p>
        </w:tc>
        <w:tc>
          <w:tcPr>
            <w:tcW w:w="4400" w:type="dxa"/>
            <w:vAlign w:val="bottom"/>
          </w:tcPr>
          <w:p>
            <w:pPr>
              <w:jc w:val="center"/>
              <w:ind w:left="630"/>
              <w:spacing w:after="0"/>
              <w:rPr>
                <w:sz w:val="20"/>
                <w:szCs w:val="20"/>
                <w:color w:val="auto"/>
              </w:rPr>
            </w:pPr>
            <w:r>
              <w:rPr>
                <w:rFonts w:ascii="Arial" w:cs="Arial" w:eastAsia="Arial" w:hAnsi="Arial"/>
                <w:sz w:val="18"/>
                <w:szCs w:val="18"/>
                <w:color w:val="auto"/>
                <w:w w:val="95"/>
              </w:rPr>
              <w:t>Director</w:t>
            </w: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3"/>
              </w:rPr>
              <w:t>Joseph Osnoss</w:t>
            </w:r>
          </w:p>
        </w:tc>
        <w:tc>
          <w:tcPr>
            <w:tcW w:w="4400" w:type="dxa"/>
            <w:vAlign w:val="bottom"/>
          </w:tcPr>
          <w:p>
            <w:pPr>
              <w:spacing w:after="0"/>
              <w:rPr>
                <w:sz w:val="24"/>
                <w:szCs w:val="24"/>
                <w:color w:val="auto"/>
              </w:rPr>
            </w:pPr>
          </w:p>
        </w:tc>
      </w:tr>
      <w:tr>
        <w:trPr>
          <w:trHeight w:val="66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Susan R. Bell</w:t>
            </w:r>
          </w:p>
        </w:tc>
        <w:tc>
          <w:tcPr>
            <w:tcW w:w="4400" w:type="dxa"/>
            <w:vAlign w:val="bottom"/>
          </w:tcPr>
          <w:p>
            <w:pPr>
              <w:jc w:val="center"/>
              <w:ind w:left="630"/>
              <w:spacing w:after="0"/>
              <w:rPr>
                <w:sz w:val="20"/>
                <w:szCs w:val="20"/>
                <w:color w:val="auto"/>
              </w:rPr>
            </w:pPr>
            <w:r>
              <w:rPr>
                <w:rFonts w:ascii="Arial" w:cs="Arial" w:eastAsia="Arial" w:hAnsi="Arial"/>
                <w:sz w:val="18"/>
                <w:szCs w:val="18"/>
                <w:color w:val="auto"/>
                <w:w w:val="95"/>
              </w:rPr>
              <w:t>Director</w:t>
            </w: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Susan R. Bell</w:t>
            </w:r>
          </w:p>
        </w:tc>
        <w:tc>
          <w:tcPr>
            <w:tcW w:w="4400" w:type="dxa"/>
            <w:vAlign w:val="bottom"/>
          </w:tcPr>
          <w:p>
            <w:pPr>
              <w:spacing w:after="0"/>
              <w:rPr>
                <w:sz w:val="24"/>
                <w:szCs w:val="24"/>
                <w:color w:val="auto"/>
              </w:rPr>
            </w:pPr>
          </w:p>
        </w:tc>
      </w:tr>
      <w:tr>
        <w:trPr>
          <w:trHeight w:val="88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L. Clark</w:t>
            </w:r>
          </w:p>
        </w:tc>
        <w:tc>
          <w:tcPr>
            <w:tcW w:w="4400" w:type="dxa"/>
            <w:vAlign w:val="bottom"/>
          </w:tcPr>
          <w:p>
            <w:pPr>
              <w:jc w:val="center"/>
              <w:ind w:left="630"/>
              <w:spacing w:after="0"/>
              <w:rPr>
                <w:sz w:val="20"/>
                <w:szCs w:val="20"/>
                <w:color w:val="auto"/>
              </w:rPr>
            </w:pPr>
            <w:r>
              <w:rPr>
                <w:rFonts w:ascii="Arial" w:cs="Arial" w:eastAsia="Arial" w:hAnsi="Arial"/>
                <w:sz w:val="18"/>
                <w:szCs w:val="18"/>
                <w:color w:val="auto"/>
                <w:w w:val="95"/>
              </w:rPr>
              <w:t>Director</w:t>
            </w: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James L. Clark</w:t>
            </w:r>
          </w:p>
        </w:tc>
        <w:tc>
          <w:tcPr>
            <w:tcW w:w="4400" w:type="dxa"/>
            <w:vAlign w:val="bottom"/>
          </w:tcPr>
          <w:p>
            <w:pPr>
              <w:spacing w:after="0"/>
              <w:rPr>
                <w:sz w:val="24"/>
                <w:szCs w:val="24"/>
                <w:color w:val="auto"/>
              </w:rPr>
            </w:pPr>
          </w:p>
        </w:tc>
      </w:tr>
      <w:tr>
        <w:trPr>
          <w:trHeight w:val="47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Bridgett R. Price</w:t>
            </w:r>
          </w:p>
        </w:tc>
        <w:tc>
          <w:tcPr>
            <w:tcW w:w="4400" w:type="dxa"/>
            <w:vAlign w:val="bottom"/>
          </w:tcPr>
          <w:p>
            <w:pPr>
              <w:jc w:val="center"/>
              <w:ind w:left="630"/>
              <w:spacing w:after="0"/>
              <w:rPr>
                <w:sz w:val="20"/>
                <w:szCs w:val="20"/>
                <w:color w:val="auto"/>
              </w:rPr>
            </w:pPr>
            <w:r>
              <w:rPr>
                <w:rFonts w:ascii="Arial" w:cs="Arial" w:eastAsia="Arial" w:hAnsi="Arial"/>
                <w:sz w:val="18"/>
                <w:szCs w:val="18"/>
                <w:color w:val="auto"/>
                <w:w w:val="95"/>
              </w:rPr>
              <w:t>Director</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Bridgett R. Price</w:t>
            </w:r>
          </w:p>
        </w:tc>
        <w:tc>
          <w:tcPr>
            <w:tcW w:w="4400" w:type="dxa"/>
            <w:vAlign w:val="bottom"/>
          </w:tcPr>
          <w:p>
            <w:pPr>
              <w:spacing w:after="0"/>
              <w:rPr>
                <w:sz w:val="19"/>
                <w:szCs w:val="19"/>
                <w:color w:val="auto"/>
              </w:rPr>
            </w:pPr>
          </w:p>
        </w:tc>
      </w:tr>
      <w:tr>
        <w:trPr>
          <w:trHeight w:val="86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Rudella</w:t>
            </w:r>
          </w:p>
        </w:tc>
        <w:tc>
          <w:tcPr>
            <w:tcW w:w="4400" w:type="dxa"/>
            <w:vAlign w:val="bottom"/>
          </w:tcPr>
          <w:p>
            <w:pPr>
              <w:jc w:val="center"/>
              <w:ind w:left="630"/>
              <w:spacing w:after="0"/>
              <w:rPr>
                <w:sz w:val="20"/>
                <w:szCs w:val="20"/>
                <w:color w:val="auto"/>
              </w:rPr>
            </w:pPr>
            <w:r>
              <w:rPr>
                <w:rFonts w:ascii="Arial" w:cs="Arial" w:eastAsia="Arial" w:hAnsi="Arial"/>
                <w:sz w:val="18"/>
                <w:szCs w:val="18"/>
                <w:color w:val="auto"/>
                <w:w w:val="95"/>
              </w:rPr>
              <w:t>Director</w:t>
            </w: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John Rudella</w:t>
            </w:r>
          </w:p>
        </w:tc>
        <w:tc>
          <w:tcPr>
            <w:tcW w:w="4400" w:type="dxa"/>
            <w:vAlign w:val="bottom"/>
          </w:tcPr>
          <w:p>
            <w:pPr>
              <w:spacing w:after="0"/>
              <w:rPr>
                <w:sz w:val="24"/>
                <w:szCs w:val="24"/>
                <w:color w:val="auto"/>
              </w:rPr>
            </w:pPr>
          </w:p>
        </w:tc>
      </w:tr>
      <w:tr>
        <w:trPr>
          <w:trHeight w:val="88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Judith Sim</w:t>
            </w:r>
          </w:p>
        </w:tc>
        <w:tc>
          <w:tcPr>
            <w:tcW w:w="4400" w:type="dxa"/>
            <w:vAlign w:val="bottom"/>
          </w:tcPr>
          <w:p>
            <w:pPr>
              <w:jc w:val="center"/>
              <w:ind w:left="630"/>
              <w:spacing w:after="0"/>
              <w:rPr>
                <w:sz w:val="20"/>
                <w:szCs w:val="20"/>
                <w:color w:val="auto"/>
              </w:rPr>
            </w:pPr>
            <w:r>
              <w:rPr>
                <w:rFonts w:ascii="Arial" w:cs="Arial" w:eastAsia="Arial" w:hAnsi="Arial"/>
                <w:sz w:val="18"/>
                <w:szCs w:val="18"/>
                <w:color w:val="auto"/>
                <w:w w:val="95"/>
              </w:rPr>
              <w:t>Director</w:t>
            </w: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Judith Sim</w:t>
            </w:r>
          </w:p>
        </w:tc>
        <w:tc>
          <w:tcPr>
            <w:tcW w:w="4400" w:type="dxa"/>
            <w:vAlign w:val="bottom"/>
          </w:tcPr>
          <w:p>
            <w:pPr>
              <w:spacing w:after="0"/>
              <w:rPr>
                <w:sz w:val="24"/>
                <w:szCs w:val="24"/>
                <w:color w:val="auto"/>
              </w:rPr>
            </w:pPr>
          </w:p>
        </w:tc>
      </w:tr>
      <w:tr>
        <w:trPr>
          <w:trHeight w:val="88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Bianca Stoica</w:t>
            </w:r>
          </w:p>
        </w:tc>
        <w:tc>
          <w:tcPr>
            <w:tcW w:w="4400" w:type="dxa"/>
            <w:vAlign w:val="bottom"/>
          </w:tcPr>
          <w:p>
            <w:pPr>
              <w:jc w:val="center"/>
              <w:ind w:left="630"/>
              <w:spacing w:after="0"/>
              <w:rPr>
                <w:sz w:val="20"/>
                <w:szCs w:val="20"/>
                <w:color w:val="auto"/>
              </w:rPr>
            </w:pPr>
            <w:r>
              <w:rPr>
                <w:rFonts w:ascii="Arial" w:cs="Arial" w:eastAsia="Arial" w:hAnsi="Arial"/>
                <w:sz w:val="18"/>
                <w:szCs w:val="18"/>
                <w:color w:val="auto"/>
                <w:w w:val="95"/>
              </w:rPr>
              <w:t>Director</w:t>
            </w:r>
          </w:p>
        </w:tc>
      </w:tr>
      <w:tr>
        <w:trPr>
          <w:trHeight w:val="4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Bianca Stoica</w:t>
            </w:r>
          </w:p>
        </w:tc>
        <w:tc>
          <w:tcPr>
            <w:tcW w:w="4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ectPr>
          <w:pgSz w:w="11900" w:h="16838" w:orient="portrait"/>
          <w:cols w:equalWidth="0" w:num="2">
            <w:col w:w="8640" w:space="720"/>
            <w:col w:w="1780"/>
          </w:cols>
          <w:pgMar w:left="320" w:top="337" w:right="439" w:bottom="204"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gridSpan w:val="5"/>
          </w:tcPr>
          <w:p>
            <w:pPr>
              <w:jc w:val="center"/>
              <w:ind w:right="1250"/>
              <w:spacing w:after="0"/>
              <w:rPr>
                <w:sz w:val="20"/>
                <w:szCs w:val="20"/>
                <w:color w:val="auto"/>
              </w:rPr>
            </w:pPr>
            <w:r>
              <w:rPr>
                <w:rFonts w:ascii="Arial" w:cs="Arial" w:eastAsia="Arial" w:hAnsi="Arial"/>
                <w:sz w:val="18"/>
                <w:szCs w:val="18"/>
                <w:b w:val="1"/>
                <w:bCs w:val="1"/>
                <w:color w:val="auto"/>
              </w:rPr>
              <w:t>INDEX TO CONSOLIDATED FINANCIAL STATEMENTS</w:t>
            </w:r>
          </w:p>
        </w:tc>
        <w:tc>
          <w:tcPr>
            <w:tcW w:w="1820" w:type="dxa"/>
            <w:vAlign w:val="bottom"/>
          </w:tcPr>
          <w:p>
            <w:pPr>
              <w:spacing w:after="0"/>
              <w:rPr>
                <w:sz w:val="20"/>
                <w:szCs w:val="20"/>
                <w:color w:val="auto"/>
              </w:rPr>
            </w:pPr>
          </w:p>
        </w:tc>
      </w:tr>
      <w:tr>
        <w:trPr>
          <w:trHeight w:val="432"/>
        </w:trPr>
        <w:tc>
          <w:tcPr>
            <w:tcW w:w="9420" w:type="dxa"/>
            <w:vAlign w:val="bottom"/>
            <w:gridSpan w:val="9"/>
          </w:tcPr>
          <w:p>
            <w:pPr>
              <w:ind w:left="20"/>
              <w:spacing w:after="0"/>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34)</w:t>
            </w:r>
          </w:p>
        </w:tc>
        <w:tc>
          <w:tcPr>
            <w:tcW w:w="18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0"/>
        </w:trPr>
        <w:tc>
          <w:tcPr>
            <w:tcW w:w="4360" w:type="dxa"/>
            <w:vAlign w:val="bottom"/>
            <w:tcBorders>
              <w:top w:val="single" w:sz="8" w:color="0000EE"/>
            </w:tcBorders>
            <w:gridSpan w:val="5"/>
          </w:tcPr>
          <w:p>
            <w:pPr>
              <w:ind w:left="20"/>
              <w:spacing w:after="0"/>
              <w:rPr>
                <w:sz w:val="20"/>
                <w:szCs w:val="20"/>
                <w:color w:val="auto"/>
              </w:rPr>
            </w:pPr>
            <w:r>
              <w:rPr>
                <w:rFonts w:ascii="Arial" w:cs="Arial" w:eastAsia="Arial" w:hAnsi="Arial"/>
                <w:sz w:val="18"/>
                <w:szCs w:val="18"/>
                <w:color w:val="0000FF"/>
              </w:rPr>
              <w:t>Consolidated Balance Sheets</w:t>
            </w:r>
          </w:p>
        </w:tc>
        <w:tc>
          <w:tcPr>
            <w:tcW w:w="5060" w:type="dxa"/>
            <w:vAlign w:val="bottom"/>
            <w:gridSpan w:val="4"/>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9"/>
        </w:trPr>
        <w:tc>
          <w:tcPr>
            <w:tcW w:w="9420" w:type="dxa"/>
            <w:vAlign w:val="bottom"/>
            <w:gridSpan w:val="9"/>
          </w:tcPr>
          <w:p>
            <w:pPr>
              <w:ind w:left="20"/>
              <w:spacing w:after="0"/>
              <w:rPr>
                <w:sz w:val="20"/>
                <w:szCs w:val="20"/>
                <w:color w:val="auto"/>
              </w:rPr>
            </w:pPr>
            <w:r>
              <w:rPr>
                <w:rFonts w:ascii="Arial" w:cs="Arial" w:eastAsia="Arial" w:hAnsi="Arial"/>
                <w:sz w:val="18"/>
                <w:szCs w:val="18"/>
                <w:color w:val="0000FF"/>
              </w:rPr>
              <w:t>Consolidated Statements of Operations and Comprehensive Income (Loss)</w:t>
            </w:r>
          </w:p>
        </w:tc>
        <w:tc>
          <w:tcPr>
            <w:tcW w:w="18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9"/>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89"/>
              </w:rPr>
              <w:t>Consolidated Statements of Cash Flows</w:t>
            </w:r>
          </w:p>
        </w:tc>
        <w:tc>
          <w:tcPr>
            <w:tcW w:w="40" w:type="dxa"/>
            <w:vAlign w:val="bottom"/>
            <w:tcBorders>
              <w:top w:val="single" w:sz="8" w:color="0000FF"/>
              <w:bottom w:val="single" w:sz="8" w:color="0000EE"/>
            </w:tcBorders>
          </w:tcPr>
          <w:p>
            <w:pPr>
              <w:spacing w:after="0"/>
              <w:rPr>
                <w:sz w:val="18"/>
                <w:szCs w:val="18"/>
                <w:color w:val="auto"/>
              </w:rPr>
            </w:pPr>
          </w:p>
        </w:tc>
        <w:tc>
          <w:tcPr>
            <w:tcW w:w="2460" w:type="dxa"/>
            <w:vAlign w:val="bottom"/>
            <w:tcBorders>
              <w:top w:val="single" w:sz="8" w:color="0000FF"/>
            </w:tcBorders>
            <w:gridSpan w:val="5"/>
          </w:tcPr>
          <w:p>
            <w:pPr>
              <w:spacing w:after="0"/>
              <w:rPr>
                <w:sz w:val="18"/>
                <w:szCs w:val="18"/>
                <w:color w:val="auto"/>
              </w:rPr>
            </w:pPr>
          </w:p>
        </w:tc>
        <w:tc>
          <w:tcPr>
            <w:tcW w:w="40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0"/>
        </w:trPr>
        <w:tc>
          <w:tcPr>
            <w:tcW w:w="4460" w:type="dxa"/>
            <w:vAlign w:val="bottom"/>
            <w:tcBorders>
              <w:bottom w:val="single" w:sz="8" w:color="0000EE"/>
            </w:tcBorders>
            <w:gridSpan w:val="6"/>
          </w:tcPr>
          <w:p>
            <w:pPr>
              <w:ind w:left="20"/>
              <w:spacing w:after="0"/>
              <w:rPr>
                <w:sz w:val="20"/>
                <w:szCs w:val="20"/>
                <w:color w:val="auto"/>
              </w:rPr>
            </w:pPr>
            <w:r>
              <w:rPr>
                <w:rFonts w:ascii="Arial" w:cs="Arial" w:eastAsia="Arial" w:hAnsi="Arial"/>
                <w:sz w:val="18"/>
                <w:szCs w:val="18"/>
                <w:color w:val="0000FF"/>
                <w:w w:val="91"/>
              </w:rPr>
              <w:t>Consolidated Statements of Changes in Stockholders’ Equity</w:t>
            </w:r>
          </w:p>
        </w:tc>
        <w:tc>
          <w:tcPr>
            <w:tcW w:w="4960" w:type="dxa"/>
            <w:vAlign w:val="bottom"/>
            <w:gridSpan w:val="3"/>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9"/>
        </w:trPr>
        <w:tc>
          <w:tcPr>
            <w:tcW w:w="4860" w:type="dxa"/>
            <w:vAlign w:val="bottom"/>
            <w:tcBorders>
              <w:bottom w:val="single" w:sz="8" w:color="0000EE"/>
            </w:tcBorders>
            <w:gridSpan w:val="7"/>
          </w:tcPr>
          <w:p>
            <w:pPr>
              <w:ind w:left="20"/>
              <w:spacing w:after="0"/>
              <w:rPr>
                <w:sz w:val="20"/>
                <w:szCs w:val="20"/>
                <w:color w:val="auto"/>
              </w:rPr>
            </w:pPr>
            <w:r>
              <w:rPr>
                <w:rFonts w:ascii="Arial" w:cs="Arial" w:eastAsia="Arial" w:hAnsi="Arial"/>
                <w:sz w:val="18"/>
                <w:szCs w:val="18"/>
                <w:color w:val="0000FF"/>
                <w:w w:val="92"/>
              </w:rPr>
              <w:t>Consolidated Statements of Changes in Members’ (Deficit) Equity</w:t>
            </w:r>
          </w:p>
        </w:tc>
        <w:tc>
          <w:tcPr>
            <w:tcW w:w="4560" w:type="dxa"/>
            <w:vAlign w:val="bottom"/>
            <w:gridSpan w:val="2"/>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10"/>
        </w:trPr>
        <w:tc>
          <w:tcPr>
            <w:tcW w:w="9420" w:type="dxa"/>
            <w:vAlign w:val="bottom"/>
            <w:gridSpan w:val="9"/>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82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466"/>
        </w:trPr>
        <w:tc>
          <w:tcPr>
            <w:tcW w:w="2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tcPr>
          <w:p>
            <w:pPr>
              <w:jc w:val="center"/>
              <w:ind w:right="349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r>
        <w:trPr>
          <w:trHeight w:val="115"/>
        </w:trPr>
        <w:tc>
          <w:tcPr>
            <w:tcW w:w="2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5520"/>
        <w:spacing w:after="0" w:line="438" w:lineRule="auto"/>
        <w:rPr>
          <w:sz w:val="20"/>
          <w:szCs w:val="20"/>
          <w:color w:val="auto"/>
        </w:rPr>
      </w:pPr>
      <w:r>
        <w:rPr>
          <w:rFonts w:ascii="Arial" w:cs="Arial" w:eastAsia="Arial" w:hAnsi="Arial"/>
          <w:sz w:val="18"/>
          <w:szCs w:val="18"/>
          <w:color w:val="auto"/>
        </w:rPr>
        <w:t xml:space="preserve">To the stockholders and the Board of Directors of First Advantage Corporation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audited the internal control over financial reporting of First Advantage Corporation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(Successor), based on criteria established in Internal Control — Integrated Framework (2013) issued by COSO.</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(Successor), of the Company and our report dated February 28, 2023,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5" w:name="page86"/>
    <w:bookmarkEnd w:id="8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5540"/>
        <w:spacing w:after="0" w:line="438" w:lineRule="auto"/>
        <w:rPr>
          <w:sz w:val="20"/>
          <w:szCs w:val="20"/>
          <w:color w:val="auto"/>
        </w:rPr>
      </w:pPr>
      <w:r>
        <w:rPr>
          <w:rFonts w:ascii="Arial" w:cs="Arial" w:eastAsia="Arial" w:hAnsi="Arial"/>
          <w:sz w:val="18"/>
          <w:szCs w:val="18"/>
          <w:color w:val="auto"/>
        </w:rPr>
        <w:t xml:space="preserve">To the stockholders and the Board of Directors of First Advantage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the accompanying consolidated balance sheets of First Advantage Corporation and subsidiaries (the "Company") as of December 31, 2022 (Successor) and 2021 (Successor), the related consolidated statements of operations and comprehensive income (loss), cash flows, changes in members’ (deficit) equity, and changes in stockholders’ equity for the period from January 1, 2020 through January 31, 2020 (Predecessor), the period from February 1, 2020 through December 31, 2020 (Successor), and the years ended December 31, 2021 (Successor) and 2022 (Successor) and the related notes (collectively referred to as the "financial statements"). In our opinion, the financial statements present fairly, in all material respects, the financial position of the Company as of December 31, 2022 (Successor) and 2021 (Successor), and the results of its operations and its cash flows for the period from January 1, 2020 through January 31, 2020 (Predecessor), for the period from February 1, 2020 through December 31, 2020 (Successor), and for the years ended December 31, 2021 (Successor) and 2022 (Successor), in conformity with accounting principles generally accepted in the United States of America.</w:t>
      </w:r>
    </w:p>
    <w:p>
      <w:pPr>
        <w:spacing w:after="0" w:line="1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2022 (Successor), based on criteria established in Internal Control — Integrated Framework (2013) issued by the Committee of Sponsoring Organizations of the Treadway Commission and our report dated February 28, 2023,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Critical Audit Matter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 </w:t>
      </w:r>
      <w:r>
        <w:rPr>
          <w:rFonts w:ascii="Arial" w:cs="Arial" w:eastAsia="Arial" w:hAnsi="Arial"/>
          <w:sz w:val="18"/>
          <w:szCs w:val="18"/>
          <w:b w:val="1"/>
          <w:bCs w:val="1"/>
          <w:i w:val="1"/>
          <w:iCs w:val="1"/>
          <w:color w:val="auto"/>
        </w:rPr>
        <w:t>Refer to Notes 2 and 9 to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substantial majority of the Company’s revenues are derived from pre-onboarding background screening and related services provided to the Company’s customers on a transactional basis, in which an individual background screening package or selection of services is ordered by a customer related to a single applicant. The Company’s revenues are mostly comprised of a significant volume of low-dollar transactions fulfilled by multiple highly automated, proprietary systems and applications. The processing of transactions and recording of revenue is highly automated and is based on contractual terms with the Company’s customers.</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identified revenue as a critical audit matter because the Company’s systems to process and record revenue are highly automated. This required an increased extent of effort including the need for us to involve professionals with expertise in information technology (IT) to identify, test, and evaluate the Company’s systems, software applications, and automated controls.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primary audit procedures related to the Company’s systems to process revenue transactions included the following, among others:</w:t>
      </w:r>
    </w:p>
    <w:p>
      <w:pPr>
        <w:spacing w:after="0" w:line="171"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the assistance of our IT specialists, we:</w:t>
      </w:r>
    </w:p>
    <w:p>
      <w:pPr>
        <w:spacing w:after="0" w:line="117" w:lineRule="exact"/>
        <w:rPr>
          <w:rFonts w:ascii="Arial" w:cs="Arial" w:eastAsia="Arial" w:hAnsi="Arial"/>
          <w:sz w:val="18"/>
          <w:szCs w:val="18"/>
          <w:color w:val="auto"/>
        </w:rPr>
      </w:pPr>
    </w:p>
    <w:p>
      <w:pPr>
        <w:ind w:left="1540" w:right="240" w:hanging="509"/>
        <w:spacing w:after="0" w:line="277" w:lineRule="auto"/>
        <w:rPr>
          <w:rFonts w:ascii="Arial" w:cs="Arial" w:eastAsia="Arial" w:hAnsi="Arial"/>
          <w:sz w:val="18"/>
          <w:szCs w:val="18"/>
          <w:color w:val="auto"/>
        </w:rPr>
      </w:pPr>
      <w:r>
        <w:rPr>
          <w:rFonts w:ascii="Arial" w:cs="Arial" w:eastAsia="Arial" w:hAnsi="Arial"/>
          <w:sz w:val="18"/>
          <w:szCs w:val="18"/>
          <w:color w:val="auto"/>
        </w:rPr>
        <w:t>oIdentified the relevant systems used to process revenue transactions and tested the general IT controls over each of these systems, including testing of user access controls, change management controls, and IT operations controls.</w:t>
      </w:r>
    </w:p>
    <w:p>
      <w:pPr>
        <w:spacing w:after="0" w:line="62" w:lineRule="exact"/>
        <w:rPr>
          <w:rFonts w:ascii="Arial" w:cs="Arial" w:eastAsia="Arial" w:hAnsi="Arial"/>
          <w:sz w:val="18"/>
          <w:szCs w:val="18"/>
          <w:color w:val="auto"/>
        </w:rPr>
      </w:pPr>
    </w:p>
    <w:p>
      <w:pPr>
        <w:ind w:left="1540" w:right="340" w:hanging="509"/>
        <w:spacing w:after="0" w:line="277" w:lineRule="auto"/>
        <w:rPr>
          <w:rFonts w:ascii="Arial" w:cs="Arial" w:eastAsia="Arial" w:hAnsi="Arial"/>
          <w:sz w:val="18"/>
          <w:szCs w:val="18"/>
          <w:color w:val="auto"/>
        </w:rPr>
      </w:pPr>
      <w:r>
        <w:rPr>
          <w:rFonts w:ascii="Arial" w:cs="Arial" w:eastAsia="Arial" w:hAnsi="Arial"/>
          <w:sz w:val="18"/>
          <w:szCs w:val="18"/>
          <w:color w:val="auto"/>
        </w:rPr>
        <w:t>oPerformed testing of monitoring controls, system interface controls, automated controls, and data monitoring controls within the relevant revenue streams.</w:t>
      </w:r>
    </w:p>
    <w:p>
      <w:pPr>
        <w:spacing w:after="0" w:line="62" w:lineRule="exact"/>
        <w:rPr>
          <w:rFonts w:ascii="Arial" w:cs="Arial" w:eastAsia="Arial" w:hAnsi="Arial"/>
          <w:sz w:val="18"/>
          <w:szCs w:val="18"/>
          <w:color w:val="auto"/>
        </w:rPr>
      </w:pPr>
    </w:p>
    <w:p>
      <w:pPr>
        <w:ind w:left="1540" w:hanging="509"/>
        <w:spacing w:after="0" w:line="277" w:lineRule="auto"/>
        <w:rPr>
          <w:rFonts w:ascii="Arial" w:cs="Arial" w:eastAsia="Arial" w:hAnsi="Arial"/>
          <w:sz w:val="18"/>
          <w:szCs w:val="18"/>
          <w:color w:val="auto"/>
        </w:rPr>
      </w:pPr>
      <w:r>
        <w:rPr>
          <w:rFonts w:ascii="Arial" w:cs="Arial" w:eastAsia="Arial" w:hAnsi="Arial"/>
          <w:sz w:val="18"/>
          <w:szCs w:val="18"/>
          <w:color w:val="auto"/>
        </w:rPr>
        <w:t>oWe tested internal controls within the relevant revenue business processes, including those in place to reconcile the information from various systems to the Company’s general ledger.</w:t>
      </w:r>
    </w:p>
    <w:p>
      <w:pPr>
        <w:spacing w:after="0" w:line="6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We performed analytical procedures to substantively test the Company’s recorded revenue and evaluate trends.</w:t>
      </w:r>
    </w:p>
    <w:p>
      <w:pPr>
        <w:spacing w:after="0" w:line="117" w:lineRule="exact"/>
        <w:rPr>
          <w:rFonts w:ascii="Arial" w:cs="Arial" w:eastAsia="Arial" w:hAnsi="Arial"/>
          <w:sz w:val="18"/>
          <w:szCs w:val="18"/>
          <w:color w:val="auto"/>
        </w:rPr>
      </w:pPr>
    </w:p>
    <w:p>
      <w:pPr>
        <w:ind w:left="1540" w:right="680" w:hanging="509"/>
        <w:spacing w:after="0" w:line="277" w:lineRule="auto"/>
        <w:rPr>
          <w:rFonts w:ascii="Arial" w:cs="Arial" w:eastAsia="Arial" w:hAnsi="Arial"/>
          <w:sz w:val="18"/>
          <w:szCs w:val="18"/>
          <w:color w:val="auto"/>
        </w:rPr>
      </w:pPr>
      <w:r>
        <w:rPr>
          <w:rFonts w:ascii="Arial" w:cs="Arial" w:eastAsia="Arial" w:hAnsi="Arial"/>
          <w:sz w:val="18"/>
          <w:szCs w:val="18"/>
          <w:color w:val="auto"/>
        </w:rPr>
        <w:t>oFor a sample of revenue transactions, we performed detail transaction testing by agreeing the amounts recognized to source documents and testing the mathematical accuracy of the recorded revenue.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87" w:name="page88"/>
    <w:bookmarkEnd w:id="87"/>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4"/>
              </w:rPr>
              <w:t>Successor</w:t>
            </w:r>
          </w:p>
        </w:tc>
      </w:tr>
      <w:tr>
        <w:trPr>
          <w:trHeight w:val="160"/>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ind w:right="252"/>
              <w:spacing w:after="0" w:line="160"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ind w:right="272"/>
              <w:spacing w:after="0" w:line="160"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2021</w:t>
            </w: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391,655</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292,642</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148</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941</w:t>
            </w:r>
          </w:p>
        </w:tc>
      </w:tr>
      <w:tr>
        <w:trPr>
          <w:trHeight w:val="215"/>
        </w:trPr>
        <w:tc>
          <w:tcPr>
            <w:tcW w:w="7720" w:type="dxa"/>
            <w:vAlign w:val="bottom"/>
          </w:tcPr>
          <w:p>
            <w:pPr>
              <w:ind w:left="200"/>
              <w:spacing w:after="0"/>
              <w:rPr>
                <w:sz w:val="20"/>
                <w:szCs w:val="20"/>
                <w:color w:val="auto"/>
              </w:rPr>
            </w:pPr>
            <w:r>
              <w:rPr>
                <w:rFonts w:ascii="Arial" w:cs="Arial" w:eastAsia="Arial" w:hAnsi="Arial"/>
                <w:sz w:val="18"/>
                <w:szCs w:val="18"/>
                <w:color w:val="auto"/>
                <w:w w:val="95"/>
              </w:rPr>
              <w:t>Accounts receivable (net of allowance for doubtful accounts of $1,348 and $1,258 at December 31,</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2022 and 2021, respectively)</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143,811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155,772</w:t>
            </w:r>
          </w:p>
        </w:tc>
      </w:tr>
      <w:tr>
        <w:trPr>
          <w:trHeight w:val="25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25,407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14,365</w:t>
            </w:r>
          </w:p>
        </w:tc>
      </w:tr>
      <w:tr>
        <w:trPr>
          <w:trHeight w:val="243"/>
        </w:trPr>
        <w:tc>
          <w:tcPr>
            <w:tcW w:w="772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2,292</w:t>
            </w:r>
          </w:p>
        </w:tc>
      </w:tr>
      <w:tr>
        <w:trPr>
          <w:trHeight w:val="237"/>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566,195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466,160</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113,529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154,309</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793,080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793,892</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Trade name, net</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71,162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79,585</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lists, net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326,014</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384,766</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Deferred tax asset, net</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1,413</w:t>
            </w: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13,423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6,456</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1,885,825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1,886,581</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54,947</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53,977</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22,702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30,054</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16,400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21,829</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liability</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2,573</w:t>
            </w:r>
          </w:p>
        </w:tc>
      </w:tr>
      <w:tr>
        <w:trPr>
          <w:trHeight w:val="243"/>
        </w:trPr>
        <w:tc>
          <w:tcPr>
            <w:tcW w:w="772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873</w:t>
            </w:r>
          </w:p>
        </w:tc>
      </w:tr>
      <w:tr>
        <w:trPr>
          <w:trHeight w:val="237"/>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100,786</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109,306</w:t>
            </w:r>
          </w:p>
        </w:tc>
      </w:tr>
      <w:tr>
        <w:trPr>
          <w:trHeight w:val="215"/>
        </w:trPr>
        <w:tc>
          <w:tcPr>
            <w:tcW w:w="7720" w:type="dxa"/>
            <w:vAlign w:val="bottom"/>
          </w:tcPr>
          <w:p>
            <w:pPr>
              <w:ind w:left="200"/>
              <w:spacing w:after="0"/>
              <w:rPr>
                <w:sz w:val="20"/>
                <w:szCs w:val="20"/>
                <w:color w:val="auto"/>
              </w:rPr>
            </w:pPr>
            <w:r>
              <w:rPr>
                <w:rFonts w:ascii="Arial" w:cs="Arial" w:eastAsia="Arial" w:hAnsi="Arial"/>
                <w:sz w:val="18"/>
                <w:szCs w:val="18"/>
                <w:color w:val="auto"/>
                <w:w w:val="97"/>
              </w:rPr>
              <w:t>Long-term debt (net of deferred financing costs of $8,075 and $9,879 at December 31, 2022 and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2021, respectively)</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556,649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554,845</w:t>
            </w:r>
          </w:p>
        </w:tc>
      </w:tr>
      <w:tr>
        <w:trPr>
          <w:trHeight w:val="25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 liability, net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90,556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84,653</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liability, less current portion</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5,539</w:t>
            </w:r>
          </w:p>
        </w:tc>
      </w:tr>
      <w:tr>
        <w:trPr>
          <w:trHeight w:val="230"/>
        </w:trPr>
        <w:tc>
          <w:tcPr>
            <w:tcW w:w="772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759,207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754,343</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 $0.001 par value; 1,000,000,000 shares authorized, 148,732,603 and</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152,901,040 shares issued and outstanding as of December 31, 2022 and 2021, respectively</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w:t>
            </w: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1,176,163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1,165,163</w:t>
            </w: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(27,363 )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(31,441 )</w:t>
            </w: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(22,331 )</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(1,637 )</w:t>
            </w: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1,126,618</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1,132,238</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1,885,825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1,886,581</w:t>
            </w: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-3916680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-1576705</wp:posOffset>
            </wp:positionV>
            <wp:extent cx="68580"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Successor</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172"/>
              <w:spacing w:after="0" w:line="133" w:lineRule="exact"/>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4"/>
              </w:rPr>
              <w:t>through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5"/>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1"/>
              </w:rPr>
              <w:t>December 31, 2022</w:t>
            </w: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0"/>
              </w:rPr>
              <w:t>December 31, 2021</w:t>
            </w:r>
          </w:p>
        </w:tc>
        <w:tc>
          <w:tcPr>
            <w:tcW w:w="40" w:type="dxa"/>
            <w:vAlign w:val="bottom"/>
          </w:tcPr>
          <w:p>
            <w:pPr>
              <w:spacing w:after="0"/>
              <w:rPr>
                <w:sz w:val="16"/>
                <w:szCs w:val="16"/>
                <w:color w:val="auto"/>
              </w:rPr>
            </w:pPr>
          </w:p>
        </w:tc>
        <w:tc>
          <w:tcPr>
            <w:tcW w:w="152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93"/>
              </w:rPr>
              <w:t>December 31, 2020</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January 31, 2020</w:t>
            </w: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810,023</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712,295</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472,369</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36,785</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200"/>
              <w:spacing w:after="0"/>
              <w:rPr>
                <w:sz w:val="20"/>
                <w:szCs w:val="20"/>
                <w:color w:val="auto"/>
              </w:rPr>
            </w:pPr>
            <w:r>
              <w:rPr>
                <w:rFonts w:ascii="Arial" w:cs="Arial" w:eastAsia="Arial" w:hAnsi="Arial"/>
                <w:sz w:val="18"/>
                <w:szCs w:val="18"/>
                <w:color w:val="auto"/>
              </w:rPr>
              <w:t>Cost of services (exclusive of depreciation and amortization</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0"/>
              <w:spacing w:after="0"/>
              <w:rPr>
                <w:sz w:val="20"/>
                <w:szCs w:val="20"/>
                <w:color w:val="auto"/>
              </w:rPr>
            </w:pPr>
            <w:r>
              <w:rPr>
                <w:rFonts w:ascii="Arial" w:cs="Arial" w:eastAsia="Arial" w:hAnsi="Arial"/>
                <w:sz w:val="18"/>
                <w:szCs w:val="18"/>
                <w:color w:val="auto"/>
              </w:rPr>
              <w:t>below)</w:t>
            </w:r>
          </w:p>
        </w:tc>
        <w:tc>
          <w:tcPr>
            <w:tcW w:w="1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408,928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352,170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240,287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20,265</w:t>
            </w:r>
          </w:p>
        </w:tc>
        <w:tc>
          <w:tcPr>
            <w:tcW w:w="0" w:type="dxa"/>
            <w:vAlign w:val="bottom"/>
          </w:tcPr>
          <w:p>
            <w:pPr>
              <w:spacing w:after="0"/>
              <w:rPr>
                <w:sz w:val="1"/>
                <w:szCs w:val="1"/>
                <w:color w:val="auto"/>
              </w:rPr>
            </w:pPr>
          </w:p>
        </w:tc>
      </w:tr>
      <w:tr>
        <w:trPr>
          <w:trHeight w:val="250"/>
        </w:trPr>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and technology expense</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51,931</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45,507</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32,201</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43"/>
        </w:trPr>
        <w:tc>
          <w:tcPr>
            <w:tcW w:w="508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21"/>
                <w:szCs w:val="21"/>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116,640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107,980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66,864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11,235</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138,246</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142,815</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right w:val="single" w:sz="8" w:color="CFF0FC"/>
            </w:tcBorders>
            <w:shd w:val="clear" w:color="auto" w:fill="CFF0FC"/>
          </w:tcPr>
          <w:p>
            <w:pPr>
              <w:jc w:val="right"/>
              <w:ind w:right="72"/>
              <w:spacing w:after="0"/>
              <w:rPr>
                <w:sz w:val="20"/>
                <w:szCs w:val="20"/>
                <w:color w:val="auto"/>
              </w:rPr>
            </w:pPr>
            <w:r>
              <w:rPr>
                <w:rFonts w:ascii="Arial" w:cs="Arial" w:eastAsia="Arial" w:hAnsi="Arial"/>
                <w:sz w:val="18"/>
                <w:szCs w:val="18"/>
                <w:color w:val="auto"/>
              </w:rPr>
              <w:t>135,057</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37"/>
        </w:trPr>
        <w:tc>
          <w:tcPr>
            <w:tcW w:w="50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715,745</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648,472</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474,409</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36,794</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94,278</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63,823</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(2,040 )</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9,199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24,972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47,384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13,938</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43"/>
        </w:trPr>
        <w:tc>
          <w:tcPr>
            <w:tcW w:w="5080" w:type="dxa"/>
            <w:vAlign w:val="bottom"/>
          </w:tcPr>
          <w:p>
            <w:pPr>
              <w:ind w:left="200"/>
              <w:spacing w:after="0"/>
              <w:rPr>
                <w:sz w:val="20"/>
                <w:szCs w:val="20"/>
                <w:color w:val="auto"/>
              </w:rPr>
            </w:pPr>
            <w:r>
              <w:rPr>
                <w:rFonts w:ascii="Arial" w:cs="Arial" w:eastAsia="Arial" w:hAnsi="Arial"/>
                <w:sz w:val="18"/>
                <w:szCs w:val="18"/>
                <w:color w:val="auto"/>
              </w:rPr>
              <w:t>Transaction expenses, change in control</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9,423</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22,370</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9,199</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38,910</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right w:val="single" w:sz="8" w:color="CFF0FC"/>
            </w:tcBorders>
            <w:shd w:val="clear" w:color="auto" w:fill="CFF0FC"/>
          </w:tcPr>
          <w:p>
            <w:pPr>
              <w:jc w:val="right"/>
              <w:ind w:right="72"/>
              <w:spacing w:after="0"/>
              <w:rPr>
                <w:sz w:val="20"/>
                <w:szCs w:val="20"/>
                <w:color w:val="auto"/>
              </w:rPr>
            </w:pPr>
            <w:r>
              <w:rPr>
                <w:rFonts w:ascii="Arial" w:cs="Arial" w:eastAsia="Arial" w:hAnsi="Arial"/>
                <w:sz w:val="18"/>
                <w:szCs w:val="18"/>
                <w:color w:val="auto"/>
              </w:rPr>
              <w:t>56,807</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37,392</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w w:val="99"/>
              </w:rPr>
              <w:t>INCOME (LOSS) BEFORE PROVISION FOR INCOME TAXES</w:t>
            </w:r>
          </w:p>
        </w:tc>
        <w:tc>
          <w:tcPr>
            <w:tcW w:w="1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85,079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24,913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(58,847 )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(37,401 )</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20,475</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8,862</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(11,355 )</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(871 )</w:t>
            </w: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64,604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16,051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(47,492 )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(36,530 )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Foreign currency translation (loss) income</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(20,694 )</w:t>
            </w: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(4,121 )</w:t>
            </w: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2,484</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7"/>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43,910</w:t>
            </w: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11,930</w:t>
            </w: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(45,008 )</w:t>
            </w: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(36,561 )</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64,604</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16,051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(47,492 )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(36,530 )</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0.43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(0.37 )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0.43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0.11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150,227,213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140,480,590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130,000,000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151,807,139</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141,687,384</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130,000,000</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Basic net (loss) per unit</w:t>
            </w:r>
          </w:p>
        </w:tc>
        <w:tc>
          <w:tcPr>
            <w:tcW w:w="1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n/a</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net (loss) per unit</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n/a</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n/a</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units outstanding - basic</w:t>
            </w:r>
          </w:p>
        </w:tc>
        <w:tc>
          <w:tcPr>
            <w:tcW w:w="100" w:type="dxa"/>
            <w:vAlign w:val="bottom"/>
          </w:tcPr>
          <w:p>
            <w:pPr>
              <w:spacing w:after="0"/>
              <w:rPr>
                <w:sz w:val="20"/>
                <w:szCs w:val="20"/>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149,686,460</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units outstanding - diluted</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n/a</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n/a</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149,686,460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-5447030</wp:posOffset>
            </wp:positionV>
            <wp:extent cx="998855" cy="4286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998855" cy="42862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-3980815</wp:posOffset>
            </wp:positionV>
            <wp:extent cx="2948940" cy="655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2948940" cy="6559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-2875280</wp:posOffset>
            </wp:positionV>
            <wp:extent cx="2948940" cy="14871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2948940" cy="148717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Successor</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84"/>
              </w:rPr>
              <w:t>Predecessor</w:t>
            </w:r>
          </w:p>
        </w:tc>
      </w:tr>
      <w:tr>
        <w:trPr>
          <w:trHeight w:val="119"/>
        </w:trPr>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ind w:right="226"/>
              <w:spacing w:after="0" w:line="119" w:lineRule="exact"/>
              <w:rPr>
                <w:sz w:val="20"/>
                <w:szCs w:val="20"/>
                <w:color w:val="auto"/>
              </w:rPr>
            </w:pPr>
            <w:r>
              <w:rPr>
                <w:rFonts w:ascii="Arial" w:cs="Arial" w:eastAsia="Arial" w:hAnsi="Arial"/>
                <w:sz w:val="11"/>
                <w:szCs w:val="11"/>
                <w:b w:val="1"/>
                <w:bCs w:val="1"/>
                <w:color w:val="auto"/>
                <w:w w:val="90"/>
              </w:rPr>
              <w:t>Period from</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jc w:val="center"/>
              <w:ind w:right="246"/>
              <w:spacing w:after="0" w:line="119" w:lineRule="exact"/>
              <w:rPr>
                <w:sz w:val="20"/>
                <w:szCs w:val="20"/>
                <w:color w:val="auto"/>
              </w:rPr>
            </w:pPr>
            <w:r>
              <w:rPr>
                <w:rFonts w:ascii="Arial" w:cs="Arial" w:eastAsia="Arial" w:hAnsi="Arial"/>
                <w:sz w:val="11"/>
                <w:szCs w:val="11"/>
                <w:b w:val="1"/>
                <w:bCs w:val="1"/>
                <w:color w:val="auto"/>
                <w:w w:val="90"/>
              </w:rPr>
              <w:t>Period from</w:t>
            </w:r>
          </w:p>
        </w:tc>
      </w:tr>
      <w:tr>
        <w:trPr>
          <w:trHeight w:val="122"/>
        </w:trPr>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auto"/>
                <w:w w:val="92"/>
              </w:rPr>
              <w:t>February 1, 2020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jc w:val="center"/>
              <w:ind w:right="266"/>
              <w:spacing w:after="0" w:line="122" w:lineRule="exact"/>
              <w:rPr>
                <w:sz w:val="20"/>
                <w:szCs w:val="20"/>
                <w:color w:val="auto"/>
              </w:rPr>
            </w:pPr>
            <w:r>
              <w:rPr>
                <w:rFonts w:ascii="Arial" w:cs="Arial" w:eastAsia="Arial" w:hAnsi="Arial"/>
                <w:sz w:val="11"/>
                <w:szCs w:val="11"/>
                <w:b w:val="1"/>
                <w:bCs w:val="1"/>
                <w:color w:val="auto"/>
                <w:w w:val="90"/>
              </w:rPr>
              <w:t>January 1, 2020</w:t>
            </w:r>
          </w:p>
        </w:tc>
      </w:tr>
      <w:tr>
        <w:trPr>
          <w:trHeight w:val="122"/>
        </w:trPr>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jc w:val="right"/>
              <w:ind w:right="486"/>
              <w:spacing w:after="0" w:line="122" w:lineRule="exact"/>
              <w:rPr>
                <w:sz w:val="20"/>
                <w:szCs w:val="20"/>
                <w:color w:val="auto"/>
              </w:rPr>
            </w:pPr>
            <w:r>
              <w:rPr>
                <w:rFonts w:ascii="Arial" w:cs="Arial" w:eastAsia="Arial" w:hAnsi="Arial"/>
                <w:sz w:val="11"/>
                <w:szCs w:val="11"/>
                <w:b w:val="1"/>
                <w:bCs w:val="1"/>
                <w:color w:val="auto"/>
              </w:rPr>
              <w:t>Year Ended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right"/>
              <w:ind w:right="446"/>
              <w:spacing w:after="0" w:line="122" w:lineRule="exact"/>
              <w:rPr>
                <w:sz w:val="20"/>
                <w:szCs w:val="20"/>
                <w:color w:val="auto"/>
              </w:rPr>
            </w:pPr>
            <w:r>
              <w:rPr>
                <w:rFonts w:ascii="Arial" w:cs="Arial" w:eastAsia="Arial" w:hAnsi="Arial"/>
                <w:sz w:val="11"/>
                <w:szCs w:val="11"/>
                <w:b w:val="1"/>
                <w:bCs w:val="1"/>
                <w:color w:val="auto"/>
              </w:rPr>
              <w:t>Year Ended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auto"/>
                <w:w w:val="86"/>
              </w:rPr>
              <w:t>through</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jc w:val="center"/>
              <w:ind w:right="246"/>
              <w:spacing w:after="0" w:line="122" w:lineRule="exact"/>
              <w:rPr>
                <w:sz w:val="20"/>
                <w:szCs w:val="20"/>
                <w:color w:val="auto"/>
              </w:rPr>
            </w:pPr>
            <w:r>
              <w:rPr>
                <w:rFonts w:ascii="Arial" w:cs="Arial" w:eastAsia="Arial" w:hAnsi="Arial"/>
                <w:sz w:val="11"/>
                <w:szCs w:val="11"/>
                <w:b w:val="1"/>
                <w:bCs w:val="1"/>
                <w:color w:val="auto"/>
                <w:w w:val="86"/>
              </w:rPr>
              <w:t>through</w:t>
            </w:r>
          </w:p>
        </w:tc>
      </w:tr>
      <w:tr>
        <w:trPr>
          <w:trHeight w:val="149"/>
        </w:trPr>
        <w:tc>
          <w:tcPr>
            <w:tcW w:w="496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w w:val="92"/>
              </w:rPr>
              <w:t>December 31, 2022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w w:val="94"/>
              </w:rPr>
              <w:t>December 31, 2021</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86"/>
              </w:rPr>
              <w:t>December 31, 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90"/>
              </w:rPr>
              <w:t>January 31, 2020</w:t>
            </w:r>
          </w:p>
        </w:tc>
      </w:tr>
      <w:tr>
        <w:trPr>
          <w:trHeight w:val="142"/>
        </w:trPr>
        <w:tc>
          <w:tcPr>
            <w:tcW w:w="49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4"/>
        </w:trPr>
        <w:tc>
          <w:tcPr>
            <w:tcW w:w="496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64,604</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16,051</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(47,492 )</w:t>
            </w:r>
          </w:p>
        </w:tc>
        <w:tc>
          <w:tcPr>
            <w:tcW w:w="120" w:type="dxa"/>
            <w:vAlign w:val="bottom"/>
            <w:tcBorders>
              <w:right w:val="single" w:sz="8" w:color="auto"/>
            </w:tcBorders>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(36,530 )</w:t>
            </w:r>
          </w:p>
        </w:tc>
      </w:tr>
      <w:tr>
        <w:trPr>
          <w:trHeight w:val="153"/>
        </w:trPr>
        <w:tc>
          <w:tcPr>
            <w:tcW w:w="4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Adjustments to reconcile net income (loss) to net cash provided by (used in) operating activities: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Depreciation and amortization</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138,246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142,815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135,057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2,105</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Loss on extinguishment of debt</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13,938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10,533</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Amortization of deferred financing costs</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1,804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5,936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3,242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569</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Bad debt expense (recovery)</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207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(17 )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350</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Deferred taxes</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4,597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(2,924 )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(16,747 )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(997 )</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Share-based compensation</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7,856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9,530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1,876</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3,976</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Loss (gain) on foreign currency exchange rates</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(575 )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(31 )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(82 )</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Loss on disposal of fixed assets and impairment of ROU assets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1,263</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Change in fair value of interest rate swaps</w:t>
            </w:r>
          </w:p>
        </w:tc>
        <w:tc>
          <w:tcPr>
            <w:tcW w:w="160" w:type="dxa"/>
            <w:vAlign w:val="bottom"/>
          </w:tcPr>
          <w:p>
            <w:pPr>
              <w:spacing w:after="0"/>
              <w:rPr>
                <w:sz w:val="12"/>
                <w:szCs w:val="12"/>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(12,429 )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(2,284 )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3,616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53"/>
        </w:trPr>
        <w:tc>
          <w:tcPr>
            <w:tcW w:w="4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Changes in operating assets and liabilities: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Accounts receivable</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9,149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(40,842 )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(28,541 )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9,384</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Prepaid expenses and other assets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4,892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(10,502 )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3,616</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(4,666 )</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Accounts payable</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2,983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7,516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16,530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(8,871 )</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Accrued compensation and accrued liabilities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(11,365 )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8,541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880</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4,102</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Deferred revenues</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196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(271 )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11</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Operating lease liabilities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(898 )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8"/>
        </w:trPr>
        <w:tc>
          <w:tcPr>
            <w:tcW w:w="4960" w:type="dxa"/>
            <w:vAlign w:val="bottom"/>
          </w:tcPr>
          <w:p>
            <w:pPr>
              <w:ind w:left="160"/>
              <w:spacing w:after="0"/>
              <w:rPr>
                <w:sz w:val="20"/>
                <w:szCs w:val="20"/>
                <w:color w:val="auto"/>
              </w:rPr>
            </w:pPr>
            <w:r>
              <w:rPr>
                <w:rFonts w:ascii="Arial" w:cs="Arial" w:eastAsia="Arial" w:hAnsi="Arial"/>
                <w:sz w:val="11"/>
                <w:szCs w:val="11"/>
                <w:color w:val="auto"/>
              </w:rPr>
              <w:t>Other liabilities</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4,724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(87 )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826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767</w:t>
            </w:r>
          </w:p>
        </w:tc>
      </w:tr>
      <w:tr>
        <w:trPr>
          <w:trHeight w:val="149"/>
        </w:trPr>
        <w:tc>
          <w:tcPr>
            <w:tcW w:w="49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Income taxes receivable and payable, net</w:t>
            </w:r>
          </w:p>
        </w:tc>
        <w:tc>
          <w:tcPr>
            <w:tcW w:w="1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(3,045 )</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1,309</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(79 )</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373</w:t>
            </w:r>
          </w:p>
        </w:tc>
      </w:tr>
      <w:tr>
        <w:trPr>
          <w:trHeight w:val="142"/>
        </w:trPr>
        <w:tc>
          <w:tcPr>
            <w:tcW w:w="4960" w:type="dxa"/>
            <w:vAlign w:val="bottom"/>
          </w:tcPr>
          <w:p>
            <w:pPr>
              <w:ind w:left="300"/>
              <w:spacing w:after="0"/>
              <w:rPr>
                <w:sz w:val="20"/>
                <w:szCs w:val="20"/>
                <w:color w:val="auto"/>
              </w:rPr>
            </w:pPr>
            <w:r>
              <w:rPr>
                <w:rFonts w:ascii="Arial" w:cs="Arial" w:eastAsia="Arial" w:hAnsi="Arial"/>
                <w:sz w:val="11"/>
                <w:szCs w:val="11"/>
                <w:color w:val="auto"/>
              </w:rPr>
              <w:t>Net cash provided by (used in) operating activities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212,770</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148,677</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72,851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(19,216 )</w:t>
            </w:r>
          </w:p>
        </w:tc>
      </w:tr>
      <w:tr>
        <w:trPr>
          <w:trHeight w:val="142"/>
        </w:trPr>
        <w:tc>
          <w:tcPr>
            <w:tcW w:w="49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Changes in short-term investments</w:t>
            </w:r>
          </w:p>
        </w:tc>
        <w:tc>
          <w:tcPr>
            <w:tcW w:w="160" w:type="dxa"/>
            <w:vAlign w:val="bottom"/>
          </w:tcPr>
          <w:p>
            <w:pPr>
              <w:spacing w:after="0"/>
              <w:rPr>
                <w:sz w:val="12"/>
                <w:szCs w:val="12"/>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(1,106 )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257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(163 )</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Acquisitions of businesses, net of cash acquired</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(19,052 )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(48,934 )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Purchases of property and equipment</w:t>
            </w:r>
          </w:p>
        </w:tc>
        <w:tc>
          <w:tcPr>
            <w:tcW w:w="160" w:type="dxa"/>
            <w:vAlign w:val="bottom"/>
          </w:tcPr>
          <w:p>
            <w:pPr>
              <w:spacing w:after="0"/>
              <w:rPr>
                <w:sz w:val="12"/>
                <w:szCs w:val="12"/>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(6,165 )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(7,313 )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(5,304 )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(951 )</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Capitalized software development costs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(22,363 )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(16,485 )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(10,522 )</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(929 )</w:t>
            </w:r>
          </w:p>
        </w:tc>
      </w:tr>
      <w:tr>
        <w:trPr>
          <w:trHeight w:val="148"/>
        </w:trPr>
        <w:tc>
          <w:tcPr>
            <w:tcW w:w="4960" w:type="dxa"/>
            <w:vAlign w:val="bottom"/>
          </w:tcPr>
          <w:p>
            <w:pPr>
              <w:ind w:left="160"/>
              <w:spacing w:after="0"/>
              <w:rPr>
                <w:sz w:val="20"/>
                <w:szCs w:val="20"/>
                <w:color w:val="auto"/>
              </w:rPr>
            </w:pPr>
            <w:r>
              <w:rPr>
                <w:rFonts w:ascii="Arial" w:cs="Arial" w:eastAsia="Arial" w:hAnsi="Arial"/>
                <w:sz w:val="11"/>
                <w:szCs w:val="11"/>
                <w:color w:val="auto"/>
              </w:rPr>
              <w:t>Proceeds from disposal of property and equipment</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r>
      <w:tr>
        <w:trPr>
          <w:trHeight w:val="142"/>
        </w:trPr>
        <w:tc>
          <w:tcPr>
            <w:tcW w:w="49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1"/>
                <w:szCs w:val="11"/>
                <w:color w:val="auto"/>
              </w:rPr>
              <w:t>Net cash used in investing activities</w:t>
            </w:r>
          </w:p>
        </w:tc>
        <w:tc>
          <w:tcPr>
            <w:tcW w:w="1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(48,596 )</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(72,427 )</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(15,569 )</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(2,043 )</w:t>
            </w:r>
          </w:p>
        </w:tc>
      </w:tr>
      <w:tr>
        <w:trPr>
          <w:trHeight w:val="138"/>
        </w:trPr>
        <w:tc>
          <w:tcPr>
            <w:tcW w:w="496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9"/>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8"/>
              </w:rPr>
              <w:t>Proceeds from issuance of common stock in initial public offering, net of underwriting discounts and</w:t>
            </w:r>
          </w:p>
        </w:tc>
        <w:tc>
          <w:tcPr>
            <w:tcW w:w="1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45"/>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commissions</w:t>
            </w: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320,559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Payments of initial public offering issuance costs</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(4,034 )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Shareholder distribution</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(313 )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Capital contributions</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59,423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41,143</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Distributions to Predecessor Members and Optionholders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(5,834 )</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(17,991 )</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Share repurchases</w:t>
            </w:r>
          </w:p>
        </w:tc>
        <w:tc>
          <w:tcPr>
            <w:tcW w:w="160" w:type="dxa"/>
            <w:vAlign w:val="bottom"/>
          </w:tcPr>
          <w:p>
            <w:pPr>
              <w:spacing w:after="0"/>
              <w:rPr>
                <w:sz w:val="12"/>
                <w:szCs w:val="12"/>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(60,530 )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Borrowings from Successor First Lien Credit Facility</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261,413</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Repayments of Successor First Lien Credit Facility</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(363,875 )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(3,350 )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Repayment of Successor Second Lien Credit Facility</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(146,584 )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Borrowings on Successor Revolver</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25,000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Repayments on Successor Revolver</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(25,000 )</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Repayment of Predecessor First Lien Credit Facility</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(34,000 )</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Payments of debt issuance costs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(1,257 )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(1,397 )</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4"/>
        </w:trPr>
        <w:tc>
          <w:tcPr>
            <w:tcW w:w="4960" w:type="dxa"/>
            <w:vAlign w:val="bottom"/>
          </w:tcPr>
          <w:p>
            <w:pPr>
              <w:ind w:left="160"/>
              <w:spacing w:after="0"/>
              <w:rPr>
                <w:sz w:val="20"/>
                <w:szCs w:val="20"/>
                <w:color w:val="auto"/>
              </w:rPr>
            </w:pPr>
            <w:r>
              <w:rPr>
                <w:rFonts w:ascii="Arial" w:cs="Arial" w:eastAsia="Arial" w:hAnsi="Arial"/>
                <w:sz w:val="11"/>
                <w:szCs w:val="11"/>
                <w:color w:val="auto"/>
              </w:rPr>
              <w:t>Payments on capital and finance lease obligations</w:t>
            </w:r>
          </w:p>
        </w:tc>
        <w:tc>
          <w:tcPr>
            <w:tcW w:w="160" w:type="dxa"/>
            <w:vAlign w:val="bottom"/>
          </w:tcPr>
          <w:p>
            <w:pPr>
              <w:spacing w:after="0"/>
              <w:rPr>
                <w:sz w:val="12"/>
                <w:szCs w:val="12"/>
                <w:color w:val="auto"/>
              </w:rPr>
            </w:pPr>
          </w:p>
        </w:tc>
        <w:tc>
          <w:tcPr>
            <w:tcW w:w="1300" w:type="dxa"/>
            <w:vAlign w:val="bottom"/>
          </w:tcPr>
          <w:p>
            <w:pPr>
              <w:jc w:val="right"/>
              <w:ind w:right="26"/>
              <w:spacing w:after="0"/>
              <w:rPr>
                <w:sz w:val="20"/>
                <w:szCs w:val="20"/>
                <w:color w:val="auto"/>
              </w:rPr>
            </w:pPr>
            <w:r>
              <w:rPr>
                <w:rFonts w:ascii="Arial" w:cs="Arial" w:eastAsia="Arial" w:hAnsi="Arial"/>
                <w:sz w:val="11"/>
                <w:szCs w:val="11"/>
                <w:color w:val="auto"/>
              </w:rPr>
              <w:t>(884 )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(1,652 )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(2,438 )</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(274 )</w:t>
            </w:r>
          </w:p>
        </w:tc>
      </w:tr>
      <w:tr>
        <w:trPr>
          <w:trHeight w:val="153"/>
        </w:trPr>
        <w:tc>
          <w:tcPr>
            <w:tcW w:w="49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Payments on deferred purchase agreements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(884 )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(705 )</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9"/>
        </w:trPr>
        <w:tc>
          <w:tcPr>
            <w:tcW w:w="4960" w:type="dxa"/>
            <w:vAlign w:val="bottom"/>
          </w:tcPr>
          <w:p>
            <w:pPr>
              <w:ind w:left="160"/>
              <w:spacing w:after="0"/>
              <w:rPr>
                <w:sz w:val="20"/>
                <w:szCs w:val="20"/>
                <w:color w:val="auto"/>
              </w:rPr>
            </w:pPr>
            <w:r>
              <w:rPr>
                <w:rFonts w:ascii="Arial" w:cs="Arial" w:eastAsia="Arial" w:hAnsi="Arial"/>
                <w:sz w:val="11"/>
                <w:szCs w:val="11"/>
                <w:color w:val="auto"/>
              </w:rPr>
              <w:t>Proceeds from issuance of common stock under share-based compensation plans</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3,522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48"/>
        </w:trPr>
        <w:tc>
          <w:tcPr>
            <w:tcW w:w="49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Net settlement of share-based compensation plan awards</w:t>
            </w:r>
          </w:p>
        </w:tc>
        <w:tc>
          <w:tcPr>
            <w:tcW w:w="1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(378 )</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(332 )</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w:t>
            </w:r>
          </w:p>
        </w:tc>
      </w:tr>
      <w:tr>
        <w:trPr>
          <w:trHeight w:val="142"/>
        </w:trPr>
        <w:tc>
          <w:tcPr>
            <w:tcW w:w="4960" w:type="dxa"/>
            <w:vAlign w:val="bottom"/>
          </w:tcPr>
          <w:p>
            <w:pPr>
              <w:ind w:left="300"/>
              <w:spacing w:after="0"/>
              <w:rPr>
                <w:sz w:val="20"/>
                <w:szCs w:val="20"/>
                <w:color w:val="auto"/>
              </w:rPr>
            </w:pPr>
            <w:r>
              <w:rPr>
                <w:rFonts w:ascii="Arial" w:cs="Arial" w:eastAsia="Arial" w:hAnsi="Arial"/>
                <w:sz w:val="11"/>
                <w:szCs w:val="11"/>
                <w:color w:val="auto"/>
              </w:rPr>
              <w:t>Net cash (used in) provided by financing activities</w:t>
            </w: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(59,154 )</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63,848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46,404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(11,122 )</w:t>
            </w:r>
          </w:p>
        </w:tc>
      </w:tr>
      <w:tr>
        <w:trPr>
          <w:trHeight w:val="142"/>
        </w:trPr>
        <w:tc>
          <w:tcPr>
            <w:tcW w:w="4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Effect of exchange rate on cash, cash equivalents, and restricted cash</w:t>
            </w:r>
          </w:p>
        </w:tc>
        <w:tc>
          <w:tcPr>
            <w:tcW w:w="1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(6,014 )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(278 )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1,021</w:t>
            </w:r>
          </w:p>
        </w:tc>
        <w:tc>
          <w:tcPr>
            <w:tcW w:w="1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(102 )</w:t>
            </w:r>
          </w:p>
        </w:tc>
      </w:tr>
      <w:tr>
        <w:trPr>
          <w:trHeight w:val="148"/>
        </w:trPr>
        <w:tc>
          <w:tcPr>
            <w:tcW w:w="4960" w:type="dxa"/>
            <w:vAlign w:val="bottom"/>
          </w:tcPr>
          <w:p>
            <w:pPr>
              <w:ind w:left="20"/>
              <w:spacing w:after="0"/>
              <w:rPr>
                <w:sz w:val="20"/>
                <w:szCs w:val="20"/>
                <w:color w:val="auto"/>
              </w:rPr>
            </w:pPr>
            <w:r>
              <w:rPr>
                <w:rFonts w:ascii="Arial" w:cs="Arial" w:eastAsia="Arial" w:hAnsi="Arial"/>
                <w:sz w:val="11"/>
                <w:szCs w:val="11"/>
                <w:color w:val="auto"/>
              </w:rPr>
              <w:t>Increase (decrease) in cash, cash equivalents, and restricted cash</w:t>
            </w:r>
          </w:p>
        </w:tc>
        <w:tc>
          <w:tcPr>
            <w:tcW w:w="16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99,006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139,820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104,707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(32,483 )</w:t>
            </w:r>
          </w:p>
        </w:tc>
      </w:tr>
      <w:tr>
        <w:trPr>
          <w:trHeight w:val="148"/>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Cash, cash equivalents, and restricted cash at beginning of period</w:t>
            </w:r>
          </w:p>
        </w:tc>
        <w:tc>
          <w:tcPr>
            <w:tcW w:w="1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86"/>
              <w:spacing w:after="0"/>
              <w:rPr>
                <w:sz w:val="20"/>
                <w:szCs w:val="20"/>
                <w:color w:val="auto"/>
              </w:rPr>
            </w:pPr>
            <w:r>
              <w:rPr>
                <w:rFonts w:ascii="Arial" w:cs="Arial" w:eastAsia="Arial" w:hAnsi="Arial"/>
                <w:sz w:val="11"/>
                <w:szCs w:val="11"/>
                <w:color w:val="auto"/>
              </w:rPr>
              <w:t>292,790</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152,970</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48,263</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1"/>
                <w:szCs w:val="11"/>
                <w:color w:val="auto"/>
              </w:rPr>
              <w:t>80,746</w:t>
            </w:r>
          </w:p>
        </w:tc>
      </w:tr>
      <w:tr>
        <w:trPr>
          <w:trHeight w:val="142"/>
        </w:trPr>
        <w:tc>
          <w:tcPr>
            <w:tcW w:w="4960" w:type="dxa"/>
            <w:vAlign w:val="bottom"/>
          </w:tcPr>
          <w:p>
            <w:pPr>
              <w:ind w:left="20"/>
              <w:spacing w:after="0"/>
              <w:rPr>
                <w:sz w:val="20"/>
                <w:szCs w:val="20"/>
                <w:color w:val="auto"/>
              </w:rPr>
            </w:pPr>
            <w:r>
              <w:rPr>
                <w:rFonts w:ascii="Arial" w:cs="Arial" w:eastAsia="Arial" w:hAnsi="Arial"/>
                <w:sz w:val="11"/>
                <w:szCs w:val="11"/>
                <w:color w:val="auto"/>
              </w:rPr>
              <w:t>Cash, cash equivalents, and restricted cash at end of period</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391,796</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292,790</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152,970</w:t>
            </w: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48,263</w:t>
            </w: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9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44"/>
        </w:trPr>
        <w:tc>
          <w:tcPr>
            <w:tcW w:w="4960" w:type="dxa"/>
            <w:vAlign w:val="bottom"/>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3"/>
        </w:trPr>
        <w:tc>
          <w:tcPr>
            <w:tcW w:w="4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paid for income taxes, net of refunds received</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17,475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10,361</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4,786</w:t>
            </w:r>
          </w:p>
        </w:tc>
        <w:tc>
          <w:tcPr>
            <w:tcW w:w="120" w:type="dxa"/>
            <w:vAlign w:val="bottom"/>
            <w:tcBorders>
              <w:right w:val="single" w:sz="8" w:color="auto"/>
            </w:tcBorders>
            <w:shd w:val="clear" w:color="auto" w:fill="CFF0FC"/>
          </w:tcPr>
          <w:p>
            <w:pPr>
              <w:spacing w:after="0"/>
              <w:rPr>
                <w:sz w:val="13"/>
                <w:szCs w:val="13"/>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279</w:t>
            </w:r>
          </w:p>
        </w:tc>
      </w:tr>
      <w:tr>
        <w:trPr>
          <w:trHeight w:val="144"/>
        </w:trPr>
        <w:tc>
          <w:tcPr>
            <w:tcW w:w="4960" w:type="dxa"/>
            <w:vAlign w:val="bottom"/>
          </w:tcPr>
          <w:p>
            <w:pPr>
              <w:ind w:left="20"/>
              <w:spacing w:after="0"/>
              <w:rPr>
                <w:sz w:val="20"/>
                <w:szCs w:val="20"/>
                <w:color w:val="auto"/>
              </w:rPr>
            </w:pPr>
            <w:r>
              <w:rPr>
                <w:rFonts w:ascii="Arial" w:cs="Arial" w:eastAsia="Arial" w:hAnsi="Arial"/>
                <w:sz w:val="11"/>
                <w:szCs w:val="11"/>
                <w:color w:val="auto"/>
              </w:rPr>
              <w:t>Cash paid for interest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27,042</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23,029</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41,145</w:t>
            </w:r>
          </w:p>
        </w:tc>
        <w:tc>
          <w:tcPr>
            <w:tcW w:w="120" w:type="dxa"/>
            <w:vAlign w:val="bottom"/>
            <w:tcBorders>
              <w:right w:val="single" w:sz="8" w:color="auto"/>
            </w:tcBorders>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224</w:t>
            </w:r>
          </w:p>
        </w:tc>
      </w:tr>
      <w:tr>
        <w:trPr>
          <w:trHeight w:val="153"/>
        </w:trPr>
        <w:tc>
          <w:tcPr>
            <w:tcW w:w="49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NON-CASH INVESTING AND FINANCING ACTIVITIES:</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44"/>
        </w:trPr>
        <w:tc>
          <w:tcPr>
            <w:tcW w:w="4960" w:type="dxa"/>
            <w:vAlign w:val="bottom"/>
          </w:tcPr>
          <w:p>
            <w:pPr>
              <w:ind w:left="20"/>
              <w:spacing w:after="0"/>
              <w:rPr>
                <w:sz w:val="20"/>
                <w:szCs w:val="20"/>
                <w:color w:val="auto"/>
              </w:rPr>
            </w:pPr>
            <w:r>
              <w:rPr>
                <w:rFonts w:ascii="Arial" w:cs="Arial" w:eastAsia="Arial" w:hAnsi="Arial"/>
                <w:sz w:val="11"/>
                <w:szCs w:val="11"/>
                <w:color w:val="auto"/>
              </w:rPr>
              <w:t>Property and equipment acquired on account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105</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3,643</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88</w:t>
            </w:r>
          </w:p>
        </w:tc>
        <w:tc>
          <w:tcPr>
            <w:tcW w:w="120" w:type="dxa"/>
            <w:vAlign w:val="bottom"/>
            <w:tcBorders>
              <w:right w:val="single" w:sz="8" w:color="auto"/>
            </w:tcBorders>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66"/>
              <w:spacing w:after="0"/>
              <w:rPr>
                <w:sz w:val="20"/>
                <w:szCs w:val="20"/>
                <w:color w:val="auto"/>
              </w:rPr>
            </w:pPr>
            <w:r>
              <w:rPr>
                <w:rFonts w:ascii="Arial" w:cs="Arial" w:eastAsia="Arial" w:hAnsi="Arial"/>
                <w:sz w:val="11"/>
                <w:szCs w:val="11"/>
                <w:color w:val="auto"/>
              </w:rPr>
              <w:t>289</w:t>
            </w:r>
          </w:p>
        </w:tc>
      </w:tr>
      <w:tr>
        <w:trPr>
          <w:trHeight w:val="153"/>
        </w:trPr>
        <w:tc>
          <w:tcPr>
            <w:tcW w:w="4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Distributions declared to Optionholders but not paid</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3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-6072505</wp:posOffset>
            </wp:positionV>
            <wp:extent cx="1058545" cy="3600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1058545" cy="3600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-3745230</wp:posOffset>
            </wp:positionV>
            <wp:extent cx="77470" cy="1111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-3852545</wp:posOffset>
            </wp:positionV>
            <wp:extent cx="2082800" cy="2311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2082800" cy="23114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-2965450</wp:posOffset>
            </wp:positionV>
            <wp:extent cx="7747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-3175000</wp:posOffset>
            </wp:positionV>
            <wp:extent cx="2082800" cy="313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2082800" cy="3130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-1182370</wp:posOffset>
            </wp:positionV>
            <wp:extent cx="77470" cy="111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-1289050</wp:posOffset>
            </wp:positionV>
            <wp:extent cx="2082800" cy="2311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2082800" cy="23114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-788035</wp:posOffset>
            </wp:positionV>
            <wp:extent cx="7747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-894715</wp:posOffset>
            </wp:positionV>
            <wp:extent cx="2082800" cy="2482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2082800" cy="24828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213"/>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136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right"/>
              <w:ind w:right="399"/>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1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0"/>
              </w:rPr>
              <w:t>(Loss)</w:t>
            </w:r>
          </w:p>
        </w:tc>
        <w:tc>
          <w:tcPr>
            <w:tcW w:w="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w w:val="93"/>
              </w:rPr>
              <w:t>Common 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Paid-In-Capital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Deficit</w:t>
            </w: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BALANCE – February 1,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779,596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779,726</w:t>
            </w: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1,876</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Capital contributions</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59,423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59,423</w:t>
            </w: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 distribution</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(1,747 )</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2,484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49"/>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(47,492 )</w:t>
            </w: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(47,492 )</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839,148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(47,492 ) $</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2,484</w:t>
            </w:r>
          </w:p>
        </w:tc>
        <w:tc>
          <w:tcPr>
            <w:tcW w:w="3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794,270</w:t>
            </w: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9,530</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Capital contributions</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Issuance of common stock in connection with initial public</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offering, net of offering costs, underwriting discounts and</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commissions</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316,502</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316,525</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8"/>
                <w:szCs w:val="18"/>
                <w:color w:val="auto"/>
                <w:w w:val="98"/>
              </w:rPr>
              <w:t>Proceeds from issuance of common stock under share-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based compensation plans</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withheld for tax obligations and net</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of stock option exercise</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Shareholder distribution</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(4,121 )</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(4,121 )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16,051</w:t>
            </w: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16,051</w:t>
            </w: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1,165,163</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(31,441 )</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(1,637 )</w:t>
            </w: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1,132,238</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7,856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Repurchases of common stock</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(60,526 )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(60,530 )</w:t>
            </w: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8"/>
                <w:szCs w:val="18"/>
                <w:color w:val="auto"/>
                <w:w w:val="98"/>
              </w:rPr>
              <w:t>Proceeds from issuance of common stock under share-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based compensation plans</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3,522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22"/>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Common stock withheld for tax obligations on restricted</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unit and option settlement</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219"/>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(20,694 )</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(20,694 )</w:t>
            </w:r>
          </w:p>
        </w:tc>
        <w:tc>
          <w:tcPr>
            <w:tcW w:w="0" w:type="dxa"/>
            <w:vAlign w:val="bottom"/>
          </w:tcPr>
          <w:p>
            <w:pPr>
              <w:spacing w:after="0"/>
              <w:rPr>
                <w:sz w:val="1"/>
                <w:szCs w:val="1"/>
                <w:color w:val="auto"/>
              </w:rPr>
            </w:pPr>
          </w:p>
        </w:tc>
      </w:tr>
      <w:tr>
        <w:trPr>
          <w:trHeight w:val="249"/>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64,604</w:t>
            </w: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64,604</w:t>
            </w: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BALANCE – December 31, 2022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1,176,163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(27,363 ) $</w:t>
            </w:r>
          </w:p>
        </w:tc>
        <w:tc>
          <w:tcPr>
            <w:tcW w:w="1460" w:type="dxa"/>
            <w:vAlign w:val="bottom"/>
            <w:gridSpan w:val="3"/>
          </w:tcPr>
          <w:p>
            <w:pPr>
              <w:jc w:val="right"/>
              <w:ind w:right="79"/>
              <w:spacing w:after="0"/>
              <w:rPr>
                <w:sz w:val="20"/>
                <w:szCs w:val="20"/>
                <w:color w:val="auto"/>
              </w:rPr>
            </w:pPr>
            <w:r>
              <w:rPr>
                <w:rFonts w:ascii="Arial" w:cs="Arial" w:eastAsia="Arial" w:hAnsi="Arial"/>
                <w:sz w:val="18"/>
                <w:szCs w:val="18"/>
                <w:color w:val="auto"/>
              </w:rPr>
              <w:t>(22,331 ) $</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1,126,618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-3496945</wp:posOffset>
            </wp:positionV>
            <wp:extent cx="3429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34290" cy="1631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-3496945</wp:posOffset>
            </wp:positionV>
            <wp:extent cx="25400"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25400" cy="16319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-3496945</wp:posOffset>
            </wp:positionV>
            <wp:extent cx="2540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2540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-3496945</wp:posOffset>
            </wp:positionV>
            <wp:extent cx="2540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25400" cy="16319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-187960</wp:posOffset>
            </wp:positionV>
            <wp:extent cx="3429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2540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25400" cy="18859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-187960</wp:posOffset>
            </wp:positionV>
            <wp:extent cx="2540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25400" cy="1885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2540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2540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(Deficit)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Class A Units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Class B Units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Class C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260" w:type="dxa"/>
            <w:vAlign w:val="bottom"/>
            <w:gridSpan w:val="2"/>
            <w:vMerge w:val="restart"/>
          </w:tcPr>
          <w:p>
            <w:pPr>
              <w:jc w:val="center"/>
              <w:ind w:right="34"/>
              <w:spacing w:after="0"/>
              <w:rPr>
                <w:sz w:val="20"/>
                <w:szCs w:val="20"/>
                <w:color w:val="auto"/>
              </w:rPr>
            </w:pPr>
            <w:r>
              <w:rPr>
                <w:rFonts w:ascii="Arial" w:cs="Arial" w:eastAsia="Arial" w:hAnsi="Arial"/>
                <w:sz w:val="14"/>
                <w:szCs w:val="14"/>
                <w:b w:val="1"/>
                <w:bCs w:val="1"/>
                <w:color w:val="auto"/>
                <w:w w:val="95"/>
              </w:rPr>
              <w:t>Total Members’</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5"/>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Predecessor:</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BALANCE - December 31,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106,090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2,254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11,524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(201,233 )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(12,852 )</w:t>
            </w: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(94,217 )</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Capital contributions</w:t>
            </w:r>
          </w:p>
        </w:tc>
        <w:tc>
          <w:tcPr>
            <w:tcW w:w="12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34,186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41,143</w:t>
            </w:r>
          </w:p>
        </w:tc>
        <w:tc>
          <w:tcPr>
            <w:tcW w:w="0" w:type="dxa"/>
            <w:vAlign w:val="bottom"/>
          </w:tcPr>
          <w:p>
            <w:pPr>
              <w:spacing w:after="0"/>
              <w:rPr>
                <w:sz w:val="1"/>
                <w:szCs w:val="1"/>
                <w:color w:val="auto"/>
              </w:rPr>
            </w:pPr>
          </w:p>
        </w:tc>
      </w:tr>
      <w:tr>
        <w:trPr>
          <w:trHeight w:val="249"/>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 to Optionholders</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(17,303 )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(18,772 )</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(36,530 )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(36,530 )</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BALANCE - January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140,276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1,378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4,561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(237,763 )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(12,883 )</w:t>
            </w: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(104,431 )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-187960</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-187960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-187960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5969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center"/>
        <w:ind w:right="-99"/>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Nature of Business, and Basis of Presentation</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First Advantage Corporation, a Delaware corporation, was formed on November 15, 2019. Hereafter, First Advantage Corporation and its subsidiaries will collectively be referred to as the “Company”. On January 31, 2020, a fund managed by Silver Lake acquired substantially all of the Company’s equity interests from the Predecessor equity owners, primarily funds managed by Symphony Technology Group (“STG”) (the “Silver Lake Transaction”). For the purposes of the consolidated financial statements, periods on or before January 31, 2020 reflect the financial position, results of operations and cash flows of the Company and its consolidated subsidiaries prior to the Silver Lake Transaction, referred to herein as the Predecessor, and periods beginning after January 31, 2020 reflect the financial position, results of operations and cash flows of the Company and its consolidated subsidiaries as a result of the Silver Lake Transaction, referred to herein as the Successor. As a result of the Silver Lake Transaction, the results of operations and financial position of the Predecessor and Successor are not directly comparable.</w:t>
      </w:r>
    </w:p>
    <w:p>
      <w:pPr>
        <w:spacing w:after="0" w:line="124"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p>
    <w:p>
      <w:pPr>
        <w:spacing w:after="0" w:line="13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Post-onboarding services are comprised of continuous monitoring and re-screening solutions which are important tools to help keep their end customers, workforces, and other stakeholders safer, productive, and compliant. Our post-monitoring solutions include criminal records, healthcare sanctions, motor vehicle records, social media, and global sanctions screening continuously or at regular intervals selected by our customers.</w:t>
      </w:r>
    </w:p>
    <w:p>
      <w:pPr>
        <w:spacing w:after="0" w:line="11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spacing w:after="0" w:line="8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consolidated financial statements have been prepared in accordance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p>
    <w:p>
      <w:pPr>
        <w:spacing w:after="0" w:line="12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 Operating segments are businesses for which separate financial information is available and evaluated regularly by our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maker (“CODM”) in deciding how to allocate resources and assess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2022, the Company made organizational changes and modified information provided to its CODM to better align with how its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CODM assesses performance and allocates resources. As a result, the Company now has two reportable segments, Americas and International:</w:t>
      </w:r>
    </w:p>
    <w:p>
      <w:pPr>
        <w:spacing w:after="0" w:line="168" w:lineRule="exact"/>
        <w:rPr>
          <w:sz w:val="20"/>
          <w:szCs w:val="20"/>
          <w:color w:val="auto"/>
        </w:rPr>
      </w:pPr>
    </w:p>
    <w:p>
      <w:pPr>
        <w:ind w:left="102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Americas provides technology solutions for screening, verifications, safety, and compliance in the United States, Canada, and Latin America markets;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International provides technology solutions for screening, verifications, safety, and compliance outside of the Americas.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Accordingly, prior period results have been recast to conform to the current presentation of segments. These changes do not impact the Company’s consolidated results.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segment disclosure is intended to provide the users of its consolidated financial statements with a view of the business that is consistent with management of the Company. Details of segment results are discussed in Note 17, “Reportable Segments.”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93" w:name="page94"/>
    <w:bookmarkEnd w:id="93"/>
    <w:p>
      <w:pPr>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the consolidated financial statements in accordance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consolidated financial statements and accompanying notes.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Significant estimates, judgments, and assumptions, include, but are not limited to, the determination of the fair value and useful lives of assets acquired and liabilities assumed through business combinations, revenue recognition, capitalized software, and income tax liabilities and assets. The Company bases its estimates on historical experience and on various other assumptions that are believed to be reasonable under the circumstances. Actual results could differ from these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 Certain financial assets and liabilities are reported at fair value in the accompanying consolidated balance sheets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accordance with Financial Accounting Standards Board (“FASB”)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model-derived valuations whose inputs are observable or whose significant value drivers are observable.</w:t>
      </w:r>
    </w:p>
    <w:p>
      <w:pPr>
        <w:spacing w:after="0" w:line="116"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inputs to the valuation model are unobservable (supported by little or no market activities). These inputs may be used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internally developed methodologies that reflect the Company’s best estimate of fair value from a market participant.</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spacing w:after="0" w:line="13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carrying amounts of cash and cash equivalents, short-term investments, receivables, short-term debt, and accounts payable approximate fair value due to the short-term maturities of these financial instruments (Level 1). The fair values and carrying values of the Company’s long-term debt are disclosed in Note 6.</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December 31, 2022 (Successor) (in thousands):</w:t>
      </w:r>
    </w:p>
    <w:p>
      <w:pPr>
        <w:spacing w:after="0" w:line="175" w:lineRule="exact"/>
        <w:rPr>
          <w:sz w:val="20"/>
          <w:szCs w:val="20"/>
          <w:color w:val="auto"/>
        </w:rPr>
      </w:pPr>
    </w:p>
    <w:p>
      <w:pPr>
        <w:ind w:left="6500"/>
        <w:spacing w:after="0"/>
        <w:tabs>
          <w:tab w:leader="none" w:pos="7640" w:val="left"/>
          <w:tab w:leader="none" w:pos="878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15240</wp:posOffset>
            </wp:positionV>
            <wp:extent cx="2108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6" w:lineRule="exact"/>
        <w:rPr>
          <w:sz w:val="20"/>
          <w:szCs w:val="20"/>
          <w:color w:val="auto"/>
        </w:rPr>
      </w:pPr>
    </w:p>
    <w:p>
      <w:pPr>
        <w:ind w:left="1880"/>
        <w:spacing w:after="0"/>
        <w:tabs>
          <w:tab w:leader="none" w:pos="6220" w:val="left"/>
          <w:tab w:leader="none" w:pos="7000" w:val="left"/>
          <w:tab w:leader="none" w:pos="7380" w:val="left"/>
          <w:tab w:leader="none" w:pos="7840" w:val="left"/>
          <w:tab w:leader="none" w:pos="8540" w:val="left"/>
          <w:tab w:leader="none" w:pos="928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11,570</w:t>
        <w:tab/>
        <w:t>$</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1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 The Company considers cash equivalents to be cash and all short-term investments that have an original maturity of</w:t>
      </w:r>
      <w:r>
        <w:rPr>
          <w:rFonts w:ascii="Arial" w:cs="Arial" w:eastAsia="Arial" w:hAnsi="Arial"/>
          <w:sz w:val="16"/>
          <w:szCs w:val="16"/>
          <w:b w:val="1"/>
          <w:bCs w:val="1"/>
          <w:color w:val="auto"/>
        </w:rPr>
        <w:t xml:space="preserve"> </w:t>
      </w:r>
      <w:r>
        <w:rPr>
          <w:rFonts w:ascii="Arial" w:cs="Arial" w:eastAsia="Arial" w:hAnsi="Arial"/>
          <w:sz w:val="16"/>
          <w:szCs w:val="16"/>
          <w:color w:val="auto"/>
        </w:rPr>
        <w:t>ninety days or less. Interest income earned on short-term investments and interest bearing accounts is included in interest expense, net in the accompanying consolidated statements of operations and comprehensive income (loss). The Company recorded $5.0 million, $0.1 million, $0.5 million, and $0.0 million of interest income for the year ended December 31, 2022 (Successor), for the year ended December 31, 2021 (Successor), for the period from February 1, 2020 through December 31, 2020 (Successor), and for the period from January 1, 2020 through January 31, 2020 (Predecessor), respectively. Outstanding checks in excess of funds on deposit are classified as current liabilities in the accompanying consolidated balance sheets. As of December 31, 2022 and 2021 (Successor), the Company had no outstanding checks in excess of funds on deposit.</w:t>
      </w:r>
    </w:p>
    <w:p>
      <w:pPr>
        <w:spacing w:after="0" w:line="107" w:lineRule="exact"/>
        <w:rPr>
          <w:sz w:val="20"/>
          <w:szCs w:val="20"/>
          <w:color w:val="auto"/>
        </w:rPr>
      </w:pPr>
    </w:p>
    <w:p>
      <w:pPr>
        <w:jc w:val="center"/>
        <w:ind w:right="460"/>
        <w:spacing w:after="0" w:line="470"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represents monies held in trust for a specific purpose as contractually required under the respective arrangement.</w:t>
      </w:r>
      <w:r>
        <w:rPr>
          <w:rFonts w:ascii="Arial" w:cs="Arial" w:eastAsia="Arial" w:hAnsi="Arial"/>
          <w:sz w:val="18"/>
          <w:szCs w:val="18"/>
          <w:b w:val="1"/>
          <w:bCs w:val="1"/>
          <w:color w:val="auto"/>
        </w:rPr>
        <w:t xml:space="preserve"> </w:t>
      </w: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Short-term investments represents fixed time deposits having a maturity date within twelve months.</w:t>
      </w:r>
    </w:p>
    <w:p>
      <w:pPr>
        <w:spacing w:after="0" w:line="171" w:lineRule="exact"/>
        <w:rPr>
          <w:sz w:val="20"/>
          <w:szCs w:val="20"/>
          <w:color w:val="auto"/>
        </w:rPr>
      </w:pPr>
    </w:p>
    <w:p>
      <w:pPr>
        <w:ind w:right="1040"/>
        <w:spacing w:after="0" w:line="347"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Accounts receivable are due from customers in a broad range of industries located throughout the United States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internationally. Credit is extended based on evaluation of the customer’s financial condition, and generally, collateral is not required.</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allowance for all uncollectible receivables is based on a combination of historical data, cash payment trends, specific customer issues, write-off trends, general economic conditions, and other factors. These factors are continuously monitored by management to arrive at the estimate for the amount of accounts receivable that may be ultimately uncollectible. In circumstances where the Company is aware of a specific customer’s inability to meet its financial obligations, the Company records a specific allowance for doubtful accounts against amounts due in order to reduce the net recognized receivable to the amount it reasonably believes will be collected. The Company believes that the allowance for doubtful accounts at December 31, 2022 and 2021 (Successor) is reasonably stated.</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recorded at cost. Property and equipment include computer software for internal uses either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internally, acquired by business combination or otherwise purchased. Software development costs, including internal personnel and third-party professional services, are capitalized during the application development stage of initial development or during development of new features and enhancements. The Company amortizes purchased software using the straight-line method over the estimated useful life of the software and software acquired by business combination on an accelerated basis over its expected useful life of five years. Software development costs not meeting the criteria for capitalization are expensed as incurred.</w:t>
      </w:r>
    </w:p>
    <w:p>
      <w:pPr>
        <w:spacing w:after="0" w:line="13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Depreciation on leasehold improvements is computed on the straight-line method over the shorter of the life of the asset, or the lease term, ranging from one to fifteen years. Depreciation on data processing equipment and furniture and equipment is computed using the straight-line method over their estimated useful lives ranging from three to ten years.</w:t>
      </w:r>
    </w:p>
    <w:p>
      <w:pPr>
        <w:spacing w:after="0" w:line="12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records business combinations using the acquisition method of accounting in accordance with ASC 805,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Goodwill, Trade Name, and Customer Lists </w:t>
      </w:r>
      <w:r>
        <w:rPr>
          <w:rFonts w:ascii="Arial" w:cs="Arial" w:eastAsia="Arial" w:hAnsi="Arial"/>
          <w:sz w:val="18"/>
          <w:szCs w:val="18"/>
          <w:color w:val="auto"/>
        </w:rPr>
        <w:t>— The Company tests goodwill for impairment annually as of December 31 or more frequently if an event</w:t>
      </w:r>
      <w:r>
        <w:rPr>
          <w:rFonts w:ascii="Arial" w:cs="Arial" w:eastAsia="Arial" w:hAnsi="Arial"/>
          <w:sz w:val="18"/>
          <w:szCs w:val="18"/>
          <w:b w:val="1"/>
          <w:bCs w:val="1"/>
          <w:color w:val="auto"/>
        </w:rPr>
        <w:t xml:space="preserve"> </w:t>
      </w:r>
      <w:r>
        <w:rPr>
          <w:rFonts w:ascii="Arial" w:cs="Arial" w:eastAsia="Arial" w:hAnsi="Arial"/>
          <w:sz w:val="18"/>
          <w:szCs w:val="18"/>
          <w:color w:val="auto"/>
        </w:rPr>
        <w:t>occurs or circumstances change that would more likely than not reduce the fair value of a reporting unit or indefinite-lived intangible asset below its carrying value. Goodwill is tested for impairment at the reporting unit level using a fair value approach. At December 31, 2022, the Company had two reporting units comprised of the Americas and International.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No impairment charges have been required.</w:t>
      </w:r>
    </w:p>
    <w:p>
      <w:pPr>
        <w:spacing w:after="0" w:line="13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Predecessor period, the Company’s trade name had an indefinite life and was not amortized. The Company evaluates indefinite-lived intangible assets for impairment annually as of December 31 or more frequently if an event occurred or circumstances changed that would more likely than not reduce the fair value of a reporting unit or indefinite-lived intangible asset below its carrying value. No impairments were required.</w:t>
      </w:r>
    </w:p>
    <w:p>
      <w:pPr>
        <w:spacing w:after="0" w:line="11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Subsequent to the Silver Lake Transaction, the Company’s trade name is amortized on an accelerated basis over its expected useful life of twenty years. The Company recorded $7.6 million, $7.9 million, and $7.5 million of amortization expense related to the trade name for the year ended December 31, 2022 (Successor), for the year ended December 31, 2021 (Successor), and for the period from February 1, 2020 through December 31, 2020 (Successor), respectively. No amortization expense was recorded for the period from January 1, 2020 through January 31, 2020 (Predecessor).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ind w:right="180"/>
        <w:spacing w:after="0" w:line="263" w:lineRule="auto"/>
        <w:rPr>
          <w:sz w:val="20"/>
          <w:szCs w:val="20"/>
          <w:color w:val="auto"/>
        </w:rPr>
      </w:pPr>
      <w:r>
        <w:rPr>
          <w:rFonts w:ascii="Arial" w:cs="Arial" w:eastAsia="Arial" w:hAnsi="Arial"/>
          <w:sz w:val="18"/>
          <w:szCs w:val="18"/>
          <w:color w:val="auto"/>
        </w:rPr>
        <w:t>Customer lists are amortized on an accelerated basis based upon their estimated useful lives, ranging from seven to fourteen years during the Predecessor period and thirteen to fourteen years in the Successor period. In the Predecessor period, the weighted-average amortization period of customer lists was 13.3 years.</w:t>
      </w:r>
    </w:p>
    <w:p>
      <w:pPr>
        <w:spacing w:after="0" w:line="13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recorded $60.7 million, $65.5 million, $65.2 million, and $0.8 million of amortization expense related to customer lists for the year ended December 31, 2022 (Successor), for the year ended December 31, 2021 (Successor), for the period from February 1, 2020 through December 31, 2020 (Successor), and for the period from January 1, 2020 through January 31, 2020 (Predecessor), respectively.</w:t>
      </w:r>
    </w:p>
    <w:p>
      <w:pPr>
        <w:spacing w:after="0" w:line="1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regularly evaluates the amortization period assigned to each intangible asset to determine whether there have been any events or circumstances that warrant revised estimates of useful lives. In December 2022, the Company determined that there have been no triggering events that would require impairment of trade names or customer lists.</w:t>
      </w:r>
    </w:p>
    <w:p>
      <w:pPr>
        <w:spacing w:after="0" w:line="1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Prior to the Silver Lake Transaction, the Company was not a taxable entity. However, the Company’s wholly owned, C-corporation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were taxable entities. In connection with the Silver Lake Transaction, the Company became a U.S. domiciled corporation for tax purposes. Accordingly, the Company has followed ASC 740, </w:t>
      </w:r>
      <w:r>
        <w:rPr>
          <w:rFonts w:ascii="Arial" w:cs="Arial" w:eastAsia="Arial" w:hAnsi="Arial"/>
          <w:sz w:val="16"/>
          <w:szCs w:val="16"/>
          <w:i w:val="1"/>
          <w:iCs w:val="1"/>
          <w:color w:val="auto"/>
        </w:rPr>
        <w:t>Income Taxes</w:t>
      </w:r>
      <w:r>
        <w:rPr>
          <w:rFonts w:ascii="Arial" w:cs="Arial" w:eastAsia="Arial" w:hAnsi="Arial"/>
          <w:sz w:val="16"/>
          <w:szCs w:val="16"/>
          <w:color w:val="auto"/>
        </w:rPr>
        <w:t>, which provides for income taxes using the liability method, which requires an asset and liability based approach in accounting for income taxes for all periods presented. Deferred income taxes reflect the net tax effect on future years of temporary differences in the carrying amount of assets and liabilities between financial statements and income tax purposes. Valuation allowances are established when the Company determines that it is more likely than not that some portion or the entire deferred tax asset will not be realized. The Company evaluates its effective tax rates regularly and adjusts them when appropriate based on currently available information relative to statutory rates, apportionment factors and the applicable taxable income in the jurisdictions in which the Company operates, among other factors.</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calculates additional tax provisions, where applicable, related to accounting for uncertainty in income taxes, which prescribe a recognition threshold and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amount recognized is measured as the largest benefit that has a greater than 50% likelihood of being realized upon settlement. The Company adjusts its estimates of uncertain tax positions periodically because of ongoing examinations by, and settlements with, various taxing authorities, as well as changes in tax laws, regulations, and interpretations. The Company classifies interest and penalties associated with its unrecognized tax benefits as a component of income tax expense (see Note 8).</w:t>
      </w:r>
    </w:p>
    <w:p>
      <w:pPr>
        <w:spacing w:after="0" w:line="13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Impairment of Long-Lived Assets </w:t>
      </w:r>
      <w:r>
        <w:rPr>
          <w:rFonts w:ascii="Arial" w:cs="Arial" w:eastAsia="Arial" w:hAnsi="Arial"/>
          <w:sz w:val="16"/>
          <w:szCs w:val="16"/>
          <w:color w:val="auto"/>
        </w:rPr>
        <w:t>— The Company regularly evaluates whether events and circumstances have occurred that indicate the carrying</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property and equipment, ROU assets, and finite-life intangible assets may not be recoverable. Conditions that could indicate an impairment assessment is needed include a significant decline in the observable market value of an asset or asset group, a significant change in the extent or manner in which an asset or asset group is used, or a significant adverse change that would indicate that the carrying amount of an asset or asset group is not recoverable. When factors indicate that these long-lived assets or asset groups should be evaluated for possible impairment, the Company assesses the potential impairment by determining whether the carrying value of such long-lived assets or asset groups will be recovered through the future undiscounted cash flows expected from use of the asset or asset group and its eventual disposition. If the carrying amount of the asset or asset group is determined not to be recoverable, an impairment charge is recorded based on the excess, if any, of the carrying amount over fair value. Fair values are determined based on quoted market values or discounted cash flows analyses as applicable. The Company regularly evaluates whether events and circumstances have occurred that indicate the useful lives of property and equipment, ROU assets, and finite-life intangible assets may warrant revision. The Company determined that triggering events occurred for certain leases exited during the year ended December 31, 2022 (Successor) which required an impairment review of certain ROU assets. Based on the results of the analysis, the Company recorded non-cash impairment charges of $0.9 million for the year ended December 31, 2022 (Successor), primarily related to office space exited during the year. The Company determined the carrying values of its property and equipment and finite-life intangible assets were not impaired as of December 31, 2022 and 2021 (Successor).</w:t>
      </w:r>
    </w:p>
    <w:p>
      <w:pPr>
        <w:spacing w:after="0" w:line="117"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Advertising Costs </w:t>
      </w:r>
      <w:r>
        <w:rPr>
          <w:rFonts w:ascii="Arial" w:cs="Arial" w:eastAsia="Arial" w:hAnsi="Arial"/>
          <w:sz w:val="16"/>
          <w:szCs w:val="16"/>
          <w:color w:val="auto"/>
        </w:rPr>
        <w:t>— Advertising costs are expensed as incurred and are included in selling, general and administrative expense in the accompanying</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statements of operations and comprehensive income (loss). Advertising costs were $2.9 million, $1.4 million, $0.6 million, and $0.1 million for the year ended December 31, 2022 (Successor), for the year ended December 31, 2021 (Successor), for the period from February 1, 2020 through December 31, 2020 (Successor), and for the period from January 1, 2020 through January 31, 2020 (Predecessor), respectively.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6" w:name="page97"/>
    <w:bookmarkEnd w:id="96"/>
    <w:p>
      <w:pPr>
        <w:ind w:right="60"/>
        <w:spacing w:after="0" w:line="266"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The Company is exposed to certain risks relating to its ongoing business operations and mitigates interest rate risk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use of derivative instruments. Interest rate swaps have been entered into to manage a portion of the interest rate risk associated with the Company’s variable-rate borrowings.</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derivative instruments are recognized and subsequently measured on the balance sheet at fair value. The Company reviewed its interest rate swaps and determined they do not meet the definition of cash flow hedges. Therefore, the guidance requires that the change in fair value of the interest rate swaps be recognized as a component of income or expense in the consolidated statements of operations and comprehensive income (loss) (see Note 7).</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which potentially subject the Company to concentrations of credit risk consist principally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cash equivalents and accounts receivable. Substantially all of the Company’s cash and cash equivalent balances were deposited with financial institutions which management has determined to be high credit quality institutions. Accounts receivable represent credit granted to customers for services provided.</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February 2020, the Company entered into an interest rate collar agreement with a counterparty bank to reduce its exposure to interest rate volatility. The Company has determined the counterparty bank to be a high credit quality institution. The Company does not enter into financial instruments for trading or speculative purposes.</w:t>
      </w:r>
    </w:p>
    <w:p>
      <w:pPr>
        <w:spacing w:after="0" w:line="13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had one customer which represented approximately 10%, 10%, and 12% of its consolidated revenues for the year ended December 31, 2022 (Successor), for the year ended December 31, 2021 (Successor), and for the period from February 1, 2020 to December 31, 2020 (Successor), respectively. No other customer represented 10% or more of its revenue for these periods. The Company did not have any customers which represented 10% or more of its consolidated revenues during the period from January 1, 2020 through January 31, 2020 (Predecessor). Additionally, the Company did not have any customers which represented 10% or more of its consolidated accounts receivable, net for any period presented.</w:t>
      </w:r>
    </w:p>
    <w:p>
      <w:pPr>
        <w:spacing w:after="0" w:line="10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Revenues are recognized when control of the Company’s services is transferred to customers, in an amount that reflects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consideration the Company expects to be entitled to in exchange for those services.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was adopted as of January 1, 2019 using the modified retrospective method, revenues are recognized based on the following steps:</w:t>
      </w:r>
    </w:p>
    <w:p>
      <w:pPr>
        <w:spacing w:after="0" w:line="92"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companies, and other businesses or organizations. The Company’s revenues are mostly comprised of a significant volume of low-dollar services fulfilled by multiple highly automated, proprietary systems and applications. The processing of transactions and recording of revenue is based on contractual terms with the Company’s customers.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considers negotiated and anticipated incentives and estimated adjustments, including historical collections experience, when recording revenues.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less than one year. As a result, the Company uses the practical expedient which allows it to expense incremental costs of obtaining a contract, primarily consisting of sales commissions, as incurred.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7" w:name="page98"/>
    <w:bookmarkEnd w:id="97"/>
    <w:p>
      <w:pPr>
        <w:spacing w:after="0" w:line="296" w:lineRule="auto"/>
        <w:rPr>
          <w:sz w:val="20"/>
          <w:szCs w:val="20"/>
          <w:color w:val="auto"/>
        </w:rPr>
      </w:pPr>
      <w:r>
        <w:rPr>
          <w:rFonts w:ascii="Arial" w:cs="Arial" w:eastAsia="Arial" w:hAnsi="Arial"/>
          <w:sz w:val="16"/>
          <w:szCs w:val="16"/>
          <w:color w:val="auto"/>
        </w:rPr>
        <w:t>The Company records third-party pass-through fees incurred as part of screening related services on a gross revenue basis, with the related expense recorded as a cost of services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1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Contract balances are generated when the revenues recognized in a given period varies from billing. A contract asset is created when the Company performs a service for a customer and recognizes more revenues than what has been billed. Contract assets are included in accounts receivable in the accompanying condensed consolidated balance sheets. 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Contract liabilities are included in deferred revenues in the accompanying consolidated balance sheets.</w:t>
      </w:r>
    </w:p>
    <w:p>
      <w:pPr>
        <w:spacing w:after="0" w:line="13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 The functional currency of all of the Company’s foreign subsidiaries is the applicable local currency. The translation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income (loss) were approximately $(20.7) million, $(4.1) million, $2.5 million, and $0.0 million, for the year ended December 31, 2022 (Successor), for the year ended December 31, 2021 (Successor), for the period from February 1, 2020 through December 31, 2020 (Successor), and for the period from January 1, 2020 through January 31, 2020 (Predecessor), respectively.</w:t>
      </w:r>
    </w:p>
    <w:p>
      <w:pPr>
        <w:spacing w:after="0" w:line="1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Gains or losses resulting from foreign currency transactions are included in the accompanying consolidated statements of operations and comprehensive income (loss), except for those relating to intercompany transactions of a long-term investment nature, which are captured in a separate component of equity as accumulated other comprehensive income (loss). Currency transaction (loss) income included in the accompanying consolidated statements of operations and comprehensive income (loss) was approximately $2.3 million, $(0.1) million, $0.3 million, and $(0.1) million, for the year ended December 31, 2022 (Successor), for the year ended December 31, 2021 (Successor), for the period from February 1, 2020 through December 31, 2020 (Successor), and for the period from January 1, 2020 through January 31, 2020 (Predecessor), respectively.</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Prior to the Silver Lake Transaction, all share-based awards were issued to employees under the STG-Fairway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LLC Equity Incentive Plan (“Predecessor Plan”). As a result of the Silver Lake Transaction, this plan was dissolved as of the transaction date. After the Silver Lake Transaction, all share-based awards are issued by a parent of the Company under individual grant agreements and the partnership agreement (collectively the “Successor Plan”). Following the IPO, share-based awards were issued to employees and non-employee directors under the 2021 Omnibus Incentive Plan (the “2021 Equity Plan”). All three plans were designed with the intention of promoting the long-term success of the Company by attracting, motivating, and retaining key employees of the Company.</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accounts for awards issued under all three plans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Management expects to allow its employees granted awards under the Successor Plan to bear the risks and rewards normally associated with equity ownership for a reasonable period of time when all requisite vesting requirements have been rendered. No outstanding awards are callable, and therefore, the related share-based awards are classified as equity.</w:t>
      </w:r>
    </w:p>
    <w:p>
      <w:pPr>
        <w:spacing w:after="0" w:line="13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calculation of share-based employee compensation expense involves estimates that require management’s judgment. These estimates include the fair value of each of the share-based awards granted, which is estimated on the date of grant using a Black-Scholes option-pricing model. There are four inputs into the Black-Scholes option-pricing model: expected volatility, risk-free interest rates, expected term, and estimated fair value of the underlying unit. The Company estimates expected volatility based on an analysis of guidelines of publicly traded peer companies’ historical volatility. The risk-free interest rate is based on the treasury constant maturities rate based on data published by the U.S. Federal Reserve. The expected term of share-based awards granted is derived from historical exercise experience under the Company’s share-based plans and represents the period of time that awards granted are expected to be outstanding. Because of the limitations on the sale or transfer of our equity as a privately held company and a lack of historical option exercises as a public company, the Company does not believe our historical exercise pattern is indicative of the pattern we will experience in future periods. The Company has consequently used the simplified method to calculate the expected term, which is the average of the contractual term and vesting period, and plans to continue to use the simplified method until we have sufficient exercise and pricing history. Finally, prior to the IPO, the estimated fair value of the underlying equity was determined using either the Silver Lake Transaction valuation or a blend of income and market approaches. After the IPO, the estimated fair value of the underlying equity was based on the observable market price of the Company’s equity.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ind w:right="120"/>
        <w:spacing w:after="0" w:line="270" w:lineRule="auto"/>
        <w:rPr>
          <w:sz w:val="20"/>
          <w:szCs w:val="20"/>
          <w:color w:val="auto"/>
        </w:rPr>
      </w:pPr>
      <w:r>
        <w:rPr>
          <w:rFonts w:ascii="Arial" w:cs="Arial" w:eastAsia="Arial" w:hAnsi="Arial"/>
          <w:sz w:val="17"/>
          <w:szCs w:val="17"/>
          <w:color w:val="auto"/>
        </w:rPr>
        <w:t>The assumptions used in calculating the fair value of share-based payment awards represent management’s best estimates, but these estimates involve inherent uncertainties and the application of management’s judgment. As a result, if factors change and the Company uses different assumptions, share-based compensation expenses could be materially different in the future. In addition, for awards with a service condition, the Company has elected to account for forfeitures as they occur. Therefore, the Company will reverse compensation costs previously recognized when an unvested award is forfeited. For awards with a performance condition, the Company is required to estimate the expected forfeiture rate, and only recognize expenses for those shares expected to vest. The Company estimates the expected forfeiture rate based on the Company’s historical data, grant terms, and anticipated plan participant turnover. If the Company’s actual forfeiture rate is materially different from its estimate, the share-based compensation expense could be significantly different from what the Company has recorded in the current period. There were no grants made during the period from January 1, 2020 through January 31, 2020 (Predecessor).</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Comprehensive Income (Loss) </w:t>
      </w:r>
      <w:r>
        <w:rPr>
          <w:rFonts w:ascii="Arial" w:cs="Arial" w:eastAsia="Arial" w:hAnsi="Arial"/>
          <w:sz w:val="17"/>
          <w:szCs w:val="17"/>
          <w:color w:val="auto"/>
        </w:rPr>
        <w:t>— Comprehensive income (loss) includes gains and losses from foreign currency translation adjustments, net.</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Net Income (Loss) Per Share of Equity </w:t>
      </w:r>
      <w:r>
        <w:rPr>
          <w:rFonts w:ascii="Arial" w:cs="Arial" w:eastAsia="Arial" w:hAnsi="Arial"/>
          <w:sz w:val="18"/>
          <w:szCs w:val="18"/>
          <w:color w:val="auto"/>
        </w:rPr>
        <w:t>— Basic and diluted net (loss) income per unit (Predecessor) and basic net income (loss) per share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are computed by dividing net income (loss) by the weighted average number of common units or shares outstanding during the period. For Successor periods, basic weighted-average shares outstanding excludes nonvested restricted stock. Diluted net income (loss) per unit (Predecessor) and diluted net income (loss) per share (Successor) is computed by dividing net income (loss) by the weighted average number of units or shares outstanding during the period after adjusting for the impact of securities that would have a dilutive effect on net income (loss) per unit or share.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Company uses the treasury stock method to incorporate potentially dilutive securities in diluted net income (loss) per unit or share.</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potentially dilutive securities outstanding during the year ended December 31, 2022 and 2021 (Successor) had a dilutive effect and were included in the calculation of diluted net income per share for the period. The Company did not have any potentially dilutive securities for the period from February 1, 2020 through December 31, 2020 (Successor).</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period from January 1, 2020 through January 31, 2020 (Predecessor), the Company had Class B options, Class C options, and Class C RSUs issued under the Predecessor Plan. The potentially dilutive securities outstanding during the period ended January 31, 2020 (Predecessor) had an anti-dilutive effect and were therefore not included in the calculation of diluted net (loss) per unit for the period.</w:t>
      </w:r>
    </w:p>
    <w:p>
      <w:pPr>
        <w:spacing w:after="0" w:line="12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Upon the completion of the Company’s IPO in 2021 (see “Note 12. Equity”), the Company qualified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Emerging Growth Company (“EGC”), as defined in the Jumpstart Our Business Startups Act, which allowed the Company to delay adoption of new or revised accounting pronouncements applicable to public companies until such pronouncements were made applicable to private companies.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December 31, 2022, the Company lost its EGC status due to becoming a “large accelerated filer” with an aggregate worldwide market value of its common stock held by non-affiliates exceeding $700.0 million measured as of the end of the second quarter of the 2022 fiscal year. As a result, the Company must comply with the adoption requirements of new or revised accounting pronouncements applicable to public companies beginning in the fiscal year ended December 31, 2022.</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in January 2021 issued ASU No.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These ASUs provide temporary optional expedients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exceptions to existing guidance on contract modifications and hedge accounting to facilitate the market transition from existing reference rates, such as the London Inter-bank Offered Rate (“LIBOR”) which is being phased out beginning at the end of 2021, to alternate reference rates, such as the Secured Overnight Financing Rate (“SOFR”). These standards were effective upon issuance and allowed application to contract changes as early as January 1, 2020. These provisions may impact the Company as contract modifications and other changes occur during the LIBOR transition period. The Company continues to evaluate the optional relief guidance provided within these ASUs, has reviewed its debt securities, bank facilities, and derivative instruments and continues to evaluate commercial contracts that may utilize LIBOR as the reference rate. The Company will continue its assessment and monitor regulatory developments during the LIBOR transition period.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spacing w:after="0" w:line="272" w:lineRule="auto"/>
        <w:rPr>
          <w:sz w:val="20"/>
          <w:szCs w:val="20"/>
          <w:color w:val="auto"/>
        </w:rPr>
      </w:pPr>
      <w:r>
        <w:rPr>
          <w:rFonts w:ascii="Arial" w:cs="Arial" w:eastAsia="Arial" w:hAnsi="Arial"/>
          <w:sz w:val="17"/>
          <w:szCs w:val="17"/>
          <w:color w:val="auto"/>
        </w:rPr>
        <w:t xml:space="preserve">In October 2021, the FASB issued ASU 2021-08, Business Combinations (Topic 805): </w:t>
      </w:r>
      <w:r>
        <w:rPr>
          <w:rFonts w:ascii="Arial" w:cs="Arial" w:eastAsia="Arial" w:hAnsi="Arial"/>
          <w:sz w:val="17"/>
          <w:szCs w:val="17"/>
          <w:i w:val="1"/>
          <w:iCs w:val="1"/>
          <w:color w:val="auto"/>
        </w:rPr>
        <w:t>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requires contract assets and contract liabilities acquired in a business combination to be recognized and measured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acquirer on the acquisition date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Prior to the issuance of this guidance, contract assets and contract liabilities were recognized by the acquirer at fair value on the acquisition date. This guidance is effective for annual reporting periods beginning after December 15, 2022 including interim periods therein. The Company will adopt this guidance in 2023, and does not expect adoption to have a material impact on its consolidated financial statements. However, if the Company acquires material customer contracts in the future, this standard will impact the accounting for those arrangements which may have a material effect on future results.</w:t>
      </w:r>
    </w:p>
    <w:p>
      <w:pPr>
        <w:spacing w:after="0" w:line="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February 2016, the FASB issued ASU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and subsequently issued additional ASUs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amending this ASU (collectively ASC 842, </w:t>
      </w:r>
      <w:r>
        <w:rPr>
          <w:rFonts w:ascii="Arial" w:cs="Arial" w:eastAsia="Arial" w:hAnsi="Arial"/>
          <w:sz w:val="16"/>
          <w:szCs w:val="16"/>
          <w:i w:val="1"/>
          <w:iCs w:val="1"/>
          <w:color w:val="auto"/>
        </w:rPr>
        <w:t>Leases</w:t>
      </w:r>
      <w:r>
        <w:rPr>
          <w:rFonts w:ascii="Arial" w:cs="Arial" w:eastAsia="Arial" w:hAnsi="Arial"/>
          <w:sz w:val="16"/>
          <w:szCs w:val="16"/>
          <w:color w:val="auto"/>
        </w:rPr>
        <w:t>). ASC 842 was issued to increase transparency and comparability among organizations by requiring the recognition of right of use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The Company adopted the provisions of ASC 842 on January 1, 2022 using a modified retrospective approach through a cumulative effect adjustment to retained earnings as of the beginning of the period of adoption in line with the new transition method allowed under ASU 2018-11. ASC 842 provides a number of optional practical expedients in transition. The Company elected the “package of practical expedients” which permits the Company not to reassess under the new standard its prior conclusions about lease identification, lease classification, and initial direct costs. The Company did not elect the use-of-hindsight and elected the practical expedient pertaining to land easements. The new standard also provides practical expedients for an entity’s ongoing accounting for leases. The Company elected the short-term lease exemption for all leases that qualify, meaning the Company will not recognize ROU assets or lease liabilities for leases with terms shorter than twelve months. The Company also elected the practical expedient to not separate lease and non-lease components for a majority of its asset classes, including real estate and most equipment.</w:t>
      </w:r>
    </w:p>
    <w:p>
      <w:pPr>
        <w:spacing w:after="0" w:line="11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adoption of ASC 842 had a material impact on the Company’s consolidated balance sheets but did not have a material impact on our consolidated statements of operations or cash flow. The most significant impact was the recognition of ROU assets of $12.7 million and lease liabilities for operating leases of $15.0 million based on the present value of the future minimum rental payments for existing operating leases. The difference in the balances is due to deferred rent, tenant incentive allowances, and prepaid amounts taken into account for adoption. Our accounting for finance leases, described in Note 14, remained unchanged.</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ASU removes specific exceptions to the general principles in Topic 740. Among other things it eliminates the need for an organization to analyze whether the following apply in a given period: exception to the incremental approach for intra-period tax allocation; exceptions to accounting for basis differences when there are ownership changes in foreign investments; and exception in interim period income tax accounting for year-to-date losses that exceed anticipated losses. This amendment also improves financial statement preparers’ application of income tax-related guidance and simplifies GAAP for: franchise taxes that are partially based on income; transactions with a government that result in a step up in the tax basis of goodwill; separate financial statements of legal entities that are not subject to tax; and enacted changes in tax laws in interim periods. Adoption of this standard on January 1, 2022 did not have a material impact on the consolidated financial statements.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changed the way companies evaluate credit losses for most financial assets and certain other instruments. For trade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held-to-maturity debt securities, loans and other instruments, entities are required to use a new forward-looking expected loss model to evaluate impairment, potentially resulting in earlier recognition of allowances for losses. Enhanced disclosures are also required, including the requirement to disclose the information used to track credit quality by year or origination for most financing receivables. Adoption of this standard upon the Company’s loss of EGC status did not have a material impact on the consolidated financial statements.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completed its asset purchase of Form I-9 Compliance, a U.S.-based technology solution and consulting service provider for I-9 and E-Verify compliance, for cash consideration of approximately $19.8 million. The transfer of ownership became effective as of January 1, 2022 and strategically expanded the Company’s product suite offerings through the addition of new I-9 and employment eligibility solutions. The acquired assets were determined to constitute a business and the Company was deemed to be the acquirer under ASC 805. The Company recorded a preliminary allocation of the purchase price to assets acquired and liabilities assumed based on their estimated fair values as of January 1, 2022. The allocation was finalized as of September 30, 2022 and no adjustments were recorded to the Company’s previously recognized fair values.</w:t>
      </w:r>
    </w:p>
    <w:p>
      <w:pPr>
        <w:spacing w:after="0" w:line="12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Cash, net of cash acquired</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19,087</w:t>
            </w:r>
          </w:p>
        </w:tc>
      </w:tr>
      <w:tr>
        <w:trPr>
          <w:trHeight w:val="236"/>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fair value of consideration transferred</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19,087</w:t>
            </w: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1,151</w:t>
            </w:r>
          </w:p>
        </w:tc>
      </w:tr>
      <w:tr>
        <w:trPr>
          <w:trHeight w:val="249"/>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including software developed for internal use</w:t>
            </w: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3,045</w:t>
            </w:r>
          </w:p>
        </w:tc>
      </w:tr>
      <w:tr>
        <w:trPr>
          <w:trHeight w:val="237"/>
        </w:trPr>
        <w:tc>
          <w:tcPr>
            <w:tcW w:w="8280" w:type="dxa"/>
            <w:vAlign w:val="bottom"/>
          </w:tcPr>
          <w:p>
            <w:pPr>
              <w:spacing w:after="0"/>
              <w:rPr>
                <w:sz w:val="20"/>
                <w:szCs w:val="20"/>
                <w:color w:val="auto"/>
              </w:rPr>
            </w:pPr>
            <w:r>
              <w:rPr>
                <w:rFonts w:ascii="Arial" w:cs="Arial" w:eastAsia="Arial" w:hAnsi="Arial"/>
                <w:sz w:val="18"/>
                <w:szCs w:val="18"/>
                <w:color w:val="auto"/>
              </w:rPr>
              <w:t>Customer lists</w:t>
            </w:r>
          </w:p>
        </w:tc>
        <w:tc>
          <w:tcPr>
            <w:tcW w:w="6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6,100</w:t>
            </w:r>
          </w:p>
        </w:tc>
      </w:tr>
      <w:tr>
        <w:trPr>
          <w:trHeight w:val="249"/>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(325 )</w:t>
            </w:r>
          </w:p>
        </w:tc>
      </w:tr>
      <w:tr>
        <w:trPr>
          <w:trHeight w:val="237"/>
        </w:trPr>
        <w:tc>
          <w:tcPr>
            <w:tcW w:w="8280" w:type="dxa"/>
            <w:vAlign w:val="bottom"/>
          </w:tcPr>
          <w:p>
            <w:pPr>
              <w:spacing w:after="0"/>
              <w:rPr>
                <w:sz w:val="20"/>
                <w:szCs w:val="20"/>
                <w:color w:val="auto"/>
              </w:rPr>
            </w:pPr>
            <w:r>
              <w:rPr>
                <w:rFonts w:ascii="Arial" w:cs="Arial" w:eastAsia="Arial" w:hAnsi="Arial"/>
                <w:sz w:val="18"/>
                <w:szCs w:val="18"/>
                <w:color w:val="auto"/>
              </w:rPr>
              <w:t>Total identifiable net assets</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9,971</w:t>
            </w:r>
          </w:p>
        </w:tc>
      </w:tr>
      <w:tr>
        <w:trPr>
          <w:trHeight w:val="277"/>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9,116</w:t>
            </w:r>
          </w:p>
        </w:tc>
      </w:tr>
    </w:tbl>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Goodwill recognized in the acquisition of Form I-9 Compliance is deductible for tax purposes. Results of operations have been included in the consolidated financial statements of the Company’s Americas segment since the effective date of the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31, 2021, the Company completed its acquisition of selected assets and specified liabilities comprising the United Kingdom background screening business unit of a United Kingdom based company for cash consideration of $7.6 million. The Company recognized $3.1 million of goodwill and $3.0 million of intangible assets subject to amortization. Goodwill recognized is primarily attributable to assembled workforce and the expected growth of the Company and is deductible for tax purposes. Results of operations have been included in the consolidated financial statements of the Company’s International segment since the effective date of the acquisition.</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November 30, 2021, the Company completed its acquisition of a background screening and verification provider based in Mexico. Goodwill recognized as result of this acquisition was not deductible for tax purposes. Results of operations have been included in the consolidated financial statements of the Company’s Americas segment since the effective date of the acquisition.</w:t>
      </w:r>
    </w:p>
    <w:p>
      <w:pPr>
        <w:spacing w:after="0" w:line="13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November 30, 2021, the Company, through one of its wholly-owned subsidiaries in the United States, entered into an agreement to acquire 100% of the outstanding equity of Corporate Screening Services, LLC (“Corporate Screening”), a U.S.-based screening and compliance solutions provider which strengthened the Company’s healthcare and higher education solutions by adding technology and expertise tailored to those customers, for cash consideration of $39.4 million. The acquisition was considered an acquisition of assets for tax purposes and, accordingly, a significant portion of the $22.2 million of goodwill recognized was deductible for tax purposes. Identifiable intangible assets related to this acquisition totaled $15.5 million, of which $11.8 million was attributable to a customer related intangible asset, with an estimated useful life of thirteen years and $3.6 million was attributable to developed technology with a useful life of five years. In addition, the Company acquired current assets of $2.9 million and assumed liabilities of $1.6 million. The allocation was finalized as of June 30, 2022. Results of operations have been included in the consolidated financial statements of the Company’s Americas segment since the effective date of the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Silver Lake Transaction</w:t>
      </w:r>
    </w:p>
    <w:p>
      <w:pPr>
        <w:spacing w:after="0" w:line="1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January 31, 2020, a fund managed by Silver Lake acquired substantially all of the Company’s equity interests for approximately $1,576.0 million. A portion of the consideration was derived from members of the management team contributing an allocation of their Silver Lake Transaction proceeds. As part of the Silver Lake Transaction, the Predecessor credit facilities were all repaid in full at closing and a new financing structure was executed (see Note 6).</w:t>
      </w:r>
    </w:p>
    <w:p>
      <w:pPr>
        <w:spacing w:after="0" w:line="13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Silver Lake accounted for the Silver Lake Transaction as a business combination under ASC 805 and elected to apply pushdown accounting to the Company.</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allocation of the purchase price is based on the fair value of assets acquired and liabilities assumed as of the acquisition date, less transaction expenses funded by transaction proceeds. The following table summarizes the consideration paid and the amounts recognized for the assets acquired and liabilities assumed (in thousands):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5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r>
      <w:tr>
        <w:trPr>
          <w:trHeight w:val="237"/>
        </w:trPr>
        <w:tc>
          <w:tcPr>
            <w:tcW w:w="8280" w:type="dxa"/>
            <w:vAlign w:val="bottom"/>
          </w:tcPr>
          <w:p>
            <w:pPr>
              <w:spacing w:after="0"/>
              <w:rPr>
                <w:sz w:val="20"/>
                <w:szCs w:val="20"/>
                <w:color w:val="auto"/>
              </w:rPr>
            </w:pPr>
            <w:r>
              <w:rPr>
                <w:rFonts w:ascii="Arial" w:cs="Arial" w:eastAsia="Arial" w:hAnsi="Arial"/>
                <w:sz w:val="18"/>
                <w:szCs w:val="18"/>
                <w:color w:val="auto"/>
              </w:rPr>
              <w:t>Cash, net of cash acquired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1,556,810</w:t>
            </w:r>
          </w:p>
        </w:tc>
      </w:tr>
      <w:tr>
        <w:trPr>
          <w:trHeight w:val="249"/>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Rollover management equity interests</w:t>
            </w:r>
          </w:p>
        </w:tc>
        <w:tc>
          <w:tcPr>
            <w:tcW w:w="5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19,148</w:t>
            </w:r>
          </w:p>
        </w:tc>
      </w:tr>
      <w:tr>
        <w:trPr>
          <w:trHeight w:val="236"/>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fair value of consideration transferred</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1,575,958</w:t>
            </w:r>
          </w:p>
        </w:tc>
      </w:tr>
      <w:tr>
        <w:trPr>
          <w:trHeight w:val="237"/>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145,277</w:t>
            </w:r>
          </w:p>
        </w:tc>
      </w:tr>
      <w:tr>
        <w:trPr>
          <w:trHeight w:val="237"/>
        </w:trPr>
        <w:tc>
          <w:tcPr>
            <w:tcW w:w="8280" w:type="dxa"/>
            <w:vAlign w:val="bottom"/>
          </w:tcPr>
          <w:p>
            <w:pPr>
              <w:spacing w:after="0"/>
              <w:rPr>
                <w:sz w:val="20"/>
                <w:szCs w:val="20"/>
                <w:color w:val="auto"/>
              </w:rPr>
            </w:pPr>
            <w:r>
              <w:rPr>
                <w:rFonts w:ascii="Arial" w:cs="Arial" w:eastAsia="Arial" w:hAnsi="Arial"/>
                <w:sz w:val="18"/>
                <w:szCs w:val="18"/>
                <w:color w:val="auto"/>
              </w:rPr>
              <w:t>Property and equipment, including software developed for internal use</w:t>
            </w:r>
          </w:p>
        </w:tc>
        <w:tc>
          <w:tcPr>
            <w:tcW w:w="5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236,775</w:t>
            </w:r>
          </w:p>
        </w:tc>
      </w:tr>
      <w:tr>
        <w:trPr>
          <w:trHeight w:val="249"/>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5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95,000</w:t>
            </w:r>
          </w:p>
        </w:tc>
      </w:tr>
      <w:tr>
        <w:trPr>
          <w:trHeight w:val="237"/>
        </w:trPr>
        <w:tc>
          <w:tcPr>
            <w:tcW w:w="8280" w:type="dxa"/>
            <w:vAlign w:val="bottom"/>
          </w:tcPr>
          <w:p>
            <w:pPr>
              <w:spacing w:after="0"/>
              <w:rPr>
                <w:sz w:val="20"/>
                <w:szCs w:val="20"/>
                <w:color w:val="auto"/>
              </w:rPr>
            </w:pPr>
            <w:r>
              <w:rPr>
                <w:rFonts w:ascii="Arial" w:cs="Arial" w:eastAsia="Arial" w:hAnsi="Arial"/>
                <w:sz w:val="18"/>
                <w:szCs w:val="18"/>
                <w:color w:val="auto"/>
              </w:rPr>
              <w:t>Customer lists</w:t>
            </w:r>
          </w:p>
        </w:tc>
        <w:tc>
          <w:tcPr>
            <w:tcW w:w="5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500,000</w:t>
            </w:r>
          </w:p>
        </w:tc>
      </w:tr>
      <w:tr>
        <w:trPr>
          <w:trHeight w:val="249"/>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w:t>
            </w:r>
          </w:p>
        </w:tc>
        <w:tc>
          <w:tcPr>
            <w:tcW w:w="5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106,327</w:t>
            </w:r>
          </w:p>
        </w:tc>
      </w:tr>
      <w:tr>
        <w:trPr>
          <w:trHeight w:val="237"/>
        </w:trPr>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1,429</w:t>
            </w:r>
          </w:p>
        </w:tc>
      </w:tr>
      <w:tr>
        <w:trPr>
          <w:trHeight w:val="249"/>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(71,496 )</w:t>
            </w:r>
          </w:p>
        </w:tc>
      </w:tr>
      <w:tr>
        <w:trPr>
          <w:trHeight w:val="237"/>
        </w:trPr>
        <w:tc>
          <w:tcPr>
            <w:tcW w:w="82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(198,535 )</w:t>
            </w:r>
          </w:p>
        </w:tc>
      </w:tr>
      <w:tr>
        <w:trPr>
          <w:trHeight w:val="249"/>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(6,616 )</w:t>
            </w:r>
          </w:p>
        </w:tc>
      </w:tr>
      <w:tr>
        <w:trPr>
          <w:trHeight w:val="236"/>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identifiable net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808,161</w:t>
            </w:r>
          </w:p>
        </w:tc>
      </w:tr>
      <w:tr>
        <w:trPr>
          <w:trHeight w:val="276"/>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767,797</w:t>
            </w:r>
          </w:p>
        </w:tc>
      </w:tr>
    </w:tbl>
    <w:p>
      <w:pPr>
        <w:spacing w:after="0" w:line="1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Goodwill recognized in the Silver Lake Transaction is primarily attributable to assembled workforce and the expected growth of the Company, and a significant portion of goodwill is not deductible for tax purposes.</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Costs incurred by the Company related to the Silver Lake Transaction were primarily composed of deferred financing costs associated with the new financing structure which have been capitalized within long-term debt in the accompanying consolidated balance sheets (see Note 6) and approximately $31.8 million of closing costs which have been recorded in transaction expenses, change in control in the accompanying consolidated statements of operations and comprehensive income (loss). Seller related costs were recorded as transaction expenses in the Predecessor period, Silver Lake related costs were pushed down to the Company in the Successor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summary, prepared on a pro forma basis pursuant to ASC 805, presents the Company’s consolidated results of operations for the year ended December 31, 2020 as if the Silver Lake Transaction had been completed on January 1, 2020. The pro forma results below include the impact of certain adjustments related to the amortization of intangible assets, transaction-related costs incurred as of the acquisition date, and interest expense on related borrowings, and in each case, the related income tax effects, as well as certain other post-acquisition adjustments attributable to the Silver Lake Transaction. This pro forma presentation does not include any impact of transaction synergies. The pro forma results are not necessarily indicative of the results of operations that actually would have been achieved had the Silver Lake Transaction been consummated as of January 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center"/>
              <w:ind w:right="261"/>
              <w:spacing w:after="0"/>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1"/>
              </w:rPr>
              <w:t>December 31, 2020</w:t>
            </w:r>
          </w:p>
        </w:tc>
        <w:tc>
          <w:tcPr>
            <w:tcW w:w="560" w:type="dxa"/>
            <w:vAlign w:val="bottom"/>
          </w:tcPr>
          <w:p>
            <w:pPr>
              <w:spacing w:after="0"/>
              <w:rPr>
                <w:sz w:val="12"/>
                <w:szCs w:val="12"/>
                <w:color w:val="auto"/>
              </w:rPr>
            </w:pPr>
          </w:p>
        </w:tc>
      </w:tr>
      <w:tr>
        <w:trPr>
          <w:trHeight w:val="185"/>
        </w:trPr>
        <w:tc>
          <w:tcPr>
            <w:tcW w:w="58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5"/>
              </w:rPr>
              <w:t>(Unaudited)</w:t>
            </w: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5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509,154</w:t>
            </w: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 (loss)</w:t>
            </w:r>
          </w:p>
        </w:tc>
        <w:tc>
          <w:tcPr>
            <w:tcW w:w="5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(43,627 )</w:t>
            </w:r>
          </w:p>
        </w:tc>
        <w:tc>
          <w:tcPr>
            <w:tcW w:w="560" w:type="dxa"/>
            <w:vAlign w:val="bottom"/>
          </w:tcPr>
          <w:p>
            <w:pPr>
              <w:spacing w:after="0"/>
              <w:rPr>
                <w:sz w:val="20"/>
                <w:szCs w:val="20"/>
                <w:color w:val="auto"/>
              </w:rPr>
            </w:pPr>
          </w:p>
        </w:tc>
      </w:tr>
      <w:tr>
        <w:trPr>
          <w:trHeight w:val="607"/>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380" w:type="dxa"/>
            <w:vAlign w:val="bottom"/>
            <w:gridSpan w:val="2"/>
          </w:tcPr>
          <w:p>
            <w:pPr>
              <w:jc w:val="right"/>
              <w:ind w:right="3150"/>
              <w:spacing w:after="0"/>
              <w:rPr>
                <w:sz w:val="20"/>
                <w:szCs w:val="20"/>
                <w:color w:val="auto"/>
              </w:rPr>
            </w:pPr>
            <w:r>
              <w:rPr>
                <w:rFonts w:ascii="Arial" w:cs="Arial" w:eastAsia="Arial" w:hAnsi="Arial"/>
                <w:sz w:val="18"/>
                <w:szCs w:val="18"/>
                <w:color w:val="auto"/>
              </w:rPr>
              <w:t>F-19</w:t>
            </w: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2022 and 2021 (Successor) consisted of the following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235"/>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center"/>
              <w:ind w:right="255"/>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r>
      <w:tr>
        <w:trPr>
          <w:trHeight w:val="23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23,422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20,462</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Capitalized software for internal use, acquired by business combination</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227,405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225,005</w:t>
            </w:r>
          </w:p>
        </w:tc>
      </w:tr>
      <w:tr>
        <w:trPr>
          <w:trHeight w:val="24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for internal use, developed internally or otherwise purchased</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60,187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37,326</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2,957</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3,001</w:t>
            </w:r>
          </w:p>
        </w:tc>
      </w:tr>
      <w:tr>
        <w:trPr>
          <w:trHeight w:val="237"/>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313,971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285,794</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(200,442 )</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(131,485 )</w:t>
            </w:r>
          </w:p>
        </w:tc>
      </w:tr>
      <w:tr>
        <w:trPr>
          <w:trHeight w:val="277"/>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113,529</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154,309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Depreciation and amortization expense of property and equipment was approximately $70.0 million, $69.4 million, $62.3 million, and $1.3 million, for the year ended December 31, 2022 (Successor), for the year ended December 31, 2021 (Successor), for the period from February 1, 2020 through December 31, 2020 (Successor), and for the period from January 1, 2020 through January 31, 2020 (Predecessor), respectively. Included in property equipment, net are finance leases with a cost of $5.1 million and $5.0 million and accumulated depreciation of $5.0 million and $4.2 million as of December 31, 2022 and 2021 (Successor), respectively.</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5. Goodwill, Trade Name, and Customer Lists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changes in the carrying amount of goodwill for the year ended December 31, 2022 and 2021 (Successor) by reportable segment were as follows (in thousands):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International</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17"/>
        </w:trPr>
        <w:tc>
          <w:tcPr>
            <w:tcW w:w="82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2"/>
              </w:rPr>
              <w:t>Successor:</w:t>
            </w:r>
          </w:p>
        </w:tc>
        <w:tc>
          <w:tcPr>
            <w:tcW w:w="5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r>
      <w:tr>
        <w:trPr>
          <w:trHeight w:val="237"/>
        </w:trPr>
        <w:tc>
          <w:tcPr>
            <w:tcW w:w="5940" w:type="dxa"/>
            <w:vAlign w:val="bottom"/>
            <w:gridSpan w:val="2"/>
          </w:tcPr>
          <w:p>
            <w:pPr>
              <w:spacing w:after="0"/>
              <w:rPr>
                <w:sz w:val="20"/>
                <w:szCs w:val="20"/>
                <w:color w:val="auto"/>
              </w:rPr>
            </w:pPr>
            <w:r>
              <w:rPr>
                <w:rFonts w:ascii="Arial" w:cs="Arial" w:eastAsia="Arial" w:hAnsi="Arial"/>
                <w:sz w:val="18"/>
                <w:szCs w:val="18"/>
                <w:color w:val="auto"/>
              </w:rPr>
              <w:t>Balance – December 31,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645,309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124,780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770,089</w:t>
            </w:r>
          </w:p>
        </w:tc>
      </w:tr>
      <w:tr>
        <w:trPr>
          <w:trHeight w:val="249"/>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22,714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25,834</w:t>
            </w:r>
          </w:p>
        </w:tc>
      </w:tr>
      <w:tr>
        <w:trPr>
          <w:trHeight w:val="243"/>
        </w:trPr>
        <w:tc>
          <w:tcPr>
            <w:tcW w:w="59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(2,056 )</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(2,031 )</w:t>
            </w:r>
          </w:p>
        </w:tc>
      </w:tr>
      <w:tr>
        <w:trPr>
          <w:trHeight w:val="236"/>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December 31, 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668,048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125,844</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793,892</w:t>
            </w:r>
          </w:p>
        </w:tc>
      </w:tr>
      <w:tr>
        <w:trPr>
          <w:trHeight w:val="237"/>
        </w:trPr>
        <w:tc>
          <w:tcPr>
            <w:tcW w:w="59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9,116</w:t>
            </w:r>
          </w:p>
        </w:tc>
      </w:tr>
      <w:tr>
        <w:trPr>
          <w:trHeight w:val="249"/>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initial purchase price allocations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9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(9,935 )</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(9,893 )</w:t>
            </w:r>
          </w:p>
        </w:tc>
      </w:tr>
      <w:tr>
        <w:trPr>
          <w:trHeight w:val="277"/>
        </w:trPr>
        <w:tc>
          <w:tcPr>
            <w:tcW w:w="5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December 31, 2022</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677,171</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115,909</w:t>
            </w: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793,080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summarizes the gross carrying value and accumulated amortization for the Company’s trade name and customer lists as of December 31, 2022 and 2021 (Successor) (in thousands):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December 31, 2022 (Successor)</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33"/>
        </w:trPr>
        <w:tc>
          <w:tcPr>
            <w:tcW w:w="5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Carrying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93,959</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(22,797 )</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71,162</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Customer lists</w:t>
            </w: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515,762</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(189,748 )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326,014</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13-14 years</w:t>
            </w:r>
          </w:p>
        </w:tc>
      </w:tr>
      <w:tr>
        <w:trPr>
          <w:trHeight w:val="276"/>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609,721</w:t>
            </w:r>
          </w:p>
        </w:tc>
        <w:tc>
          <w:tcPr>
            <w:tcW w:w="4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(212,545 )</w:t>
            </w:r>
          </w:p>
        </w:tc>
        <w:tc>
          <w:tcPr>
            <w:tcW w:w="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397,176</w:t>
            </w:r>
          </w:p>
        </w:tc>
        <w:tc>
          <w:tcPr>
            <w:tcW w:w="4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r>
      <w:tr>
        <w:trPr>
          <w:trHeight w:val="372"/>
        </w:trPr>
        <w:tc>
          <w:tcPr>
            <w:tcW w:w="5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December 31, 2021 (Successor)</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33"/>
        </w:trPr>
        <w:tc>
          <w:tcPr>
            <w:tcW w:w="5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jc w:val="right"/>
              <w:ind w:right="260"/>
              <w:spacing w:after="0" w:line="133"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40" w:type="dxa"/>
            <w:vAlign w:val="bottom"/>
            <w:tcBorders>
              <w:top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95,026</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(15,441 )</w:t>
            </w: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top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79,585</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Customer lists</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515,524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(130,758 )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384,766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 years</w:t>
            </w:r>
          </w:p>
        </w:tc>
      </w:tr>
      <w:tr>
        <w:trPr>
          <w:trHeight w:val="277"/>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610,550</w:t>
            </w:r>
          </w:p>
        </w:tc>
        <w:tc>
          <w:tcPr>
            <w:tcW w:w="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(146,199 )</w:t>
            </w:r>
          </w:p>
        </w:tc>
        <w:tc>
          <w:tcPr>
            <w:tcW w:w="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464,351</w:t>
            </w:r>
          </w:p>
        </w:tc>
        <w:tc>
          <w:tcPr>
            <w:tcW w:w="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-993775</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-976630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-993775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-976630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-993775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-976630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85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2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Amortization expense of trade name and customer lists was approximately $68.3 million, $73.5 million, $72.7 million, and $0.8 million for the year ended December 31, 2022 (Successor), for the year ended December 31, 2021 (Successor), for the period from February 1, 2020 through December 31, 2020 (Successor), and for the period from January 1, 2020 through January 31, 2020 (Predecessor)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relating to trade name and customer lists is expected to be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Years Ending December 31,</w:t>
            </w:r>
          </w:p>
        </w:tc>
        <w:tc>
          <w:tcPr>
            <w:tcW w:w="47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2023</w:t>
            </w:r>
          </w:p>
        </w:tc>
        <w:tc>
          <w:tcPr>
            <w:tcW w:w="1360" w:type="dxa"/>
            <w:vAlign w:val="bottom"/>
            <w:tcBorders>
              <w:top w:val="single" w:sz="8" w:color="CFF0FC"/>
            </w:tcBorders>
          </w:tcPr>
          <w:p>
            <w:pPr>
              <w:spacing w:after="0"/>
              <w:rPr>
                <w:sz w:val="20"/>
                <w:szCs w:val="20"/>
                <w:color w:val="auto"/>
              </w:rPr>
            </w:pPr>
          </w:p>
        </w:tc>
        <w:tc>
          <w:tcPr>
            <w:tcW w:w="5400" w:type="dxa"/>
            <w:vAlign w:val="bottom"/>
            <w:tcBorders>
              <w:top w:val="single" w:sz="8" w:color="CFF0FC"/>
            </w:tcBorders>
            <w:gridSpan w:val="2"/>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rPr>
              <w:t>61,992</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360" w:type="dxa"/>
            <w:vAlign w:val="bottom"/>
            <w:shd w:val="clear" w:color="auto" w:fill="CFF0FC"/>
          </w:tcPr>
          <w:p>
            <w:pPr>
              <w:spacing w:after="0"/>
              <w:rPr>
                <w:sz w:val="21"/>
                <w:szCs w:val="21"/>
                <w:color w:val="auto"/>
              </w:rPr>
            </w:pPr>
          </w:p>
        </w:tc>
        <w:tc>
          <w:tcPr>
            <w:tcW w:w="47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56,028</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2025</w:t>
            </w:r>
          </w:p>
        </w:tc>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49,722</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360" w:type="dxa"/>
            <w:vAlign w:val="bottom"/>
            <w:shd w:val="clear" w:color="auto" w:fill="CFF0FC"/>
          </w:tcPr>
          <w:p>
            <w:pPr>
              <w:spacing w:after="0"/>
              <w:rPr>
                <w:sz w:val="21"/>
                <w:szCs w:val="21"/>
                <w:color w:val="auto"/>
              </w:rPr>
            </w:pPr>
          </w:p>
        </w:tc>
        <w:tc>
          <w:tcPr>
            <w:tcW w:w="47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42,800</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2027</w:t>
            </w:r>
          </w:p>
        </w:tc>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36,226</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47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150,408</w:t>
            </w: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397,176</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9"/>
        </w:trPr>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gridSpan w:val="2"/>
          </w:tcPr>
          <w:p>
            <w:pPr>
              <w:jc w:val="right"/>
              <w:ind w:right="3590"/>
              <w:spacing w:after="0"/>
              <w:rPr>
                <w:sz w:val="20"/>
                <w:szCs w:val="20"/>
                <w:color w:val="auto"/>
              </w:rPr>
            </w:pPr>
            <w:r>
              <w:rPr>
                <w:rFonts w:ascii="Arial" w:cs="Arial" w:eastAsia="Arial" w:hAnsi="Arial"/>
                <w:sz w:val="18"/>
                <w:szCs w:val="18"/>
                <w:color w:val="auto"/>
              </w:rPr>
              <w:t>F-21</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6. Long-term Debt</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the Company’s long-term debt obligations approximated their book value as of December 31, 2022 and 2021 (Successor) and consisted of the following (in thousands):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27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center"/>
              <w:ind w:right="239"/>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2021</w:t>
            </w:r>
          </w:p>
        </w:tc>
      </w:tr>
      <w:tr>
        <w:trPr>
          <w:trHeight w:val="237"/>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Successor First Lien Credit Facility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564,724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564,724</w:t>
            </w:r>
          </w:p>
        </w:tc>
      </w:tr>
      <w:tr>
        <w:trPr>
          <w:trHeight w:val="243"/>
        </w:trPr>
        <w:tc>
          <w:tcPr>
            <w:tcW w:w="6900" w:type="dxa"/>
            <w:vAlign w:val="bottom"/>
          </w:tcPr>
          <w:p>
            <w:pPr>
              <w:spacing w:after="0"/>
              <w:rPr>
                <w:sz w:val="20"/>
                <w:szCs w:val="20"/>
                <w:color w:val="auto"/>
              </w:rPr>
            </w:pPr>
            <w:r>
              <w:rPr>
                <w:rFonts w:ascii="Arial" w:cs="Arial" w:eastAsia="Arial" w:hAnsi="Arial"/>
                <w:sz w:val="18"/>
                <w:szCs w:val="18"/>
                <w:color w:val="auto"/>
              </w:rPr>
              <w:t>Less: Deferred financing costs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(8,075 )</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(9,879 )</w:t>
            </w:r>
          </w:p>
        </w:tc>
      </w:tr>
      <w:tr>
        <w:trPr>
          <w:trHeight w:val="276"/>
        </w:trPr>
        <w:tc>
          <w:tcPr>
            <w:tcW w:w="6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556,649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554,845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8"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On January 31, 2020, prior to the Silver Lake Transaction, the Company repaid $34.0 million of the Predecessor first lien facility. The remaining Predecessor first lien facility and Predecessor second lien facility were fully repaid at the time of the Silver Lake Transaction. As a result of this refinancing, a loss on extinguishment of debt of $10.5 million was recorded in the period from January 1, 2020 through January 31, 2020 (Predecessor).</w:t>
      </w:r>
    </w:p>
    <w:p>
      <w:pPr>
        <w:spacing w:after="0" w:line="9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part of the Silver Lake Transaction,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carrying an interest rate of 3.25% to 3.50%, based on the first lien leverage ratio, plus LIBOR (“Successor First Lien Credit Facility”) and a new $75.0 million revolving credit facility due January 31, 2025 (“Successor Revolver”). The Successor First Lien Credit Facility required mandatory quarterly repayments of 0.25% of the original loan balance commencing September 30, 2020. Beginning with the year ending December 31, 2021, the Successor First Lien Credit Facility required mandatory payments based on calculated excess cash flow, as defined within the Successor First Lien Credit Agreement. The Successor Second Lien Agreement provided financing in the form of a $145.0 million term loan due January 31, 2028, carrying an interest rate of 8.50% plus LIBOR (“Successor Second Lien Credit Facility”). The Successor Credit Agreements are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Successor Revolver exceeds 35% of the aggregate principal amount of the revolving commitments then in effect, it is required to maintain a consolidated first lien leverage ratio no greater than 7.75 to 1.00.</w:t>
      </w:r>
    </w:p>
    <w:p>
      <w:pPr>
        <w:spacing w:after="0" w:line="11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February 2021, the Company refinanced its Successor First Lien Credit Facility at an increased principal amount of $766.6 million due January 31, 2027, carrying a reduced interest rate of 3.00% to 3.25%, based on the first lien leverage ratio, plus LIBOR. No changes were made to the associated revolving credit facility due January 31, 2025. In connection with the refinancing of the Successor First Lien Credit Facility, the Company fully repaid its Successor Second Lien Credit Facility. As a result of these transactions the Company recorded a total loss on extinguishment of debt of $13.9 million, composed of the write-off of unamortized deferred financing costs plus a prepayment premium, accrued interest, and other fees.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closing of the Company’s initial public offering (“IPO”), on June 30, 2021, the Company repaid $200.0 million of its Successor First Lien Credit Facility outstanding, of which $44.3 million was applied to the remaining quarterly principal payments due under the Successor First Lien Agreement. As a result of the IPO, the Company’s interest rate under the Successor First Lien Credit Facility was reduced by 0.25% to a range of 2.75% to 3.00%, based on the first lien ratio, plus LIBOR.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in connection with the closing of the IPO, the Company entered into an amendment that increased the borrowing capacity under the Successor Revolver from $75.0 million to $100.0 million and extended the maturity date from January 31, 2025 to July 31, 2026. As of December 31, 2022, the Company had no outstanding amounts under the Successor Revolver, and therefore, was not subject to the consolidated first lien leverage ratio covenant and was compliant with all other covenants under the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Scheduled maturities of long-term debt as of December 31, 2022 (Successor),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Years Ending December 31,</w:t>
            </w:r>
          </w:p>
        </w:tc>
        <w:tc>
          <w:tcPr>
            <w:tcW w:w="47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2023</w:t>
            </w:r>
          </w:p>
        </w:tc>
        <w:tc>
          <w:tcPr>
            <w:tcW w:w="1360" w:type="dxa"/>
            <w:vAlign w:val="bottom"/>
            <w:tcBorders>
              <w:top w:val="single" w:sz="8" w:color="CFF0FC"/>
            </w:tcBorders>
          </w:tcPr>
          <w:p>
            <w:pPr>
              <w:spacing w:after="0"/>
              <w:rPr>
                <w:sz w:val="20"/>
                <w:szCs w:val="20"/>
                <w:color w:val="auto"/>
              </w:rPr>
            </w:pPr>
          </w:p>
        </w:tc>
        <w:tc>
          <w:tcPr>
            <w:tcW w:w="5400" w:type="dxa"/>
            <w:vAlign w:val="bottom"/>
            <w:tcBorders>
              <w:top w:val="single" w:sz="8" w:color="CFF0FC"/>
            </w:tcBorders>
            <w:gridSpan w:val="2"/>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360" w:type="dxa"/>
            <w:vAlign w:val="bottom"/>
            <w:shd w:val="clear" w:color="auto" w:fill="CFF0FC"/>
          </w:tcPr>
          <w:p>
            <w:pPr>
              <w:spacing w:after="0"/>
              <w:rPr>
                <w:sz w:val="21"/>
                <w:szCs w:val="21"/>
                <w:color w:val="auto"/>
              </w:rPr>
            </w:pPr>
          </w:p>
        </w:tc>
        <w:tc>
          <w:tcPr>
            <w:tcW w:w="47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2025</w:t>
            </w:r>
          </w:p>
        </w:tc>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360" w:type="dxa"/>
            <w:vAlign w:val="bottom"/>
            <w:shd w:val="clear" w:color="auto" w:fill="CFF0FC"/>
          </w:tcPr>
          <w:p>
            <w:pPr>
              <w:spacing w:after="0"/>
              <w:rPr>
                <w:sz w:val="21"/>
                <w:szCs w:val="21"/>
                <w:color w:val="auto"/>
              </w:rPr>
            </w:pPr>
          </w:p>
        </w:tc>
        <w:tc>
          <w:tcPr>
            <w:tcW w:w="47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2027</w:t>
            </w:r>
          </w:p>
        </w:tc>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564,724</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47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564,724</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9"/>
        </w:trPr>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0" w:type="dxa"/>
            <w:vAlign w:val="bottom"/>
            <w:gridSpan w:val="2"/>
          </w:tcPr>
          <w:p>
            <w:pPr>
              <w:jc w:val="right"/>
              <w:ind w:right="3590"/>
              <w:spacing w:after="0"/>
              <w:rPr>
                <w:sz w:val="20"/>
                <w:szCs w:val="20"/>
                <w:color w:val="auto"/>
              </w:rPr>
            </w:pPr>
            <w:r>
              <w:rPr>
                <w:rFonts w:ascii="Arial" w:cs="Arial" w:eastAsia="Arial" w:hAnsi="Arial"/>
                <w:sz w:val="18"/>
                <w:szCs w:val="18"/>
                <w:color w:val="auto"/>
              </w:rPr>
              <w:t>F-22</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7. Derivatives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2020, the Company entered into an interest rate collar agreement with a counterparty bank to reduce its exposure to interest rate volatility. In this agreement, the Company and the counterparty bank agreed to a one-month USD LIBOR floor of 0.48% and a cap of 1.50% on a portion of the Company’s Successor First Lien Facility. The notional amount of this agreement was $405.0 million through February 2022 at which time the notional amount was reduced to $300.0 million through February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location and fair value of the financial position recorded related to the derivative instruments (in thousands):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64"/>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Fair Value</w:t>
            </w:r>
          </w:p>
        </w:tc>
        <w:tc>
          <w:tcPr>
            <w:tcW w:w="1680" w:type="dxa"/>
            <w:vAlign w:val="bottom"/>
            <w:tcBorders>
              <w:bottom w:val="single" w:sz="8" w:color="auto"/>
            </w:tcBorders>
          </w:tcPr>
          <w:p>
            <w:pPr>
              <w:spacing w:after="0"/>
              <w:rPr>
                <w:sz w:val="14"/>
                <w:szCs w:val="14"/>
                <w:color w:val="auto"/>
              </w:rPr>
            </w:pPr>
          </w:p>
        </w:tc>
      </w:tr>
      <w:tr>
        <w:trPr>
          <w:trHeight w:val="126"/>
        </w:trPr>
        <w:tc>
          <w:tcPr>
            <w:tcW w:w="2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Derivatives</w:t>
            </w:r>
          </w:p>
        </w:tc>
        <w:tc>
          <w:tcPr>
            <w:tcW w:w="1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35"/>
        </w:trPr>
        <w:tc>
          <w:tcPr>
            <w:tcW w:w="2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not designated</w:t>
            </w: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jc w:val="center"/>
              <w:ind w:right="315"/>
              <w:spacing w:after="0" w:line="135" w:lineRule="exact"/>
              <w:rPr>
                <w:sz w:val="20"/>
                <w:szCs w:val="20"/>
                <w:color w:val="auto"/>
              </w:rPr>
            </w:pPr>
            <w:r>
              <w:rPr>
                <w:rFonts w:ascii="Arial" w:cs="Arial" w:eastAsia="Arial" w:hAnsi="Arial"/>
                <w:sz w:val="13"/>
                <w:szCs w:val="13"/>
                <w:b w:val="1"/>
                <w:bCs w:val="1"/>
                <w:color w:val="auto"/>
                <w:w w:val="86"/>
              </w:rPr>
              <w:t>As of</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center"/>
              <w:ind w:right="375"/>
              <w:spacing w:after="0" w:line="135" w:lineRule="exact"/>
              <w:rPr>
                <w:sz w:val="20"/>
                <w:szCs w:val="20"/>
                <w:color w:val="auto"/>
              </w:rPr>
            </w:pPr>
            <w:r>
              <w:rPr>
                <w:rFonts w:ascii="Arial" w:cs="Arial" w:eastAsia="Arial" w:hAnsi="Arial"/>
                <w:sz w:val="13"/>
                <w:szCs w:val="13"/>
                <w:b w:val="1"/>
                <w:bCs w:val="1"/>
                <w:color w:val="auto"/>
                <w:w w:val="86"/>
              </w:rPr>
              <w:t>As of</w:t>
            </w:r>
          </w:p>
        </w:tc>
      </w:tr>
      <w:tr>
        <w:trPr>
          <w:trHeight w:val="135"/>
        </w:trPr>
        <w:tc>
          <w:tcPr>
            <w:tcW w:w="2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as hedging</w:t>
            </w:r>
          </w:p>
        </w:tc>
        <w:tc>
          <w:tcPr>
            <w:tcW w:w="120" w:type="dxa"/>
            <w:vAlign w:val="bottom"/>
          </w:tcPr>
          <w:p>
            <w:pPr>
              <w:spacing w:after="0"/>
              <w:rPr>
                <w:sz w:val="11"/>
                <w:szCs w:val="11"/>
                <w:color w:val="auto"/>
              </w:rPr>
            </w:pPr>
          </w:p>
        </w:tc>
        <w:tc>
          <w:tcPr>
            <w:tcW w:w="3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Balance Sheet</w:t>
            </w:r>
          </w:p>
        </w:tc>
        <w:tc>
          <w:tcPr>
            <w:tcW w:w="260" w:type="dxa"/>
            <w:vAlign w:val="bottom"/>
          </w:tcPr>
          <w:p>
            <w:pPr>
              <w:spacing w:after="0"/>
              <w:rPr>
                <w:sz w:val="11"/>
                <w:szCs w:val="11"/>
                <w:color w:val="auto"/>
              </w:rPr>
            </w:pPr>
          </w:p>
        </w:tc>
        <w:tc>
          <w:tcPr>
            <w:tcW w:w="1700" w:type="dxa"/>
            <w:vAlign w:val="bottom"/>
          </w:tcPr>
          <w:p>
            <w:pPr>
              <w:jc w:val="center"/>
              <w:ind w:right="295"/>
              <w:spacing w:after="0" w:line="135" w:lineRule="exact"/>
              <w:rPr>
                <w:sz w:val="20"/>
                <w:szCs w:val="20"/>
                <w:color w:val="auto"/>
              </w:rPr>
            </w:pPr>
            <w:r>
              <w:rPr>
                <w:rFonts w:ascii="Arial" w:cs="Arial" w:eastAsia="Arial" w:hAnsi="Arial"/>
                <w:sz w:val="13"/>
                <w:szCs w:val="13"/>
                <w:b w:val="1"/>
                <w:bCs w:val="1"/>
                <w:color w:val="auto"/>
                <w:w w:val="87"/>
              </w:rPr>
              <w:t>December 31, 2022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center"/>
              <w:ind w:right="355"/>
              <w:spacing w:after="0" w:line="135" w:lineRule="exact"/>
              <w:rPr>
                <w:sz w:val="20"/>
                <w:szCs w:val="20"/>
                <w:color w:val="auto"/>
              </w:rPr>
            </w:pPr>
            <w:r>
              <w:rPr>
                <w:rFonts w:ascii="Arial" w:cs="Arial" w:eastAsia="Arial" w:hAnsi="Arial"/>
                <w:sz w:val="13"/>
                <w:szCs w:val="13"/>
                <w:b w:val="1"/>
                <w:bCs w:val="1"/>
                <w:color w:val="auto"/>
                <w:w w:val="87"/>
              </w:rPr>
              <w:t>December 31, 2021</w:t>
            </w:r>
          </w:p>
        </w:tc>
      </w:tr>
      <w:tr>
        <w:trPr>
          <w:trHeight w:val="165"/>
        </w:trPr>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88"/>
              </w:rPr>
              <w:t>instruments</w:t>
            </w:r>
          </w:p>
        </w:tc>
        <w:tc>
          <w:tcPr>
            <w:tcW w:w="120" w:type="dxa"/>
            <w:vAlign w:val="bottom"/>
          </w:tcPr>
          <w:p>
            <w:pPr>
              <w:spacing w:after="0"/>
              <w:rPr>
                <w:sz w:val="14"/>
                <w:szCs w:val="14"/>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Location</w:t>
            </w:r>
          </w:p>
        </w:tc>
        <w:tc>
          <w:tcPr>
            <w:tcW w:w="260" w:type="dxa"/>
            <w:vAlign w:val="bottom"/>
          </w:tcPr>
          <w:p>
            <w:pPr>
              <w:spacing w:after="0"/>
              <w:rPr>
                <w:sz w:val="14"/>
                <w:szCs w:val="14"/>
                <w:color w:val="auto"/>
              </w:rPr>
            </w:pPr>
          </w:p>
        </w:tc>
        <w:tc>
          <w:tcPr>
            <w:tcW w:w="1700" w:type="dxa"/>
            <w:vAlign w:val="bottom"/>
          </w:tcPr>
          <w:p>
            <w:pPr>
              <w:jc w:val="center"/>
              <w:ind w:right="275"/>
              <w:spacing w:after="0"/>
              <w:rPr>
                <w:sz w:val="20"/>
                <w:szCs w:val="20"/>
                <w:color w:val="auto"/>
              </w:rPr>
            </w:pPr>
            <w:r>
              <w:rPr>
                <w:rFonts w:ascii="Arial" w:cs="Arial" w:eastAsia="Arial" w:hAnsi="Arial"/>
                <w:sz w:val="13"/>
                <w:szCs w:val="13"/>
                <w:b w:val="1"/>
                <w:bCs w:val="1"/>
                <w:color w:val="auto"/>
                <w:w w:val="80"/>
              </w:rPr>
              <w:t>(Successor)</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jc w:val="center"/>
              <w:ind w:right="375"/>
              <w:spacing w:after="0"/>
              <w:rPr>
                <w:sz w:val="20"/>
                <w:szCs w:val="20"/>
                <w:color w:val="auto"/>
              </w:rPr>
            </w:pPr>
            <w:r>
              <w:rPr>
                <w:rFonts w:ascii="Arial" w:cs="Arial" w:eastAsia="Arial" w:hAnsi="Arial"/>
                <w:sz w:val="13"/>
                <w:szCs w:val="13"/>
                <w:b w:val="1"/>
                <w:bCs w:val="1"/>
                <w:color w:val="auto"/>
                <w:w w:val="80"/>
              </w:rPr>
              <w:t>(Successor)</w:t>
            </w:r>
          </w:p>
        </w:tc>
      </w:tr>
      <w:tr>
        <w:trPr>
          <w:trHeight w:val="170"/>
        </w:trPr>
        <w:tc>
          <w:tcPr>
            <w:tcW w:w="2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Interest rate swaps</w:t>
            </w:r>
          </w:p>
        </w:tc>
        <w:tc>
          <w:tcPr>
            <w:tcW w:w="120" w:type="dxa"/>
            <w:vAlign w:val="bottom"/>
            <w:shd w:val="clear" w:color="auto" w:fill="CFF0FC"/>
          </w:tcPr>
          <w:p>
            <w:pPr>
              <w:spacing w:after="0"/>
              <w:rPr>
                <w:sz w:val="14"/>
                <w:szCs w:val="14"/>
                <w:color w:val="auto"/>
              </w:rPr>
            </w:pPr>
          </w:p>
        </w:tc>
        <w:tc>
          <w:tcPr>
            <w:tcW w:w="3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Prepaid expenses and other current assets</w:t>
            </w:r>
          </w:p>
        </w:tc>
        <w:tc>
          <w:tcPr>
            <w:tcW w:w="1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4"/>
                <w:szCs w:val="14"/>
                <w:color w:val="auto"/>
              </w:rPr>
              <w:t>11,570</w:t>
            </w:r>
          </w:p>
        </w:tc>
        <w:tc>
          <w:tcPr>
            <w:tcW w:w="10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4"/>
                <w:szCs w:val="14"/>
                <w:color w:val="auto"/>
              </w:rPr>
              <w:t>197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location and amount of gains and (losses) recorded related to the derivative instruments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b w:val="1"/>
                <w:bCs w:val="1"/>
                <w:color w:val="auto"/>
                <w:w w:val="86"/>
              </w:rPr>
              <w:t>Gain/(Loss)</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25"/>
        </w:trPr>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jc w:val="center"/>
              <w:ind w:right="216"/>
              <w:spacing w:after="0" w:line="125" w:lineRule="exact"/>
              <w:rPr>
                <w:sz w:val="20"/>
                <w:szCs w:val="20"/>
                <w:color w:val="auto"/>
              </w:rPr>
            </w:pPr>
            <w:r>
              <w:rPr>
                <w:rFonts w:ascii="Arial" w:cs="Arial" w:eastAsia="Arial" w:hAnsi="Arial"/>
                <w:sz w:val="13"/>
                <w:szCs w:val="13"/>
                <w:b w:val="1"/>
                <w:bCs w:val="1"/>
                <w:color w:val="auto"/>
                <w:w w:val="90"/>
              </w:rPr>
              <w:t>Period from</w:t>
            </w:r>
          </w:p>
        </w:tc>
      </w:tr>
      <w:tr>
        <w:trPr>
          <w:trHeight w:val="135"/>
        </w:trPr>
        <w:tc>
          <w:tcPr>
            <w:tcW w:w="2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Derivatives</w:t>
            </w: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236"/>
              <w:spacing w:after="0" w:line="135" w:lineRule="exact"/>
              <w:rPr>
                <w:sz w:val="20"/>
                <w:szCs w:val="20"/>
                <w:color w:val="auto"/>
              </w:rPr>
            </w:pPr>
            <w:r>
              <w:rPr>
                <w:rFonts w:ascii="Arial" w:cs="Arial" w:eastAsia="Arial" w:hAnsi="Arial"/>
                <w:sz w:val="13"/>
                <w:szCs w:val="13"/>
                <w:b w:val="1"/>
                <w:bCs w:val="1"/>
                <w:color w:val="auto"/>
                <w:w w:val="89"/>
              </w:rPr>
              <w:t>February 1, 2020</w:t>
            </w:r>
          </w:p>
        </w:tc>
      </w:tr>
      <w:tr>
        <w:trPr>
          <w:trHeight w:val="135"/>
        </w:trPr>
        <w:tc>
          <w:tcPr>
            <w:tcW w:w="2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not designated</w:t>
            </w:r>
          </w:p>
        </w:tc>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235"/>
              <w:spacing w:after="0" w:line="135" w:lineRule="exact"/>
              <w:rPr>
                <w:sz w:val="20"/>
                <w:szCs w:val="20"/>
                <w:color w:val="auto"/>
              </w:rPr>
            </w:pPr>
            <w:r>
              <w:rPr>
                <w:rFonts w:ascii="Arial" w:cs="Arial" w:eastAsia="Arial" w:hAnsi="Arial"/>
                <w:sz w:val="13"/>
                <w:szCs w:val="13"/>
                <w:b w:val="1"/>
                <w:bCs w:val="1"/>
                <w:color w:val="auto"/>
                <w:w w:val="86"/>
              </w:rPr>
              <w:t>Year 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jc w:val="right"/>
              <w:ind w:right="495"/>
              <w:spacing w:after="0" w:line="135"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256"/>
              <w:spacing w:after="0" w:line="135" w:lineRule="exact"/>
              <w:rPr>
                <w:sz w:val="20"/>
                <w:szCs w:val="20"/>
                <w:color w:val="auto"/>
              </w:rPr>
            </w:pPr>
            <w:r>
              <w:rPr>
                <w:rFonts w:ascii="Arial" w:cs="Arial" w:eastAsia="Arial" w:hAnsi="Arial"/>
                <w:sz w:val="13"/>
                <w:szCs w:val="13"/>
                <w:b w:val="1"/>
                <w:bCs w:val="1"/>
                <w:color w:val="auto"/>
                <w:w w:val="85"/>
              </w:rPr>
              <w:t>through</w:t>
            </w:r>
          </w:p>
        </w:tc>
      </w:tr>
      <w:tr>
        <w:trPr>
          <w:trHeight w:val="135"/>
        </w:trPr>
        <w:tc>
          <w:tcPr>
            <w:tcW w:w="2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as hedging</w:t>
            </w:r>
          </w:p>
        </w:tc>
        <w:tc>
          <w:tcPr>
            <w:tcW w:w="100" w:type="dxa"/>
            <w:vAlign w:val="bottom"/>
          </w:tcPr>
          <w:p>
            <w:pPr>
              <w:spacing w:after="0"/>
              <w:rPr>
                <w:sz w:val="11"/>
                <w:szCs w:val="11"/>
                <w:color w:val="auto"/>
              </w:rPr>
            </w:pP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Income Statement</w:t>
            </w:r>
          </w:p>
        </w:tc>
        <w:tc>
          <w:tcPr>
            <w:tcW w:w="180" w:type="dxa"/>
            <w:vAlign w:val="bottom"/>
          </w:tcPr>
          <w:p>
            <w:pPr>
              <w:spacing w:after="0"/>
              <w:rPr>
                <w:sz w:val="11"/>
                <w:szCs w:val="11"/>
                <w:color w:val="auto"/>
              </w:rPr>
            </w:pPr>
          </w:p>
        </w:tc>
        <w:tc>
          <w:tcPr>
            <w:tcW w:w="1480" w:type="dxa"/>
            <w:vAlign w:val="bottom"/>
          </w:tcPr>
          <w:p>
            <w:pPr>
              <w:jc w:val="center"/>
              <w:ind w:right="195"/>
              <w:spacing w:after="0" w:line="135" w:lineRule="exact"/>
              <w:rPr>
                <w:sz w:val="20"/>
                <w:szCs w:val="20"/>
                <w:color w:val="auto"/>
              </w:rPr>
            </w:pPr>
            <w:r>
              <w:rPr>
                <w:rFonts w:ascii="Arial" w:cs="Arial" w:eastAsia="Arial" w:hAnsi="Arial"/>
                <w:sz w:val="13"/>
                <w:szCs w:val="13"/>
                <w:b w:val="1"/>
                <w:bCs w:val="1"/>
                <w:color w:val="auto"/>
                <w:w w:val="87"/>
              </w:rPr>
              <w:t>December 31, 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jc w:val="center"/>
              <w:ind w:right="195"/>
              <w:spacing w:after="0" w:line="135" w:lineRule="exact"/>
              <w:rPr>
                <w:sz w:val="20"/>
                <w:szCs w:val="20"/>
                <w:color w:val="auto"/>
              </w:rPr>
            </w:pPr>
            <w:r>
              <w:rPr>
                <w:rFonts w:ascii="Arial" w:cs="Arial" w:eastAsia="Arial" w:hAnsi="Arial"/>
                <w:sz w:val="13"/>
                <w:szCs w:val="13"/>
                <w:b w:val="1"/>
                <w:bCs w:val="1"/>
                <w:color w:val="auto"/>
                <w:w w:val="87"/>
              </w:rPr>
              <w:t>December 31, 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216"/>
              <w:spacing w:after="0" w:line="135" w:lineRule="exact"/>
              <w:rPr>
                <w:sz w:val="20"/>
                <w:szCs w:val="20"/>
                <w:color w:val="auto"/>
              </w:rPr>
            </w:pPr>
            <w:r>
              <w:rPr>
                <w:rFonts w:ascii="Arial" w:cs="Arial" w:eastAsia="Arial" w:hAnsi="Arial"/>
                <w:sz w:val="13"/>
                <w:szCs w:val="13"/>
                <w:b w:val="1"/>
                <w:bCs w:val="1"/>
                <w:color w:val="auto"/>
                <w:w w:val="87"/>
              </w:rPr>
              <w:t>December 31, 2020</w:t>
            </w:r>
          </w:p>
        </w:tc>
      </w:tr>
      <w:tr>
        <w:trPr>
          <w:trHeight w:val="165"/>
        </w:trPr>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85"/>
              </w:rPr>
              <w:t>instruments</w:t>
            </w:r>
          </w:p>
        </w:tc>
        <w:tc>
          <w:tcPr>
            <w:tcW w:w="100" w:type="dxa"/>
            <w:vAlign w:val="bottom"/>
          </w:tcPr>
          <w:p>
            <w:pPr>
              <w:spacing w:after="0"/>
              <w:rPr>
                <w:sz w:val="14"/>
                <w:szCs w:val="14"/>
                <w:color w:val="auto"/>
              </w:rPr>
            </w:pPr>
          </w:p>
        </w:tc>
        <w:tc>
          <w:tcPr>
            <w:tcW w:w="2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Location</w:t>
            </w:r>
          </w:p>
        </w:tc>
        <w:tc>
          <w:tcPr>
            <w:tcW w:w="180" w:type="dxa"/>
            <w:vAlign w:val="bottom"/>
          </w:tcPr>
          <w:p>
            <w:pPr>
              <w:spacing w:after="0"/>
              <w:rPr>
                <w:sz w:val="14"/>
                <w:szCs w:val="14"/>
                <w:color w:val="auto"/>
              </w:rPr>
            </w:pPr>
          </w:p>
        </w:tc>
        <w:tc>
          <w:tcPr>
            <w:tcW w:w="1480" w:type="dxa"/>
            <w:vAlign w:val="bottom"/>
          </w:tcPr>
          <w:p>
            <w:pPr>
              <w:jc w:val="center"/>
              <w:ind w:right="195"/>
              <w:spacing w:after="0"/>
              <w:rPr>
                <w:sz w:val="20"/>
                <w:szCs w:val="20"/>
                <w:color w:val="auto"/>
              </w:rPr>
            </w:pPr>
            <w:r>
              <w:rPr>
                <w:rFonts w:ascii="Arial" w:cs="Arial" w:eastAsia="Arial" w:hAnsi="Arial"/>
                <w:sz w:val="13"/>
                <w:szCs w:val="13"/>
                <w:b w:val="1"/>
                <w:bCs w:val="1"/>
                <w:color w:val="auto"/>
                <w:w w:val="83"/>
              </w:rPr>
              <w:t>(Successor)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95"/>
              <w:spacing w:after="0"/>
              <w:rPr>
                <w:sz w:val="20"/>
                <w:szCs w:val="20"/>
                <w:color w:val="auto"/>
              </w:rPr>
            </w:pPr>
            <w:r>
              <w:rPr>
                <w:rFonts w:ascii="Arial" w:cs="Arial" w:eastAsia="Arial" w:hAnsi="Arial"/>
                <w:sz w:val="13"/>
                <w:szCs w:val="13"/>
                <w:b w:val="1"/>
                <w:bCs w:val="1"/>
                <w:color w:val="auto"/>
                <w:w w:val="83"/>
              </w:rPr>
              <w:t>(Successor)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216"/>
              <w:spacing w:after="0"/>
              <w:rPr>
                <w:sz w:val="20"/>
                <w:szCs w:val="20"/>
                <w:color w:val="auto"/>
              </w:rPr>
            </w:pPr>
            <w:r>
              <w:rPr>
                <w:rFonts w:ascii="Arial" w:cs="Arial" w:eastAsia="Arial" w:hAnsi="Arial"/>
                <w:sz w:val="13"/>
                <w:szCs w:val="13"/>
                <w:b w:val="1"/>
                <w:bCs w:val="1"/>
                <w:color w:val="auto"/>
                <w:w w:val="83"/>
              </w:rPr>
              <w:t>(Successor)</w:t>
            </w:r>
          </w:p>
        </w:tc>
      </w:tr>
      <w:tr>
        <w:trPr>
          <w:trHeight w:val="170"/>
        </w:trPr>
        <w:tc>
          <w:tcPr>
            <w:tcW w:w="2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Interest rate swaps</w:t>
            </w:r>
          </w:p>
        </w:tc>
        <w:tc>
          <w:tcPr>
            <w:tcW w:w="100" w:type="dxa"/>
            <w:vAlign w:val="bottom"/>
            <w:shd w:val="clear" w:color="auto" w:fill="CFF0FC"/>
          </w:tcPr>
          <w:p>
            <w:pPr>
              <w:spacing w:after="0"/>
              <w:rPr>
                <w:sz w:val="14"/>
                <w:szCs w:val="14"/>
                <w:color w:val="auto"/>
              </w:rPr>
            </w:pPr>
          </w:p>
        </w:tc>
        <w:tc>
          <w:tcPr>
            <w:tcW w:w="2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Interest expense, net</w:t>
            </w: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4"/>
                <w:szCs w:val="14"/>
                <w:color w:val="auto"/>
              </w:rPr>
              <w:t>12,429</w:t>
            </w: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(4,383 )</w:t>
            </w: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61" w:right="5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8. Income Taxes</w:t>
      </w:r>
    </w:p>
    <w:p>
      <w:pPr>
        <w:spacing w:after="0" w:line="17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Prior to the Silver Lake Transaction, the Company was not a taxable entity. However, the Company’s wholly owned C-corporation subsidiaries were taxable entities. In connection with the Silver Lake Transaction, the Company became a U.S. domiciled corporation for tax purposes. The Company’s income tax expense and balance sheet accounts reflect the results of the Company and its subsidiaries.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domestic and foreign components of income (loss) before provision for income taxes for the year ended December 31, 2022 (Successor), for the year ended December 31, 2021 (Successor), for the period from February 1, 2020 through December 31, 2020 (Successor), and for the period from January 1, 2020 through January 31, 2020 (Predecessor), respectively, were as follows (in thousands):</w:t>
      </w:r>
    </w:p>
    <w:p>
      <w:pPr>
        <w:sectPr>
          <w:pgSz w:w="11900" w:h="16838" w:orient="portrait"/>
          <w:cols w:equalWidth="0" w:num="1">
            <w:col w:w="11080"/>
          </w:cols>
          <w:pgMar w:left="320" w:top="66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0" w:right="120"/>
        <w:spacing w:after="0" w:line="266" w:lineRule="auto"/>
        <w:rPr>
          <w:sz w:val="20"/>
          <w:szCs w:val="20"/>
          <w:color w:val="auto"/>
        </w:rPr>
      </w:pPr>
      <w:r>
        <w:rPr>
          <w:rFonts w:ascii="Arial" w:cs="Arial" w:eastAsia="Arial" w:hAnsi="Arial"/>
          <w:sz w:val="18"/>
          <w:szCs w:val="18"/>
          <w:color w:val="auto"/>
        </w:rPr>
        <w:t>Income (loss) before provision for income taxes from United States operations</w:t>
      </w:r>
    </w:p>
    <w:p>
      <w:pPr>
        <w:ind w:left="580"/>
        <w:spacing w:after="0" w:line="277" w:lineRule="auto"/>
        <w:rPr>
          <w:sz w:val="20"/>
          <w:szCs w:val="20"/>
          <w:color w:val="auto"/>
        </w:rPr>
      </w:pPr>
      <w:r>
        <w:rPr>
          <w:rFonts w:ascii="Arial" w:cs="Arial" w:eastAsia="Arial" w:hAnsi="Arial"/>
          <w:sz w:val="18"/>
          <w:szCs w:val="18"/>
          <w:color w:val="auto"/>
        </w:rPr>
        <w:t>Income before provision for income taxes from foreign operations</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Income (loss) before provision for income taxes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197"/>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2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340" w:type="dxa"/>
            <w:vAlign w:val="bottom"/>
            <w:gridSpan w:val="2"/>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5"/>
        </w:trPr>
        <w:tc>
          <w:tcPr>
            <w:tcW w:w="14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w w:val="96"/>
              </w:rPr>
              <w:t>December 31, 2022</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January 31, 2020</w:t>
            </w:r>
          </w:p>
        </w:tc>
        <w:tc>
          <w:tcPr>
            <w:tcW w:w="0" w:type="dxa"/>
            <w:vAlign w:val="bottom"/>
          </w:tcPr>
          <w:p>
            <w:pPr>
              <w:spacing w:after="0"/>
              <w:rPr>
                <w:sz w:val="1"/>
                <w:szCs w:val="1"/>
                <w:color w:val="auto"/>
              </w:rPr>
            </w:pPr>
          </w:p>
        </w:tc>
      </w:tr>
      <w:tr>
        <w:trPr>
          <w:trHeight w:val="453"/>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46,766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(7,791 )</w:t>
            </w:r>
          </w:p>
        </w:tc>
        <w:tc>
          <w:tcPr>
            <w:tcW w:w="2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(68,008 )</w:t>
            </w:r>
          </w:p>
        </w:tc>
        <w:tc>
          <w:tcPr>
            <w:tcW w:w="100" w:type="dxa"/>
            <w:vAlign w:val="bottom"/>
            <w:tcBorders>
              <w:right w:val="single" w:sz="8" w:color="auto"/>
            </w:tcBorders>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(38,181 )</w:t>
            </w:r>
          </w:p>
        </w:tc>
        <w:tc>
          <w:tcPr>
            <w:tcW w:w="0" w:type="dxa"/>
            <w:vAlign w:val="bottom"/>
          </w:tcPr>
          <w:p>
            <w:pPr>
              <w:spacing w:after="0"/>
              <w:rPr>
                <w:sz w:val="1"/>
                <w:szCs w:val="1"/>
                <w:color w:val="auto"/>
              </w:rPr>
            </w:pPr>
          </w:p>
        </w:tc>
      </w:tr>
      <w:tr>
        <w:trPr>
          <w:trHeight w:val="439"/>
        </w:trPr>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38,313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32,704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9,161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7"/>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85,079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24,913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(58,847 )</w:t>
            </w:r>
          </w:p>
        </w:tc>
        <w:tc>
          <w:tcPr>
            <w:tcW w:w="100" w:type="dxa"/>
            <w:vAlign w:val="bottom"/>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-1177925</wp:posOffset>
            </wp:positionV>
            <wp:extent cx="6412230" cy="11912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6412230" cy="119126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560" w:space="180"/>
            <w:col w:w="6340"/>
          </w:cols>
          <w:pgMar w:left="320" w:top="661" w:right="499" w:bottom="1440" w:gutter="0" w:footer="0" w:header="0"/>
          <w:type w:val="continuous"/>
        </w:sectPr>
      </w:pPr>
    </w:p>
    <w:p>
      <w:pPr>
        <w:ind w:right="20"/>
        <w:spacing w:after="0" w:line="263" w:lineRule="auto"/>
        <w:rPr>
          <w:sz w:val="20"/>
          <w:szCs w:val="20"/>
          <w:color w:val="auto"/>
        </w:rPr>
      </w:pPr>
      <w:r>
        <w:rPr>
          <w:rFonts w:ascii="Arial" w:cs="Arial" w:eastAsia="Arial" w:hAnsi="Arial"/>
          <w:sz w:val="18"/>
          <w:szCs w:val="18"/>
          <w:color w:val="auto"/>
        </w:rPr>
        <w:t>The domestic and foreign components of the provision for income taxes for the year ended December 31, 2022 (Successor), for the year ended December 31, 2021 (Successor), for the period from February 1, 2020 through December 31, 2020 (Successor), and for the period from January 1, 2020 through January 31, 2020 (Predecessor), respectively, were as follows (in thousands):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32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6"/>
              </w:rPr>
              <w:t>December 31, 2022</w:t>
            </w: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January 31, 2020</w:t>
            </w: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4,593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1,994</w:t>
            </w:r>
          </w:p>
        </w:tc>
        <w:tc>
          <w:tcPr>
            <w:tcW w:w="10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9,817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7,618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14,589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11,679</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5,863</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73"/>
        </w:trPr>
        <w:tc>
          <w:tcPr>
            <w:tcW w:w="41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1,773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(16,144 )</w:t>
            </w:r>
          </w:p>
        </w:tc>
        <w:tc>
          <w:tcPr>
            <w:tcW w:w="10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(701 )</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5,030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(784 )</w:t>
            </w:r>
          </w:p>
        </w:tc>
        <w:tc>
          <w:tcPr>
            <w:tcW w:w="1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Total Deferred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5,886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(2,817 )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(17,218 )</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r>
        <w:trPr>
          <w:trHeight w:val="277"/>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20,475</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8,862</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(11,355 )</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5821680</wp:posOffset>
            </wp:positionH>
            <wp:positionV relativeFrom="paragraph">
              <wp:posOffset>-2326640</wp:posOffset>
            </wp:positionV>
            <wp:extent cx="955675" cy="427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955675" cy="4279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-1130935</wp:posOffset>
            </wp:positionV>
            <wp:extent cx="68580" cy="3175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-1460500</wp:posOffset>
            </wp:positionV>
            <wp:extent cx="1903095" cy="6470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1903095" cy="64706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-351155</wp:posOffset>
            </wp:positionV>
            <wp:extent cx="685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-518160</wp:posOffset>
            </wp:positionV>
            <wp:extent cx="2863215" cy="531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2863215" cy="531495"/>
                    </a:xfrm>
                    <a:prstGeom prst="rect">
                      <a:avLst/>
                    </a:prstGeom>
                    <a:noFill/>
                  </pic:spPr>
                </pic:pic>
              </a:graphicData>
            </a:graphic>
          </wp:anchor>
        </w:drawing>
      </w:r>
    </w:p>
    <w:p>
      <w:pPr>
        <w:spacing w:after="0" w:line="12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Predecessor periods, our effective tax rate was significantly impacted by the recognition of valuation allowances against certain deferred tax assets, primarily in the United States. In the Successor period, based upon the weight of all available evidence, the Company no longer maintains a valuation allowance against its deferred tax assets in the United States.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61" w:right="499" w:bottom="1440" w:gutter="0" w:footer="0" w:header="0"/>
          <w:type w:val="continuous"/>
        </w:sectPr>
      </w:pPr>
    </w:p>
    <w:bookmarkStart w:id="107" w:name="page108"/>
    <w:bookmarkEnd w:id="107"/>
    <w:p>
      <w:pPr>
        <w:jc w:val="both"/>
        <w:ind w:right="400"/>
        <w:spacing w:after="0" w:line="311" w:lineRule="auto"/>
        <w:rPr>
          <w:sz w:val="20"/>
          <w:szCs w:val="20"/>
          <w:color w:val="auto"/>
        </w:rPr>
      </w:pPr>
      <w:r>
        <w:rPr>
          <w:rFonts w:ascii="Arial" w:cs="Arial" w:eastAsia="Arial" w:hAnsi="Arial"/>
          <w:sz w:val="16"/>
          <w:szCs w:val="16"/>
          <w:color w:val="auto"/>
        </w:rPr>
        <w:t>The following table reconciles the U.S. statutory federal tax rate of 21% to the Company’s effective income tax rate of 24.07%, 35.57%, 19.29%, and 2.33%, for the year ended December 31, 2022 (Successor), for the year ended December 31, 2021 (Successor), for the period from February 1, 2020 through December 31, 2020 (Successor), and for the period from January 1, 2020 through January 31, 2020 (Predecessor), respectively:</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Successor</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1"/>
                <w:szCs w:val="11"/>
                <w:color w:val="auto"/>
              </w:rPr>
            </w:pPr>
          </w:p>
        </w:tc>
        <w:tc>
          <w:tcPr>
            <w:tcW w:w="1400" w:type="dxa"/>
            <w:vAlign w:val="bottom"/>
            <w:tcBorders>
              <w:top w:val="single" w:sz="8" w:color="auto"/>
            </w:tcBorders>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6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Year Ended</w:t>
            </w: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through</w:t>
            </w: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December 31, 2022</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December 31, 2021</w:t>
            </w:r>
          </w:p>
        </w:tc>
        <w:tc>
          <w:tcPr>
            <w:tcW w:w="80" w:type="dxa"/>
            <w:vAlign w:val="bottom"/>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December 31, 2020</w:t>
            </w:r>
          </w:p>
        </w:tc>
        <w:tc>
          <w:tcPr>
            <w:tcW w:w="80" w:type="dxa"/>
            <w:vAlign w:val="bottom"/>
          </w:tcPr>
          <w:p>
            <w:pPr>
              <w:spacing w:after="0"/>
              <w:rPr>
                <w:sz w:val="16"/>
                <w:szCs w:val="16"/>
                <w:color w:val="auto"/>
              </w:rPr>
            </w:pPr>
          </w:p>
        </w:tc>
        <w:tc>
          <w:tcPr>
            <w:tcW w:w="14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January 31,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U.S. statutory federal tax rate</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21.00 %</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21.00 %</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21.00 %</w:t>
            </w:r>
          </w:p>
        </w:tc>
        <w:tc>
          <w:tcPr>
            <w:tcW w:w="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21.00 %</w:t>
            </w:r>
          </w:p>
        </w:tc>
        <w:tc>
          <w:tcPr>
            <w:tcW w:w="0" w:type="dxa"/>
            <w:vAlign w:val="bottom"/>
          </w:tcPr>
          <w:p>
            <w:pPr>
              <w:spacing w:after="0"/>
              <w:rPr>
                <w:sz w:val="1"/>
                <w:szCs w:val="1"/>
                <w:color w:val="auto"/>
              </w:rPr>
            </w:pPr>
          </w:p>
        </w:tc>
      </w:tr>
      <w:tr>
        <w:trPr>
          <w:trHeight w:val="228"/>
        </w:trPr>
        <w:tc>
          <w:tcPr>
            <w:tcW w:w="4000" w:type="dxa"/>
            <w:vAlign w:val="bottom"/>
          </w:tcPr>
          <w:p>
            <w:pPr>
              <w:spacing w:after="0"/>
              <w:rPr>
                <w:sz w:val="20"/>
                <w:szCs w:val="20"/>
                <w:color w:val="auto"/>
              </w:rPr>
            </w:pPr>
            <w:r>
              <w:rPr>
                <w:rFonts w:ascii="Arial" w:cs="Arial" w:eastAsia="Arial" w:hAnsi="Arial"/>
                <w:sz w:val="18"/>
                <w:szCs w:val="18"/>
                <w:color w:val="auto"/>
              </w:rPr>
              <w:t>State and local income taxes – net of federal tax</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benefits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(5.32 )</w:t>
            </w:r>
          </w:p>
        </w:tc>
        <w:tc>
          <w:tcPr>
            <w:tcW w:w="80" w:type="dxa"/>
            <w:vAlign w:val="bottom"/>
          </w:tcPr>
          <w:p>
            <w:pPr>
              <w:spacing w:after="0"/>
              <w:rPr>
                <w:sz w:val="20"/>
                <w:szCs w:val="20"/>
                <w:color w:val="auto"/>
              </w:rPr>
            </w:pPr>
          </w:p>
        </w:tc>
        <w:tc>
          <w:tcPr>
            <w:tcW w:w="144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(1.50 )</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(0.99 )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difference</w:t>
            </w: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FF0FC"/>
          </w:tcPr>
          <w:p>
            <w:pPr>
              <w:spacing w:after="0"/>
              <w:rPr>
                <w:sz w:val="21"/>
                <w:szCs w:val="21"/>
                <w:color w:val="auto"/>
              </w:rPr>
            </w:pPr>
          </w:p>
        </w:tc>
        <w:tc>
          <w:tcPr>
            <w:tcW w:w="1440" w:type="dxa"/>
            <w:vAlign w:val="bottom"/>
            <w:tcBorders>
              <w:right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(0.14 )</w:t>
            </w:r>
          </w:p>
        </w:tc>
        <w:tc>
          <w:tcPr>
            <w:tcW w:w="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Change in valuation allowances</w:t>
            </w:r>
          </w:p>
        </w:tc>
        <w:tc>
          <w:tcPr>
            <w:tcW w:w="1500" w:type="dxa"/>
            <w:vAlign w:val="bottom"/>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(2.72 )</w:t>
            </w:r>
          </w:p>
        </w:tc>
        <w:tc>
          <w:tcPr>
            <w:tcW w:w="80" w:type="dxa"/>
            <w:vAlign w:val="bottom"/>
          </w:tcPr>
          <w:p>
            <w:pPr>
              <w:spacing w:after="0"/>
              <w:rPr>
                <w:sz w:val="20"/>
                <w:szCs w:val="20"/>
                <w:color w:val="auto"/>
              </w:rPr>
            </w:pPr>
          </w:p>
        </w:tc>
        <w:tc>
          <w:tcPr>
            <w:tcW w:w="1440" w:type="dxa"/>
            <w:vAlign w:val="bottom"/>
            <w:tcBorders>
              <w:right w:val="single" w:sz="8" w:color="auto"/>
            </w:tcBorders>
          </w:tcPr>
          <w:p>
            <w:pPr>
              <w:jc w:val="right"/>
              <w:ind w:right="95"/>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GILTI inclusion</w:t>
            </w: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FF0FC"/>
          </w:tcPr>
          <w:p>
            <w:pPr>
              <w:spacing w:after="0"/>
              <w:rPr>
                <w:sz w:val="21"/>
                <w:szCs w:val="21"/>
                <w:color w:val="auto"/>
              </w:rPr>
            </w:pPr>
          </w:p>
        </w:tc>
        <w:tc>
          <w:tcPr>
            <w:tcW w:w="1440" w:type="dxa"/>
            <w:vAlign w:val="bottom"/>
            <w:tcBorders>
              <w:right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Transaction cost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0"/>
                <w:szCs w:val="20"/>
                <w:color w:val="auto"/>
              </w:rPr>
            </w:pPr>
          </w:p>
        </w:tc>
        <w:tc>
          <w:tcPr>
            <w:tcW w:w="144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(1.09 )</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FF0FC"/>
          </w:tcPr>
          <w:p>
            <w:pPr>
              <w:spacing w:after="0"/>
              <w:rPr>
                <w:sz w:val="21"/>
                <w:szCs w:val="21"/>
                <w:color w:val="auto"/>
              </w:rPr>
            </w:pPr>
          </w:p>
        </w:tc>
        <w:tc>
          <w:tcPr>
            <w:tcW w:w="1440" w:type="dxa"/>
            <w:vAlign w:val="bottom"/>
            <w:tcBorders>
              <w:right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(0.40 )</w:t>
            </w:r>
          </w:p>
        </w:tc>
        <w:tc>
          <w:tcPr>
            <w:tcW w:w="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Rate change impact</w:t>
            </w:r>
          </w:p>
        </w:tc>
        <w:tc>
          <w:tcPr>
            <w:tcW w:w="1500" w:type="dxa"/>
            <w:vAlign w:val="bottom"/>
          </w:tcPr>
          <w:p>
            <w:pPr>
              <w:jc w:val="right"/>
              <w:spacing w:after="0"/>
              <w:rPr>
                <w:sz w:val="20"/>
                <w:szCs w:val="20"/>
                <w:color w:val="auto"/>
              </w:rPr>
            </w:pPr>
            <w:r>
              <w:rPr>
                <w:rFonts w:ascii="Arial" w:cs="Arial" w:eastAsia="Arial" w:hAnsi="Arial"/>
                <w:sz w:val="18"/>
                <w:szCs w:val="18"/>
                <w:color w:val="auto"/>
              </w:rPr>
              <w:t>(0.43 )</w:t>
            </w:r>
          </w:p>
        </w:tc>
        <w:tc>
          <w:tcPr>
            <w:tcW w:w="1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0"/>
                <w:szCs w:val="20"/>
                <w:color w:val="auto"/>
              </w:rPr>
            </w:pPr>
          </w:p>
        </w:tc>
        <w:tc>
          <w:tcPr>
            <w:tcW w:w="1440" w:type="dxa"/>
            <w:vAlign w:val="bottom"/>
            <w:tcBorders>
              <w:right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US research and development credit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(1.44 )</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(7.15 )</w:t>
            </w:r>
          </w:p>
        </w:tc>
        <w:tc>
          <w:tcPr>
            <w:tcW w:w="80" w:type="dxa"/>
            <w:vAlign w:val="bottom"/>
            <w:shd w:val="clear" w:color="auto" w:fill="CFF0FC"/>
          </w:tcPr>
          <w:p>
            <w:pPr>
              <w:spacing w:after="0"/>
              <w:rPr>
                <w:sz w:val="21"/>
                <w:szCs w:val="21"/>
                <w:color w:val="auto"/>
              </w:rPr>
            </w:pPr>
          </w:p>
        </w:tc>
        <w:tc>
          <w:tcPr>
            <w:tcW w:w="1440" w:type="dxa"/>
            <w:vAlign w:val="bottom"/>
            <w:tcBorders>
              <w:right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Withholding tax</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1"/>
                <w:szCs w:val="21"/>
                <w:color w:val="auto"/>
              </w:rPr>
            </w:pPr>
          </w:p>
        </w:tc>
        <w:tc>
          <w:tcPr>
            <w:tcW w:w="144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(1.90 )</w:t>
            </w:r>
          </w:p>
        </w:tc>
        <w:tc>
          <w:tcPr>
            <w:tcW w:w="8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(0.01 )</w:t>
            </w:r>
          </w:p>
        </w:tc>
        <w:tc>
          <w:tcPr>
            <w:tcW w:w="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right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(0.24 )</w:t>
            </w:r>
          </w:p>
        </w:tc>
        <w:tc>
          <w:tcPr>
            <w:tcW w:w="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Effective tax rate</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24.07 %</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35.57 %</w:t>
            </w:r>
          </w:p>
        </w:tc>
        <w:tc>
          <w:tcPr>
            <w:tcW w:w="1440" w:type="dxa"/>
            <w:vAlign w:val="bottom"/>
          </w:tcPr>
          <w:p>
            <w:pPr>
              <w:jc w:val="right"/>
              <w:spacing w:after="0"/>
              <w:rPr>
                <w:sz w:val="20"/>
                <w:szCs w:val="20"/>
                <w:color w:val="auto"/>
              </w:rPr>
            </w:pPr>
            <w:r>
              <w:rPr>
                <w:rFonts w:ascii="Arial" w:cs="Arial" w:eastAsia="Arial" w:hAnsi="Arial"/>
                <w:sz w:val="18"/>
                <w:szCs w:val="18"/>
                <w:color w:val="auto"/>
              </w:rPr>
              <w:t>19.29 %</w:t>
            </w:r>
          </w:p>
        </w:tc>
        <w:tc>
          <w:tcPr>
            <w:tcW w:w="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-2438400</wp:posOffset>
            </wp:positionV>
            <wp:extent cx="6412230" cy="5702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6412230" cy="57023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-187960</wp:posOffset>
            </wp:positionV>
            <wp:extent cx="60325"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-354965</wp:posOffset>
            </wp:positionV>
            <wp:extent cx="1903095" cy="3683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1903095" cy="368300"/>
                    </a:xfrm>
                    <a:prstGeom prst="rect">
                      <a:avLst/>
                    </a:prstGeom>
                    <a:noFill/>
                  </pic:spPr>
                </pic:pic>
              </a:graphicData>
            </a:graphic>
          </wp:anchor>
        </w:drawing>
      </w:r>
    </w:p>
    <w:p>
      <w:pPr>
        <w:spacing w:after="0" w:line="12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March 18, 2020, the Families First Coronavirus Response Act, and on March 27, 2020, the Coronavirus Aid, Relief, and Economic Security Act were each enacted in response to the COVID-19 pandemic. Some of the key tax-related provisions benefiting the Company include favorable modifications to the limitation on the deductibility of business interest and payroll tax deferral. As a result of the adjustment to the business interest limitations by these laws, the Company was eligible to increase its deductible interest expense for the period from February 1, 2020 through December 31, 2020 (Successor) and for the period from January 1, 2020 through January 31, 2020 (Predecessor).</w:t>
      </w:r>
    </w:p>
    <w:p>
      <w:pPr>
        <w:spacing w:after="0" w:line="12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On August 16, 2022, the Inflation Reduction Act (“IRA”) was signed into law in the U.S. Some of the key provisions included in the IRA include implementation of a new alternative minimum tax, an excise tax on stock buybacks, and significant tax incentives for energy and climate initiatives. The Company has determined that the IRA had no significant impact on the Company as of and for the year ended December 31, 2022 (Successor).</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2022 (Successor), the Company had approximately $69.2 million of accumulated unremitted earnings generated by its foreign subsidiaries. Under the U.S. Tax Cuts and Jobs Act of 2017 (“2017 Tax Act”), a portion of these earnings was subject to U.S. federal taxation with the one-time transition tax. With the exception of certain unremitted earnings in India and China, the Company asserted indefinite reinvestment on its unremitted earnings as well as any other additional outside basis differences of its foreign subsidiaries at December 31, 2022. Any future reversals could be subject to additional foreign withholding taxes, U.S. state taxes, and certain tax impacts relating to foreign currency exchange effects on any future repatriations of the unremitted earnings.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The primary components of temporary differences that give rise to the Company’s net deferred tax liability as of December 31, 2022 and 2021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consist of the following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233"/>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center"/>
              <w:ind w:right="253"/>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2021</w:t>
            </w:r>
          </w:p>
        </w:tc>
      </w:tr>
      <w:tr>
        <w:trPr>
          <w:trHeight w:val="237"/>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Federal net operating loss carryforwards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25,227</w:t>
            </w:r>
          </w:p>
        </w:tc>
      </w:tr>
      <w:tr>
        <w:trPr>
          <w:trHeight w:val="24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State net operating loss carryforwards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6,782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8,172</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Foreign net operating loss carryforwards</w:t>
            </w:r>
          </w:p>
        </w:tc>
        <w:tc>
          <w:tcPr>
            <w:tcW w:w="20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4,888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5,556</w:t>
            </w:r>
          </w:p>
        </w:tc>
      </w:tr>
      <w:tr>
        <w:trPr>
          <w:trHeight w:val="24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172</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Bad debt reserves</w:t>
            </w:r>
          </w:p>
        </w:tc>
        <w:tc>
          <w:tcPr>
            <w:tcW w:w="20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203</w:t>
            </w:r>
          </w:p>
        </w:tc>
      </w:tr>
      <w:tr>
        <w:trPr>
          <w:trHeight w:val="24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1,563</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3,118</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586</w:t>
            </w:r>
          </w:p>
        </w:tc>
      </w:tr>
      <w:tr>
        <w:trPr>
          <w:trHeight w:val="24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loss reserves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1,802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2,346</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Other deferred tax assets</w:t>
            </w:r>
          </w:p>
        </w:tc>
        <w:tc>
          <w:tcPr>
            <w:tcW w:w="20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5,890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9,382</w:t>
            </w:r>
          </w:p>
        </w:tc>
      </w:tr>
      <w:tr>
        <w:trPr>
          <w:trHeight w:val="249"/>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Valuation allowances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(2,367 )</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22,810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52,395</w:t>
            </w:r>
          </w:p>
        </w:tc>
      </w:tr>
      <w:tr>
        <w:trPr>
          <w:trHeight w:val="236"/>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Trade name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(17,632 )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(19,809 )</w:t>
            </w:r>
          </w:p>
        </w:tc>
      </w:tr>
      <w:tr>
        <w:trPr>
          <w:trHeight w:val="24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(11,703 )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(7,340 )</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Depreciable and other amortizable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(77,127 )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(107,080 )</w:t>
            </w:r>
          </w:p>
        </w:tc>
      </w:tr>
      <w:tr>
        <w:trPr>
          <w:trHeight w:val="249"/>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deferred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(1,406 )</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(110,944 )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(135,635 )</w:t>
            </w:r>
          </w:p>
        </w:tc>
      </w:tr>
      <w:tr>
        <w:trPr>
          <w:trHeight w:val="276"/>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liability</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(88,134 )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-1293495</wp:posOffset>
            </wp:positionV>
            <wp:extent cx="939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-350520</wp:posOffset>
            </wp:positionV>
            <wp:extent cx="939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93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93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December 31, 2022 and 2021 (Successor), the Company believes that federal, state, and foreign net operating loss carryforwards will be available to reduce future taxable income after taking into account various federal and foreign limitations on the utilization of such net operating loss carryforwards. The net operating loss carryforward balances as of December 31, 2022 and 2021 (Successor), are as follows (in thousands):</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23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center"/>
              <w:ind w:right="258"/>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2021</w:t>
            </w:r>
          </w:p>
        </w:tc>
      </w:tr>
      <w:tr>
        <w:trPr>
          <w:trHeight w:val="23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10,970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120,130</w:t>
            </w:r>
          </w:p>
        </w:tc>
      </w:t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20"/>
                <w:szCs w:val="20"/>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125,989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147,539</w:t>
            </w:r>
          </w:p>
        </w:tc>
      </w:tr>
      <w:tr>
        <w:trPr>
          <w:trHeight w:val="249"/>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24,207</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25,063</w:t>
            </w:r>
          </w:p>
        </w:tc>
      </w:tr>
      <w:tr>
        <w:trPr>
          <w:trHeight w:val="230"/>
        </w:trPr>
        <w:tc>
          <w:tcPr>
            <w:tcW w:w="68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161,166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292,732</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-187960</wp:posOffset>
            </wp:positionV>
            <wp:extent cx="939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2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Company has approximately $4.4 million and $5.0 million of research and development credit carryforwards as of December 31, 2022 and 2021 (Successor). The Company’s remaining research and development credit carryforwards will expire beginning in 2039. The Company believes that the research and development credit carryforwards will be utilized to reduce future tax liability before they expire.</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After consideration of all of the evidence, the Company has determined that a valuation allowance of approximately $1.5 million and $2.4 million is necessary as of December 31, 2022 and 2021 (Successor), respectively, primarily for certain foreign net operating loss carryforwards. The decrease in the valuation allowance in 2022 is primarily due to the utilization of some of the net operating loss carryforwards during the year and revaluation of the remaining net operating loss carryforwards at December 31, 2022.</w:t>
      </w:r>
    </w:p>
    <w:p>
      <w:pPr>
        <w:spacing w:after="0" w:line="1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is no longer subject to U.S. federal examinations by tax authorities for years before 2012, and state, local, and non-U.S. income tax examinations by tax authorities before 2005.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03" w:right="439" w:bottom="1440" w:gutter="0" w:footer="0" w:header="0"/>
        </w:sectPr>
      </w:pPr>
    </w:p>
    <w:bookmarkStart w:id="109" w:name="page110"/>
    <w:bookmarkEnd w:id="109"/>
    <w:p>
      <w:pPr>
        <w:ind w:right="100"/>
        <w:spacing w:after="0" w:line="263" w:lineRule="auto"/>
        <w:rPr>
          <w:sz w:val="20"/>
          <w:szCs w:val="20"/>
          <w:color w:val="auto"/>
        </w:rPr>
      </w:pPr>
      <w:r>
        <w:rPr>
          <w:rFonts w:ascii="Arial" w:cs="Arial" w:eastAsia="Arial" w:hAnsi="Arial"/>
          <w:sz w:val="18"/>
          <w:szCs w:val="18"/>
          <w:color w:val="auto"/>
        </w:rPr>
        <w:t>The aggregate changes in the balance of our gross unrecognized tax benefits, excluding accrued interest, for the year ended December 31, 2022 (Successor), for the year ended December 31, 2021 (Successor), for the period from February 1, 2020 through December 31, 2020 (Successor), and for the period from January 1, 2020 through January 31, 2020 (Predecessor), were as follows (in thousands):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196"/>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340" w:type="dxa"/>
            <w:vAlign w:val="bottom"/>
            <w:gridSpan w:val="2"/>
          </w:tcPr>
          <w:p>
            <w:pPr>
              <w:jc w:val="center"/>
              <w:ind w:right="56"/>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44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w w:val="96"/>
              </w:rPr>
              <w:t>December 31, 2022</w:t>
            </w:r>
          </w:p>
        </w:tc>
        <w:tc>
          <w:tcPr>
            <w:tcW w:w="10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January 31, 2020</w:t>
            </w: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1,290</w:t>
            </w: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Increases for tax positions related to prior years</w:t>
            </w: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Decreases for tax positions related to prior years</w:t>
            </w: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1,399</w:t>
            </w:r>
          </w:p>
        </w:tc>
        <w:tc>
          <w:tcPr>
            <w:tcW w:w="2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-1066800</wp:posOffset>
            </wp:positionV>
            <wp:extent cx="964565" cy="4286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964565" cy="42862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-187960</wp:posOffset>
            </wp:positionV>
            <wp:extent cx="6858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-354965</wp:posOffset>
            </wp:positionV>
            <wp:extent cx="1911350" cy="3683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1911350" cy="368300"/>
                    </a:xfrm>
                    <a:prstGeom prst="rect">
                      <a:avLst/>
                    </a:prstGeom>
                    <a:noFill/>
                  </pic:spPr>
                </pic:pic>
              </a:graphicData>
            </a:graphic>
          </wp:anchor>
        </w:drawing>
      </w:r>
    </w:p>
    <w:p>
      <w:pPr>
        <w:spacing w:after="0" w:line="12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income tax benefit of approximately $1.0 million would be recorded if these unrecognized tax benefits are recognized. The Company believes it is reasonably possible that its liability for unrecognized tax benefits will decrease in the next twelve months. The Company recognizes accrued interest related to unrecognized tax benefits in interest expense and penalties in income tax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Accordingly, in any period, the Company does not recognize a significant amount of revenues from performance obligations satisfied or partially satisfied in prior periods and the amount of such revenues recognized for the year ended December 31, 2022 (Successor), for the year ended December 31, 2021 (Successor), for the period from February 1, 2020 through December 31, 2020 (Successor), and for the period from January 1, 2020 through January 31, 2020 (Predecessor) were immaterial.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contract asset balance was $6.5 million and $7.4 million as of December 31, 2022 and 2021 (Successor), respectively, and is included in accounts receivable, net in the accompanying consolidated balance sheets. The contract liability balance was $1.1 million and $0.9 million as of December 31, 2022 and 2021 (Successor), respectively, and is included in deferred revenues in the accompanying consolidated balance sheets. An immaterial amount of revenue was recognized in the current period related to the beginning balance of deferred revenues.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7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Share-based compensation expense is recognized in cost of services, product and technology expense, and selling, general, and administrative expense, in the accompanying consolidated statements of operations and comprehensive income (loss) as follows (in thousands):</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196"/>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340" w:type="dxa"/>
            <w:vAlign w:val="bottom"/>
            <w:gridSpan w:val="2"/>
          </w:tcPr>
          <w:p>
            <w:pPr>
              <w:jc w:val="center"/>
              <w:ind w:right="56"/>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January 31, 2020</w:t>
            </w:r>
          </w:p>
        </w:tc>
        <w:tc>
          <w:tcPr>
            <w:tcW w:w="0" w:type="dxa"/>
            <w:vAlign w:val="bottom"/>
          </w:tcPr>
          <w:p>
            <w:pPr>
              <w:spacing w:after="0"/>
              <w:rPr>
                <w:sz w:val="1"/>
                <w:szCs w:val="1"/>
                <w:color w:val="auto"/>
              </w:rPr>
            </w:pPr>
          </w:p>
        </w:tc>
      </w:tr>
      <w:tr>
        <w:trPr>
          <w:trHeight w:val="23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163</w:t>
            </w:r>
          </w:p>
        </w:tc>
        <w:tc>
          <w:tcPr>
            <w:tcW w:w="2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100</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Product and technology expense</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179</w:t>
            </w:r>
          </w:p>
        </w:tc>
        <w:tc>
          <w:tcPr>
            <w:tcW w:w="10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8,908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77"/>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7,856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9,530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-1220470</wp:posOffset>
            </wp:positionV>
            <wp:extent cx="964565" cy="4279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964565" cy="4279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596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-354965</wp:posOffset>
            </wp:positionV>
            <wp:extent cx="1003300" cy="3683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1003300" cy="3683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 Plan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Prior to the Silver Lake Transaction, all share-based awards were issued to employees under the Predecessor Plan. This plan was dissolved as of the closing date of the Silver Lake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Class B awards issued under the Predecessor Plan consisted of options and profits interests and generally vested over five years at a rate of 20% per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Class B options issued under the Predecessor Plan generally expired ten years after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Class C awards issued under the Predecessor Plan consisted of options and profits interests and generally vested based on two criteria (50% each): (1) Time</w:t>
      </w:r>
    </w:p>
    <w:p>
      <w:pPr>
        <w:spacing w:after="0" w:line="4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 awards vested over five years at a rate of 20% per year; and (2) Performance — awards vested based on the Company achieving certain revenue growth and EBITDA targets or on achieving certain enterprise value targets upon the sale of the Company. The Class C options issued under the Predecessor Plan generally expired ten years after the grant date.</w:t>
      </w:r>
    </w:p>
    <w:p>
      <w:pPr>
        <w:spacing w:after="0" w:line="13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1,700,051 Class B profits interests and 12,621,955 Class C profits interests under the Predecessor Plan for the period from January 1, 2020 through January 31, 2020 (Predecessor). As of January 31, 2020, all profit interest grants were vested.</w:t>
      </w:r>
    </w:p>
    <w:p>
      <w:pPr>
        <w:spacing w:after="0" w:line="11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As a result of the Silver Lake Transaction, certain awards issued under the Predecessor Plan were granted accelerated vesting upon the closing of the transaction.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the Company recorded the additional associated expense of approximately $3.9 million in the period from January 1, 2020 through January 31, 2020 (Predecessor). All remaining unvested awards were forfeited.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option unit activity under the Predecessor Plan for the period from January 1, 2020 to January 31, 2020 (Predecessor)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7"/>
              </w:rPr>
              <w:t>Class B</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7"/>
              </w:rPr>
              <w:t>Class C</w:t>
            </w:r>
          </w:p>
        </w:tc>
        <w:tc>
          <w:tcPr>
            <w:tcW w:w="10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295"/>
              <w:spacing w:after="0" w:line="133" w:lineRule="exact"/>
              <w:rPr>
                <w:sz w:val="20"/>
                <w:szCs w:val="20"/>
                <w:color w:val="auto"/>
              </w:rPr>
            </w:pPr>
            <w:r>
              <w:rPr>
                <w:rFonts w:ascii="Arial" w:cs="Arial" w:eastAsia="Arial" w:hAnsi="Arial"/>
                <w:sz w:val="14"/>
                <w:szCs w:val="14"/>
                <w:b w:val="1"/>
                <w:bCs w:val="1"/>
                <w:color w:val="auto"/>
                <w:w w:val="98"/>
              </w:rPr>
              <w:t>Weighted</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295"/>
              <w:spacing w:after="0" w:line="133" w:lineRule="exact"/>
              <w:rPr>
                <w:sz w:val="20"/>
                <w:szCs w:val="20"/>
                <w:color w:val="auto"/>
              </w:rPr>
            </w:pPr>
            <w:r>
              <w:rPr>
                <w:rFonts w:ascii="Arial" w:cs="Arial" w:eastAsia="Arial" w:hAnsi="Arial"/>
                <w:sz w:val="14"/>
                <w:szCs w:val="14"/>
                <w:b w:val="1"/>
                <w:bCs w:val="1"/>
                <w:color w:val="auto"/>
                <w:w w:val="98"/>
              </w:rPr>
              <w:t>Weighted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9"/>
              </w:rPr>
              <w:t>Average Exercise</w:t>
            </w:r>
          </w:p>
        </w:tc>
        <w:tc>
          <w:tcPr>
            <w:tcW w:w="100" w:type="dxa"/>
            <w:vAlign w:val="bottom"/>
          </w:tcPr>
          <w:p>
            <w:pPr>
              <w:spacing w:after="0"/>
              <w:rPr>
                <w:sz w:val="12"/>
                <w:szCs w:val="12"/>
                <w:color w:val="auto"/>
              </w:rPr>
            </w:pPr>
          </w:p>
        </w:tc>
        <w:tc>
          <w:tcPr>
            <w:tcW w:w="11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2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Price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outstanding</w:t>
            </w:r>
          </w:p>
        </w:tc>
        <w:tc>
          <w:tcPr>
            <w:tcW w:w="9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331,666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3,788,768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2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92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(72,500 )</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1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January 31, 2020</w:t>
            </w:r>
          </w:p>
        </w:tc>
        <w:tc>
          <w:tcPr>
            <w:tcW w:w="24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Grants outstanding</w:t>
            </w:r>
          </w:p>
        </w:tc>
        <w:tc>
          <w:tcPr>
            <w:tcW w:w="9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331,666</w:t>
            </w:r>
          </w:p>
        </w:tc>
        <w:tc>
          <w:tcPr>
            <w:tcW w:w="3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3,716,268</w:t>
            </w:r>
          </w:p>
        </w:tc>
        <w:tc>
          <w:tcPr>
            <w:tcW w:w="3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January 31, 2020</w:t>
            </w:r>
          </w:p>
        </w:tc>
        <w:tc>
          <w:tcPr>
            <w:tcW w:w="2420" w:type="dxa"/>
            <w:vAlign w:val="bottom"/>
          </w:tcPr>
          <w:p>
            <w:pPr>
              <w:ind w:left="220"/>
              <w:spacing w:after="0"/>
              <w:rPr>
                <w:sz w:val="20"/>
                <w:szCs w:val="20"/>
                <w:color w:val="auto"/>
              </w:rPr>
            </w:pPr>
            <w:r>
              <w:rPr>
                <w:rFonts w:ascii="Arial" w:cs="Arial" w:eastAsia="Arial" w:hAnsi="Arial"/>
                <w:sz w:val="18"/>
                <w:szCs w:val="18"/>
                <w:color w:val="auto"/>
              </w:rPr>
              <w:t>Grants vested</w:t>
            </w:r>
          </w:p>
        </w:tc>
        <w:tc>
          <w:tcPr>
            <w:tcW w:w="2120" w:type="dxa"/>
            <w:vAlign w:val="bottom"/>
            <w:gridSpan w:val="2"/>
          </w:tcPr>
          <w:p>
            <w:pPr>
              <w:jc w:val="right"/>
              <w:ind w:right="37"/>
              <w:spacing w:after="0"/>
              <w:rPr>
                <w:sz w:val="20"/>
                <w:szCs w:val="20"/>
                <w:color w:val="auto"/>
              </w:rPr>
            </w:pPr>
            <w:r>
              <w:rPr>
                <w:rFonts w:ascii="Arial" w:cs="Arial" w:eastAsia="Arial" w:hAnsi="Arial"/>
                <w:sz w:val="18"/>
                <w:szCs w:val="18"/>
                <w:color w:val="auto"/>
              </w:rPr>
              <w:t>271,666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19"/>
              <w:spacing w:after="0"/>
              <w:rPr>
                <w:sz w:val="20"/>
                <w:szCs w:val="20"/>
                <w:color w:val="auto"/>
              </w:rPr>
            </w:pPr>
            <w:r>
              <w:rPr>
                <w:rFonts w:ascii="Arial" w:cs="Arial" w:eastAsia="Arial" w:hAnsi="Arial"/>
                <w:sz w:val="18"/>
                <w:szCs w:val="18"/>
                <w:color w:val="auto"/>
              </w:rPr>
              <w:t>3,206,998</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January 31, 2020</w:t>
            </w:r>
          </w:p>
        </w:tc>
        <w:tc>
          <w:tcPr>
            <w:tcW w:w="2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unvested</w:t>
            </w:r>
          </w:p>
        </w:tc>
        <w:tc>
          <w:tcPr>
            <w:tcW w:w="212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60,000</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1.45</w:t>
            </w: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509,270</w:t>
            </w: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20" w:type="dxa"/>
            <w:vAlign w:val="bottom"/>
            <w:gridSpan w:val="2"/>
          </w:tcPr>
          <w:p>
            <w:pPr>
              <w:jc w:val="right"/>
              <w:ind w:right="857"/>
              <w:spacing w:after="0"/>
              <w:rPr>
                <w:sz w:val="20"/>
                <w:szCs w:val="20"/>
                <w:color w:val="auto"/>
              </w:rPr>
            </w:pPr>
            <w:r>
              <w:rPr>
                <w:rFonts w:ascii="Arial" w:cs="Arial" w:eastAsia="Arial" w:hAnsi="Arial"/>
                <w:sz w:val="18"/>
                <w:szCs w:val="18"/>
                <w:color w:val="auto"/>
              </w:rPr>
              <w:t>F-28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-685165</wp:posOffset>
            </wp:positionV>
            <wp:extent cx="1722755"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172275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Successor Plan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Prior to the IPO, all share-based awards were issued by Fastball Holdco, L.P., the Company’s previous parent company, under individual grant agreements and the partnership agreement of such parent company (collectively the “Successor Plan”).</w:t>
      </w:r>
    </w:p>
    <w:p>
      <w:pPr>
        <w:spacing w:after="0" w:line="11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Awards issued under the Successor Plan consist of options and profits interests and vest based on two criteria (50% each): (1) Time — awards vest over five years at a rate of 20% per year; and (2) Performance — awards vest based upon a combination of the five year time vesting, subject to the Company’s investors receiving a targeted money-on-money return. Options issued under the Successor Plan generally expire ten years after the grant date. No awards were issued under the plan during the period from January 1, 2021 through December 31, 2021 (Successor).</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for awards granted during the period from February 1, 2020 through December 31, 2020 (Successor) was estimated at the date of grant using the Black-Scholes option-pricing model with the following weighed average assumptions:</w:t>
      </w:r>
    </w:p>
    <w:p>
      <w:pPr>
        <w:spacing w:after="0" w:line="121"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Period from</w:t>
      </w:r>
    </w:p>
    <w:p>
      <w:pPr>
        <w:ind w:left="8440"/>
        <w:spacing w:after="0" w:line="226" w:lineRule="auto"/>
        <w:rPr>
          <w:sz w:val="20"/>
          <w:szCs w:val="20"/>
          <w:color w:val="auto"/>
        </w:rPr>
      </w:pPr>
      <w:r>
        <w:rPr>
          <w:rFonts w:ascii="Arial" w:cs="Arial" w:eastAsia="Arial" w:hAnsi="Arial"/>
          <w:sz w:val="14"/>
          <w:szCs w:val="14"/>
          <w:b w:val="1"/>
          <w:bCs w:val="1"/>
          <w:color w:val="auto"/>
        </w:rPr>
        <w:t>February 1, 2020</w:t>
      </w:r>
    </w:p>
    <w:p>
      <w:pPr>
        <w:ind w:left="8140"/>
        <w:spacing w:after="0"/>
        <w:rPr>
          <w:sz w:val="20"/>
          <w:szCs w:val="20"/>
          <w:color w:val="auto"/>
        </w:rPr>
      </w:pPr>
      <w:r>
        <w:rPr>
          <w:rFonts w:ascii="Arial" w:cs="Arial" w:eastAsia="Arial" w:hAnsi="Arial"/>
          <w:sz w:val="14"/>
          <w:szCs w:val="14"/>
          <w:b w:val="1"/>
          <w:bCs w:val="1"/>
          <w:color w:val="auto"/>
        </w:rPr>
        <w:t>through December 31, 2020</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B</w:t>
            </w:r>
          </w:p>
        </w:tc>
        <w:tc>
          <w:tcPr>
            <w:tcW w:w="5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Class C</w:t>
            </w:r>
          </w:p>
        </w:tc>
        <w:tc>
          <w:tcPr>
            <w:tcW w:w="60" w:type="dxa"/>
            <w:vAlign w:val="bottom"/>
          </w:tcPr>
          <w:p>
            <w:pPr>
              <w:spacing w:after="0"/>
              <w:rPr>
                <w:sz w:val="14"/>
                <w:szCs w:val="14"/>
                <w:color w:val="auto"/>
              </w:rPr>
            </w:pPr>
          </w:p>
        </w:tc>
      </w:tr>
      <w:tr>
        <w:trPr>
          <w:trHeight w:val="224"/>
        </w:trPr>
        <w:tc>
          <w:tcPr>
            <w:tcW w:w="68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30.90 %</w:t>
            </w:r>
          </w:p>
        </w:tc>
        <w:tc>
          <w:tcPr>
            <w:tcW w:w="3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30.08 %</w:t>
            </w:r>
          </w:p>
        </w:tc>
      </w:tr>
      <w:tr>
        <w:trPr>
          <w:trHeight w:val="249"/>
        </w:trPr>
        <w:tc>
          <w:tcPr>
            <w:tcW w:w="6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1.28 %</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5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21"/>
                <w:szCs w:val="2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Estimated fair-value of the underlying unit</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10.06</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-608330</wp:posOffset>
            </wp:positionV>
            <wp:extent cx="641223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4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summary of the profits interest unit activity under the Successor Plan for the period from February 1, 2020 through December 31, 2020 (Successor) and the year ended December 31, 2021 (Successor) is as follows: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7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Class C Units</w:t>
            </w:r>
          </w:p>
        </w:tc>
      </w:tr>
      <w:tr>
        <w:trPr>
          <w:trHeight w:val="237"/>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February 1, 2020</w:t>
            </w:r>
          </w:p>
        </w:tc>
        <w:tc>
          <w:tcPr>
            <w:tcW w:w="6340" w:type="dxa"/>
            <w:vAlign w:val="bottom"/>
            <w:shd w:val="clear" w:color="auto" w:fill="CFF0FC"/>
          </w:tcPr>
          <w:p>
            <w:pPr>
              <w:ind w:left="540"/>
              <w:spacing w:after="0"/>
              <w:rPr>
                <w:sz w:val="20"/>
                <w:szCs w:val="20"/>
                <w:color w:val="auto"/>
              </w:rPr>
            </w:pPr>
            <w:r>
              <w:rPr>
                <w:rFonts w:ascii="Arial" w:cs="Arial" w:eastAsia="Arial" w:hAnsi="Arial"/>
                <w:sz w:val="18"/>
                <w:szCs w:val="18"/>
                <w:color w:val="auto"/>
              </w:rPr>
              <w:t>Grants Outstanding</w:t>
            </w:r>
          </w:p>
        </w:tc>
        <w:tc>
          <w:tcPr>
            <w:tcW w:w="1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1980" w:type="dxa"/>
            <w:vAlign w:val="bottom"/>
          </w:tcPr>
          <w:p>
            <w:pPr>
              <w:spacing w:after="0"/>
              <w:rPr>
                <w:sz w:val="20"/>
                <w:szCs w:val="20"/>
                <w:color w:val="auto"/>
              </w:rPr>
            </w:pPr>
          </w:p>
        </w:tc>
        <w:tc>
          <w:tcPr>
            <w:tcW w:w="6340" w:type="dxa"/>
            <w:vAlign w:val="bottom"/>
          </w:tcPr>
          <w:p>
            <w:pPr>
              <w:ind w:left="540"/>
              <w:spacing w:after="0"/>
              <w:rPr>
                <w:sz w:val="20"/>
                <w:szCs w:val="20"/>
                <w:color w:val="auto"/>
              </w:rPr>
            </w:pPr>
            <w:r>
              <w:rPr>
                <w:rFonts w:ascii="Arial" w:cs="Arial" w:eastAsia="Arial" w:hAnsi="Arial"/>
                <w:sz w:val="18"/>
                <w:szCs w:val="18"/>
                <w:color w:val="auto"/>
              </w:rPr>
              <w:t>Issued</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4,501,056</w:t>
            </w:r>
          </w:p>
        </w:tc>
      </w:tr>
      <w:tr>
        <w:trPr>
          <w:trHeight w:val="249"/>
        </w:trPr>
        <w:tc>
          <w:tcPr>
            <w:tcW w:w="1980" w:type="dxa"/>
            <w:vAlign w:val="bottom"/>
            <w:tcBorders>
              <w:bottom w:val="single" w:sz="8" w:color="CFF0FC"/>
            </w:tcBorders>
            <w:shd w:val="clear" w:color="auto" w:fill="CFF0FC"/>
          </w:tcPr>
          <w:p>
            <w:pPr>
              <w:spacing w:after="0"/>
              <w:rPr>
                <w:sz w:val="21"/>
                <w:szCs w:val="21"/>
                <w:color w:val="auto"/>
              </w:rPr>
            </w:pPr>
          </w:p>
        </w:tc>
        <w:tc>
          <w:tcPr>
            <w:tcW w:w="63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(643,008 )</w:t>
            </w: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December 31, 2020</w:t>
            </w:r>
          </w:p>
        </w:tc>
        <w:tc>
          <w:tcPr>
            <w:tcW w:w="6340" w:type="dxa"/>
            <w:vAlign w:val="bottom"/>
          </w:tcPr>
          <w:p>
            <w:pPr>
              <w:ind w:left="540"/>
              <w:spacing w:after="0"/>
              <w:rPr>
                <w:sz w:val="20"/>
                <w:szCs w:val="20"/>
                <w:color w:val="auto"/>
              </w:rPr>
            </w:pPr>
            <w:r>
              <w:rPr>
                <w:rFonts w:ascii="Arial" w:cs="Arial" w:eastAsia="Arial" w:hAnsi="Arial"/>
                <w:sz w:val="18"/>
                <w:szCs w:val="18"/>
                <w:color w:val="auto"/>
              </w:rPr>
              <w:t>Grants outstanding</w:t>
            </w:r>
          </w:p>
        </w:tc>
        <w:tc>
          <w:tcPr>
            <w:tcW w:w="1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3,858,048</w:t>
            </w:r>
          </w:p>
        </w:tc>
      </w:tr>
      <w:tr>
        <w:trPr>
          <w:trHeight w:val="237"/>
        </w:trPr>
        <w:tc>
          <w:tcPr>
            <w:tcW w:w="1980" w:type="dxa"/>
            <w:vAlign w:val="bottom"/>
            <w:shd w:val="clear" w:color="auto" w:fill="CFF0FC"/>
          </w:tcPr>
          <w:p>
            <w:pPr>
              <w:spacing w:after="0"/>
              <w:rPr>
                <w:sz w:val="20"/>
                <w:szCs w:val="20"/>
                <w:color w:val="auto"/>
              </w:rPr>
            </w:pPr>
          </w:p>
        </w:tc>
        <w:tc>
          <w:tcPr>
            <w:tcW w:w="6340" w:type="dxa"/>
            <w:vAlign w:val="bottom"/>
            <w:shd w:val="clear" w:color="auto" w:fill="CFF0FC"/>
          </w:tcPr>
          <w:p>
            <w:pPr>
              <w:ind w:left="540"/>
              <w:spacing w:after="0"/>
              <w:rPr>
                <w:sz w:val="20"/>
                <w:szCs w:val="20"/>
                <w:color w:val="auto"/>
              </w:rPr>
            </w:pPr>
            <w:r>
              <w:rPr>
                <w:rFonts w:ascii="Arial" w:cs="Arial" w:eastAsia="Arial" w:hAnsi="Arial"/>
                <w:sz w:val="18"/>
                <w:szCs w:val="18"/>
                <w:color w:val="auto"/>
              </w:rPr>
              <w:t>Exchanged for common stock in the Company</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(411,720 )</w:t>
            </w:r>
          </w:p>
        </w:tc>
      </w:tr>
      <w:tr>
        <w:trPr>
          <w:trHeight w:val="243"/>
        </w:trPr>
        <w:tc>
          <w:tcPr>
            <w:tcW w:w="1980" w:type="dxa"/>
            <w:vAlign w:val="bottom"/>
          </w:tcPr>
          <w:p>
            <w:pPr>
              <w:spacing w:after="0"/>
              <w:rPr>
                <w:sz w:val="21"/>
                <w:szCs w:val="21"/>
                <w:color w:val="auto"/>
              </w:rPr>
            </w:pPr>
          </w:p>
        </w:tc>
        <w:tc>
          <w:tcPr>
            <w:tcW w:w="6340" w:type="dxa"/>
            <w:vAlign w:val="bottom"/>
          </w:tcPr>
          <w:p>
            <w:pPr>
              <w:ind w:left="540"/>
              <w:spacing w:after="0"/>
              <w:rPr>
                <w:sz w:val="20"/>
                <w:szCs w:val="20"/>
                <w:color w:val="auto"/>
              </w:rPr>
            </w:pPr>
            <w:r>
              <w:rPr>
                <w:rFonts w:ascii="Arial" w:cs="Arial" w:eastAsia="Arial" w:hAnsi="Arial"/>
                <w:sz w:val="18"/>
                <w:szCs w:val="18"/>
                <w:color w:val="auto"/>
              </w:rPr>
              <w:t>Exchanged for restricted stock in the Company</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(3,446,328 )</w:t>
            </w:r>
          </w:p>
        </w:tc>
      </w:tr>
      <w:tr>
        <w:trPr>
          <w:trHeight w:val="276"/>
        </w:trPr>
        <w:tc>
          <w:tcPr>
            <w:tcW w:w="1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63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Grants outstanding</w:t>
            </w:r>
          </w:p>
        </w:tc>
        <w:tc>
          <w:tcPr>
            <w:tcW w:w="17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the option unit activity under the Successor Plan for the period from February 1, 2020 through December 31, 2020 (Successor) and for the year ended December 31, 2021 (Successor)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w w:val="90"/>
              </w:rPr>
              <w:t>Weighted 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February 1, 2020</w:t>
            </w:r>
          </w:p>
        </w:tc>
        <w:tc>
          <w:tcPr>
            <w:tcW w:w="50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Grants Outstanding</w:t>
            </w: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0" w:type="dxa"/>
            <w:vAlign w:val="bottom"/>
          </w:tcPr>
          <w:p>
            <w:pPr>
              <w:ind w:left="540"/>
              <w:spacing w:after="0"/>
              <w:rPr>
                <w:sz w:val="20"/>
                <w:szCs w:val="20"/>
                <w:color w:val="auto"/>
              </w:rPr>
            </w:pPr>
            <w:r>
              <w:rPr>
                <w:rFonts w:ascii="Arial" w:cs="Arial" w:eastAsia="Arial" w:hAnsi="Arial"/>
                <w:sz w:val="18"/>
                <w:szCs w:val="18"/>
                <w:color w:val="auto"/>
              </w:rPr>
              <w:t>Issued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2,867,694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10.06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980" w:type="dxa"/>
            <w:vAlign w:val="bottom"/>
            <w:tcBorders>
              <w:bottom w:val="single" w:sz="8" w:color="CFF0FC"/>
            </w:tcBorders>
            <w:shd w:val="clear" w:color="auto" w:fill="CFF0FC"/>
          </w:tcPr>
          <w:p>
            <w:pPr>
              <w:spacing w:after="0"/>
              <w:rPr>
                <w:sz w:val="21"/>
                <w:szCs w:val="21"/>
                <w:color w:val="auto"/>
              </w:rPr>
            </w:pPr>
          </w:p>
        </w:tc>
        <w:tc>
          <w:tcPr>
            <w:tcW w:w="500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(133,960 )</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December 31, 2020</w:t>
            </w:r>
          </w:p>
        </w:tc>
        <w:tc>
          <w:tcPr>
            <w:tcW w:w="5000" w:type="dxa"/>
            <w:vAlign w:val="bottom"/>
          </w:tcPr>
          <w:p>
            <w:pPr>
              <w:ind w:left="540"/>
              <w:spacing w:after="0"/>
              <w:rPr>
                <w:sz w:val="20"/>
                <w:szCs w:val="20"/>
                <w:color w:val="auto"/>
              </w:rPr>
            </w:pPr>
            <w:r>
              <w:rPr>
                <w:rFonts w:ascii="Arial" w:cs="Arial" w:eastAsia="Arial" w:hAnsi="Arial"/>
                <w:sz w:val="18"/>
                <w:szCs w:val="18"/>
                <w:color w:val="auto"/>
              </w:rPr>
              <w:t>Grants outstanding</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2,733,734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10.06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980" w:type="dxa"/>
            <w:vAlign w:val="bottom"/>
            <w:shd w:val="clear" w:color="auto" w:fill="CFF0FC"/>
          </w:tcPr>
          <w:p>
            <w:pPr>
              <w:spacing w:after="0"/>
              <w:rPr>
                <w:sz w:val="20"/>
                <w:szCs w:val="20"/>
                <w:color w:val="auto"/>
              </w:rPr>
            </w:pPr>
          </w:p>
        </w:tc>
        <w:tc>
          <w:tcPr>
            <w:tcW w:w="50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(24,112 )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0" w:type="dxa"/>
            <w:vAlign w:val="bottom"/>
          </w:tcPr>
          <w:p>
            <w:pPr>
              <w:ind w:left="5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(107,168 )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980" w:type="dxa"/>
            <w:vAlign w:val="bottom"/>
            <w:tcBorders>
              <w:bottom w:val="single" w:sz="8" w:color="CFF0FC"/>
            </w:tcBorders>
            <w:shd w:val="clear" w:color="auto" w:fill="CFF0FC"/>
          </w:tcPr>
          <w:p>
            <w:pPr>
              <w:spacing w:after="0"/>
              <w:rPr>
                <w:sz w:val="21"/>
                <w:szCs w:val="21"/>
                <w:color w:val="auto"/>
              </w:rPr>
            </w:pPr>
          </w:p>
        </w:tc>
        <w:tc>
          <w:tcPr>
            <w:tcW w:w="500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Exchanged for options in the Company</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(2,602,454 )</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10.07</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December 31, 2021</w:t>
            </w:r>
          </w:p>
        </w:tc>
        <w:tc>
          <w:tcPr>
            <w:tcW w:w="5000" w:type="dxa"/>
            <w:vAlign w:val="bottom"/>
          </w:tcPr>
          <w:p>
            <w:pPr>
              <w:ind w:left="540"/>
              <w:spacing w:after="0"/>
              <w:rPr>
                <w:sz w:val="20"/>
                <w:szCs w:val="20"/>
                <w:color w:val="auto"/>
              </w:rPr>
            </w:pPr>
            <w:r>
              <w:rPr>
                <w:rFonts w:ascii="Arial" w:cs="Arial" w:eastAsia="Arial" w:hAnsi="Arial"/>
                <w:sz w:val="18"/>
                <w:szCs w:val="18"/>
                <w:color w:val="auto"/>
              </w:rPr>
              <w:t>Grants outstanding</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0" w:type="dxa"/>
            <w:vAlign w:val="bottom"/>
            <w:vMerge w:val="restart"/>
          </w:tcPr>
          <w:p>
            <w:pPr>
              <w:ind w:left="2900"/>
              <w:spacing w:after="0"/>
              <w:rPr>
                <w:sz w:val="20"/>
                <w:szCs w:val="20"/>
                <w:color w:val="auto"/>
              </w:rPr>
            </w:pPr>
            <w:r>
              <w:rPr>
                <w:rFonts w:ascii="Arial" w:cs="Arial" w:eastAsia="Arial" w:hAnsi="Arial"/>
                <w:sz w:val="18"/>
                <w:szCs w:val="18"/>
                <w:color w:val="auto"/>
              </w:rPr>
              <w:t>F-29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-1174115</wp:posOffset>
            </wp:positionV>
            <wp:extent cx="85725"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-539115</wp:posOffset>
            </wp:positionV>
            <wp:extent cx="85725"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2" w:name="page113"/>
    <w:bookmarkEnd w:id="112"/>
    <w:p>
      <w:pPr>
        <w:ind w:right="180"/>
        <w:spacing w:after="0" w:line="277" w:lineRule="auto"/>
        <w:rPr>
          <w:sz w:val="20"/>
          <w:szCs w:val="20"/>
          <w:color w:val="auto"/>
        </w:rPr>
      </w:pPr>
      <w:r>
        <w:rPr>
          <w:rFonts w:ascii="Arial" w:cs="Arial" w:eastAsia="Arial" w:hAnsi="Arial"/>
          <w:sz w:val="18"/>
          <w:szCs w:val="18"/>
          <w:color w:val="auto"/>
        </w:rPr>
        <w:t>In connection with the Company’s IPO, the Company’s parent was dissolved. Awards issued by the Company’s parent were converted in accordance with non-discretionary anti-dilution provisions of the Successor grants as follows:</w:t>
      </w:r>
    </w:p>
    <w:p>
      <w:pPr>
        <w:spacing w:after="0" w:line="116" w:lineRule="exact"/>
        <w:rPr>
          <w:sz w:val="20"/>
          <w:szCs w:val="20"/>
          <w:color w:val="auto"/>
        </w:rPr>
      </w:pPr>
    </w:p>
    <w:p>
      <w:pPr>
        <w:ind w:left="1020" w:right="180" w:hanging="503"/>
        <w:spacing w:after="0" w:line="257"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vested outstanding profits interest grants issued by the Company’s parent were converted to common stock in the Company and all unvested outstanding profits interest grants issued by the Company’s parent were converted to restricted stock in the Company under the 2021 Omnibus Incentive Plan (the “2021 Equity Plan”). The number of common stock and restricted stock shares issued to each profits interest holder was ratably adjusted to preserve the fair value of the awards. Additionally, the vesting conditions and equity classification of the awards remained unchanged as a result of the conversion.</w:t>
      </w:r>
    </w:p>
    <w:p>
      <w:pPr>
        <w:spacing w:after="0" w:line="79" w:lineRule="exact"/>
        <w:rPr>
          <w:rFonts w:ascii="Arial" w:cs="Arial" w:eastAsia="Arial" w:hAnsi="Arial"/>
          <w:sz w:val="18"/>
          <w:szCs w:val="18"/>
          <w:color w:val="auto"/>
        </w:rPr>
      </w:pPr>
    </w:p>
    <w:p>
      <w:pPr>
        <w:ind w:left="1020" w:right="240" w:hanging="503"/>
        <w:spacing w:after="0" w:line="259"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outstanding stock option grants issued by the Company’s parent were converted into stock options issued by the Company under the terms of the individual grant agreements. The number of options granted and the strike price of the options was ratably adjusted using an exchange ratio calculated to preserve the fair value of the awards. Additionally, the vesting, vesting conditions, and equity classification of the awards remained unchanged as a result of the conversion.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2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9"/>
              </w:rPr>
              <w:t>Average Exercise</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w w:val="93"/>
              </w:rPr>
              <w:t>Price</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Intrinsic 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2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outstanding</w:t>
            </w:r>
          </w:p>
        </w:tc>
        <w:tc>
          <w:tcPr>
            <w:tcW w:w="6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3,519,563</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6"/>
              </w:rPr>
              <w:t>6.66</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60" w:type="dxa"/>
            <w:vAlign w:val="bottom"/>
          </w:tcPr>
          <w:p>
            <w:pPr>
              <w:ind w:left="220"/>
              <w:spacing w:after="0"/>
              <w:rPr>
                <w:sz w:val="20"/>
                <w:szCs w:val="20"/>
                <w:color w:val="auto"/>
              </w:rPr>
            </w:pPr>
            <w:r>
              <w:rPr>
                <w:rFonts w:ascii="Arial" w:cs="Arial" w:eastAsia="Arial" w:hAnsi="Arial"/>
                <w:sz w:val="18"/>
                <w:szCs w:val="18"/>
                <w:color w:val="auto"/>
              </w:rPr>
              <w:t>Grants exercised</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(372,254 )</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6.68</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26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Grants cancelled/forfeited</w:t>
            </w:r>
          </w:p>
        </w:tc>
        <w:tc>
          <w:tcPr>
            <w:tcW w:w="6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(303,967 )</w:t>
            </w:r>
          </w:p>
        </w:tc>
        <w:tc>
          <w:tcPr>
            <w:tcW w:w="8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6"/>
              </w:rPr>
              <w:t>6.61</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December 31, 2022</w:t>
            </w:r>
          </w:p>
        </w:tc>
        <w:tc>
          <w:tcPr>
            <w:tcW w:w="2660" w:type="dxa"/>
            <w:vAlign w:val="bottom"/>
          </w:tcPr>
          <w:p>
            <w:pPr>
              <w:ind w:left="220"/>
              <w:spacing w:after="0"/>
              <w:rPr>
                <w:sz w:val="20"/>
                <w:szCs w:val="20"/>
                <w:color w:val="auto"/>
              </w:rPr>
            </w:pPr>
            <w:r>
              <w:rPr>
                <w:rFonts w:ascii="Arial" w:cs="Arial" w:eastAsia="Arial" w:hAnsi="Arial"/>
                <w:sz w:val="18"/>
                <w:szCs w:val="18"/>
                <w:color w:val="auto"/>
              </w:rPr>
              <w:t>Grants outstanding</w:t>
            </w:r>
          </w:p>
        </w:tc>
        <w:tc>
          <w:tcPr>
            <w:tcW w:w="660" w:type="dxa"/>
            <w:vAlign w:val="bottom"/>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2,843,342</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6.66</w:t>
            </w:r>
          </w:p>
        </w:tc>
        <w:tc>
          <w:tcPr>
            <w:tcW w:w="100" w:type="dxa"/>
            <w:vAlign w:val="bottom"/>
          </w:tcPr>
          <w:p>
            <w:pPr>
              <w:spacing w:after="0"/>
              <w:rPr>
                <w:sz w:val="20"/>
                <w:szCs w:val="20"/>
                <w:color w:val="auto"/>
              </w:rPr>
            </w:pPr>
          </w:p>
        </w:tc>
        <w:tc>
          <w:tcPr>
            <w:tcW w:w="1200" w:type="dxa"/>
            <w:vAlign w:val="bottom"/>
          </w:tcPr>
          <w:p>
            <w:pPr>
              <w:ind w:left="520"/>
              <w:spacing w:after="0"/>
              <w:rPr>
                <w:sz w:val="20"/>
                <w:szCs w:val="20"/>
                <w:color w:val="auto"/>
              </w:rPr>
            </w:pPr>
            <w:r>
              <w:rPr>
                <w:rFonts w:ascii="Arial" w:cs="Arial" w:eastAsia="Arial" w:hAnsi="Arial"/>
                <w:sz w:val="18"/>
                <w:szCs w:val="18"/>
                <w:color w:val="auto"/>
                <w:w w:val="85"/>
              </w:rPr>
              <w:t>7.2 Years</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 million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2022</w:t>
            </w:r>
          </w:p>
        </w:tc>
        <w:tc>
          <w:tcPr>
            <w:tcW w:w="2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vested</w:t>
            </w:r>
          </w:p>
        </w:tc>
        <w:tc>
          <w:tcPr>
            <w:tcW w:w="66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648,926</w:t>
            </w:r>
          </w:p>
        </w:tc>
        <w:tc>
          <w:tcPr>
            <w:tcW w:w="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6"/>
              </w:rPr>
              <w:t>6.65</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5"/>
              </w:rPr>
              <w:t>7.0 Years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 million</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December 31, 2022</w:t>
            </w:r>
          </w:p>
        </w:tc>
        <w:tc>
          <w:tcPr>
            <w:tcW w:w="2660" w:type="dxa"/>
            <w:vAlign w:val="bottom"/>
          </w:tcPr>
          <w:p>
            <w:pPr>
              <w:ind w:left="220"/>
              <w:spacing w:after="0"/>
              <w:rPr>
                <w:sz w:val="20"/>
                <w:szCs w:val="20"/>
                <w:color w:val="auto"/>
              </w:rPr>
            </w:pPr>
            <w:r>
              <w:rPr>
                <w:rFonts w:ascii="Arial" w:cs="Arial" w:eastAsia="Arial" w:hAnsi="Arial"/>
                <w:sz w:val="18"/>
                <w:szCs w:val="18"/>
                <w:color w:val="auto"/>
              </w:rPr>
              <w:t>Grants unvested</w:t>
            </w:r>
          </w:p>
        </w:tc>
        <w:tc>
          <w:tcPr>
            <w:tcW w:w="1900" w:type="dxa"/>
            <w:vAlign w:val="bottom"/>
            <w:gridSpan w:val="2"/>
          </w:tcPr>
          <w:p>
            <w:pPr>
              <w:jc w:val="right"/>
              <w:ind w:right="34"/>
              <w:spacing w:after="0"/>
              <w:rPr>
                <w:sz w:val="20"/>
                <w:szCs w:val="20"/>
                <w:color w:val="auto"/>
              </w:rPr>
            </w:pPr>
            <w:r>
              <w:rPr>
                <w:rFonts w:ascii="Arial" w:cs="Arial" w:eastAsia="Arial" w:hAnsi="Arial"/>
                <w:sz w:val="18"/>
                <w:szCs w:val="18"/>
                <w:color w:val="auto"/>
              </w:rPr>
              <w:t>2,194,416</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6.67</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00" w:type="dxa"/>
            <w:vAlign w:val="bottom"/>
            <w:gridSpan w:val="2"/>
          </w:tcPr>
          <w:p>
            <w:pPr>
              <w:jc w:val="right"/>
              <w:ind w:right="874"/>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-848360</wp:posOffset>
            </wp:positionV>
            <wp:extent cx="76835"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2021 Equity Plan</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connection with the IPO, the Company adopted the 2021 Equity Plan. 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w:t>
      </w:r>
    </w:p>
    <w:p>
      <w:pPr>
        <w:spacing w:after="0" w:line="1" w:lineRule="exact"/>
        <w:rPr>
          <w:sz w:val="20"/>
          <w:szCs w:val="20"/>
          <w:color w:val="auto"/>
        </w:rPr>
      </w:pPr>
    </w:p>
    <w:p>
      <w:pPr>
        <w:ind w:right="220" w:firstLine="8"/>
        <w:spacing w:after="0" w:line="260"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number of shares as determined by the Board of Directors. As of December 31, 2022, 13,578,273 shares were available for issuance under the 2021 Equity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 options issued immediately prior to the IPO vest based on two criteria (50% each): (1) Time — awards vest over five years at a rate of 20% per year; and (2) Performance — awards vest based upon a combination of the five year time vesting, subject to the Company’s investors receiving a targeted money-on-money return. Stock options issued after the IPO vest annually, generally over four or five years. Stock options generally expire ten years after the grant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option activity for the year ended December 31, 2022 (Successor) is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95"/>
              <w:spacing w:after="0"/>
              <w:rPr>
                <w:sz w:val="20"/>
                <w:szCs w:val="20"/>
                <w:color w:val="auto"/>
              </w:rPr>
            </w:pPr>
            <w:r>
              <w:rPr>
                <w:rFonts w:ascii="Arial" w:cs="Arial" w:eastAsia="Arial" w:hAnsi="Arial"/>
                <w:sz w:val="14"/>
                <w:szCs w:val="14"/>
                <w:b w:val="1"/>
                <w:bCs w:val="1"/>
                <w:color w:val="auto"/>
                <w:w w:val="98"/>
              </w:rPr>
              <w:t>Weighted</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9"/>
              </w:rPr>
              <w:t>Average Exercise</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20" w:type="dxa"/>
            <w:vAlign w:val="bottom"/>
          </w:tcPr>
          <w:p>
            <w:pPr>
              <w:spacing w:after="0"/>
              <w:rPr>
                <w:sz w:val="16"/>
                <w:szCs w:val="16"/>
                <w:color w:val="auto"/>
              </w:rPr>
            </w:pPr>
          </w:p>
        </w:tc>
        <w:tc>
          <w:tcPr>
            <w:tcW w:w="120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37"/>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3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outstanding</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3,714,540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Grants issued</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608,122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20" w:type="dxa"/>
            <w:vAlign w:val="bottom"/>
            <w:tcBorders>
              <w:bottom w:val="single" w:sz="8" w:color="CFF0FC"/>
            </w:tcBorders>
            <w:shd w:val="clear" w:color="auto" w:fill="CFF0FC"/>
          </w:tcPr>
          <w:p>
            <w:pPr>
              <w:spacing w:after="0"/>
              <w:rPr>
                <w:sz w:val="21"/>
                <w:szCs w:val="21"/>
                <w:color w:val="auto"/>
              </w:rPr>
            </w:pPr>
          </w:p>
        </w:tc>
        <w:tc>
          <w:tcPr>
            <w:tcW w:w="33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Grants cancelled/forfeited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(11,000 )</w:t>
            </w:r>
          </w:p>
        </w:tc>
        <w:tc>
          <w:tcPr>
            <w:tcW w:w="3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December 31, 2022</w:t>
            </w:r>
          </w:p>
        </w:tc>
        <w:tc>
          <w:tcPr>
            <w:tcW w:w="3320" w:type="dxa"/>
            <w:vAlign w:val="bottom"/>
          </w:tcPr>
          <w:p>
            <w:pPr>
              <w:ind w:left="220"/>
              <w:spacing w:after="0"/>
              <w:rPr>
                <w:sz w:val="20"/>
                <w:szCs w:val="20"/>
                <w:color w:val="auto"/>
              </w:rPr>
            </w:pPr>
            <w:r>
              <w:rPr>
                <w:rFonts w:ascii="Arial" w:cs="Arial" w:eastAsia="Arial" w:hAnsi="Arial"/>
                <w:sz w:val="18"/>
                <w:szCs w:val="18"/>
                <w:color w:val="auto"/>
              </w:rPr>
              <w:t>Grants outstanding</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4,311,662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0"/>
                <w:szCs w:val="20"/>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85"/>
              </w:rPr>
              <w:t>8.7 Years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2022</w:t>
            </w:r>
          </w:p>
        </w:tc>
        <w:tc>
          <w:tcPr>
            <w:tcW w:w="3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Grants vested</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1,054,302</w:t>
            </w:r>
          </w:p>
        </w:tc>
        <w:tc>
          <w:tcPr>
            <w:tcW w:w="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5"/>
              </w:rPr>
              <w:t>8.5 Years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December 31, 2022</w:t>
            </w:r>
          </w:p>
        </w:tc>
        <w:tc>
          <w:tcPr>
            <w:tcW w:w="3320" w:type="dxa"/>
            <w:vAlign w:val="bottom"/>
          </w:tcPr>
          <w:p>
            <w:pPr>
              <w:ind w:left="220"/>
              <w:spacing w:after="0"/>
              <w:rPr>
                <w:sz w:val="20"/>
                <w:szCs w:val="20"/>
                <w:color w:val="auto"/>
              </w:rPr>
            </w:pPr>
            <w:r>
              <w:rPr>
                <w:rFonts w:ascii="Arial" w:cs="Arial" w:eastAsia="Arial" w:hAnsi="Arial"/>
                <w:sz w:val="18"/>
                <w:szCs w:val="18"/>
                <w:color w:val="auto"/>
              </w:rPr>
              <w:t>Grants unvested</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3,257,360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-488315</wp:posOffset>
            </wp:positionV>
            <wp:extent cx="76835"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for stock options granted for the year ended December 31, 2022 and 2021 (Successor) was estimated at the date of grant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with the following weighed average assumptions: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60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3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21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r>
      <w:tr>
        <w:trPr>
          <w:trHeight w:val="185"/>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r>
      <w:tr>
        <w:trPr>
          <w:trHeight w:val="224"/>
        </w:trPr>
        <w:tc>
          <w:tcPr>
            <w:tcW w:w="60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34.66 %</w:t>
            </w: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38.67 %</w:t>
            </w:r>
          </w:p>
        </w:tc>
      </w:tr>
      <w:tr>
        <w:trPr>
          <w:trHeight w:val="249"/>
        </w:trPr>
        <w:tc>
          <w:tcPr>
            <w:tcW w:w="6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2.77 %</w:t>
            </w:r>
          </w:p>
        </w:tc>
        <w:tc>
          <w:tcPr>
            <w:tcW w:w="1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1.06 %</w:t>
            </w:r>
          </w:p>
        </w:tc>
      </w:tr>
      <w:tr>
        <w:trPr>
          <w:trHeight w:val="25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21"/>
                <w:szCs w:val="2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Fair-value of the underlying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-608330</wp:posOffset>
            </wp:positionV>
            <wp:extent cx="570039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(“RSU”) generally vest annually over three to five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activity for the year ended December 31, 2022 (Successor)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173"/>
              <w:spacing w:after="0"/>
              <w:rPr>
                <w:sz w:val="20"/>
                <w:szCs w:val="20"/>
                <w:color w:val="auto"/>
              </w:rPr>
            </w:pPr>
            <w:r>
              <w:rPr>
                <w:rFonts w:ascii="Arial" w:cs="Arial" w:eastAsia="Arial" w:hAnsi="Arial"/>
                <w:sz w:val="14"/>
                <w:szCs w:val="14"/>
                <w:b w:val="1"/>
                <w:bCs w:val="1"/>
                <w:color w:val="auto"/>
                <w:w w:val="91"/>
              </w:rPr>
              <w:t>Weighted 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23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Nonvested RSUs</w:t>
            </w:r>
          </w:p>
        </w:tc>
        <w:tc>
          <w:tcPr>
            <w:tcW w:w="28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340,875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40" w:type="dxa"/>
            <w:vAlign w:val="bottom"/>
          </w:tcPr>
          <w:p>
            <w:pPr>
              <w:ind w:left="320"/>
              <w:spacing w:after="0"/>
              <w:rPr>
                <w:sz w:val="20"/>
                <w:szCs w:val="20"/>
                <w:color w:val="auto"/>
              </w:rPr>
            </w:pPr>
            <w:r>
              <w:rPr>
                <w:rFonts w:ascii="Arial" w:cs="Arial" w:eastAsia="Arial" w:hAnsi="Arial"/>
                <w:sz w:val="18"/>
                <w:szCs w:val="18"/>
                <w:color w:val="auto"/>
              </w:rPr>
              <w:t>Granted</w:t>
            </w:r>
          </w:p>
        </w:tc>
        <w:tc>
          <w:tcPr>
            <w:tcW w:w="4380" w:type="dxa"/>
            <w:vAlign w:val="bottom"/>
            <w:gridSpan w:val="2"/>
          </w:tcPr>
          <w:p>
            <w:pPr>
              <w:jc w:val="right"/>
              <w:ind w:right="16"/>
              <w:spacing w:after="0"/>
              <w:rPr>
                <w:sz w:val="20"/>
                <w:szCs w:val="20"/>
                <w:color w:val="auto"/>
              </w:rPr>
            </w:pPr>
            <w:r>
              <w:rPr>
                <w:rFonts w:ascii="Arial" w:cs="Arial" w:eastAsia="Arial" w:hAnsi="Arial"/>
                <w:sz w:val="18"/>
                <w:szCs w:val="18"/>
                <w:color w:val="auto"/>
              </w:rPr>
              <w:t>203,032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14.36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3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Vested</w:t>
            </w:r>
          </w:p>
        </w:tc>
        <w:tc>
          <w:tcPr>
            <w:tcW w:w="4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(67,175 )</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16.96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340" w:type="dxa"/>
            <w:vAlign w:val="bottom"/>
          </w:tcPr>
          <w:p>
            <w:pPr>
              <w:ind w:left="320"/>
              <w:spacing w:after="0"/>
              <w:rPr>
                <w:sz w:val="20"/>
                <w:szCs w:val="20"/>
                <w:color w:val="auto"/>
              </w:rPr>
            </w:pPr>
            <w:r>
              <w:rPr>
                <w:rFonts w:ascii="Arial" w:cs="Arial" w:eastAsia="Arial" w:hAnsi="Arial"/>
                <w:sz w:val="18"/>
                <w:szCs w:val="18"/>
                <w:color w:val="auto"/>
              </w:rPr>
              <w:t>Forfeited</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(4,400 )</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17.52</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1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2022</w:t>
            </w:r>
          </w:p>
        </w:tc>
        <w:tc>
          <w:tcPr>
            <w:tcW w:w="23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Nonvested RSUs</w:t>
            </w:r>
          </w:p>
        </w:tc>
        <w:tc>
          <w:tcPr>
            <w:tcW w:w="28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472,332</w:t>
            </w:r>
          </w:p>
        </w:tc>
        <w:tc>
          <w:tcPr>
            <w:tcW w:w="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16.00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380" w:type="dxa"/>
            <w:vAlign w:val="bottom"/>
            <w:gridSpan w:val="2"/>
          </w:tcPr>
          <w:p>
            <w:pPr>
              <w:jc w:val="right"/>
              <w:ind w:right="3176"/>
              <w:spacing w:after="0"/>
              <w:rPr>
                <w:sz w:val="20"/>
                <w:szCs w:val="20"/>
                <w:color w:val="auto"/>
              </w:rPr>
            </w:pPr>
            <w:r>
              <w:rPr>
                <w:rFonts w:ascii="Arial" w:cs="Arial" w:eastAsia="Arial" w:hAnsi="Arial"/>
                <w:sz w:val="18"/>
                <w:szCs w:val="18"/>
                <w:color w:val="auto"/>
              </w:rPr>
              <w:t>F-31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-376555</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-359410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summarizes the restricted stock issued by the Company. These include grants of unvested Successor profits interests grants that were converted into restricted stock as described above, as well as restricted stock issued to new recipients. The restricted stock granted as a result of the conversion of Successor profits interests retain the vesting attributes (including original service period vesting start date) of the original award. A summary of the restricted stock activity for the year ended December 31, 2022 (Successor) is as follows: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17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5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Nonvested restricted stock</w:t>
            </w:r>
          </w:p>
        </w:tc>
        <w:tc>
          <w:tcPr>
            <w:tcW w:w="14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2,613,359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52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1760" w:type="dxa"/>
            <w:vAlign w:val="bottom"/>
            <w:tcBorders>
              <w:bottom w:val="single" w:sz="8" w:color="CFF0FC"/>
            </w:tcBorders>
            <w:shd w:val="clear" w:color="auto" w:fill="CFF0FC"/>
          </w:tcPr>
          <w:p>
            <w:pPr>
              <w:spacing w:after="0"/>
              <w:rPr>
                <w:sz w:val="21"/>
                <w:szCs w:val="21"/>
                <w:color w:val="auto"/>
              </w:rPr>
            </w:pPr>
          </w:p>
        </w:tc>
        <w:tc>
          <w:tcPr>
            <w:tcW w:w="52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(332,059 )</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Arial" w:cs="Arial" w:eastAsia="Arial" w:hAnsi="Arial"/>
                <w:sz w:val="18"/>
                <w:szCs w:val="18"/>
                <w:color w:val="auto"/>
              </w:rPr>
              <w:t>December 31, 2022</w:t>
            </w:r>
          </w:p>
        </w:tc>
        <w:tc>
          <w:tcPr>
            <w:tcW w:w="5220" w:type="dxa"/>
            <w:vAlign w:val="bottom"/>
          </w:tcPr>
          <w:p>
            <w:pPr>
              <w:ind w:left="360"/>
              <w:spacing w:after="0"/>
              <w:rPr>
                <w:sz w:val="20"/>
                <w:szCs w:val="20"/>
                <w:color w:val="auto"/>
              </w:rPr>
            </w:pPr>
            <w:r>
              <w:rPr>
                <w:rFonts w:ascii="Arial" w:cs="Arial" w:eastAsia="Arial" w:hAnsi="Arial"/>
                <w:sz w:val="18"/>
                <w:szCs w:val="18"/>
                <w:color w:val="auto"/>
              </w:rPr>
              <w:t>Nonvested restricted stock</w:t>
            </w: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2,281,300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-187960</wp:posOffset>
            </wp:positionV>
            <wp:extent cx="9398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28"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During the IPO and the November 2021 Follow-On, certain of the Company’s investors realized cash returns. As a result, a portion of the performance based vesting on various awards were considered to have vested during the year ended December 31, 2021 (Successor). This vesting resulted in the recognition of an incremental $3.9 million of share-based compensation expense for the year ended December 31, 2021 (Successor).</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(Successor), the Company had approximately $34.8 million of unrecognized pre-tax non-cash compensation expense, comprised of approximately $7.6 million related to restricted stock, $6.4 million related to RSUs, and approximately $20.8 million related to stock options, which the Company expects to recognize over a weighted average period of 2.9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June 25, 2021, in connection with the IPO, the Company adopted the First Advantage Corporation 2021 Employee Stock Purchase Plan (“ESPP”) that allows eligible employees to voluntarily make after-tax contributions of up to 15% of such employee’s cash compensation to acquire Company stock during designated offering periods. During each offering period, there will be one six-month purchase period, which will have the same duration and coincide with the length of the offering period. During the holding period, ESPP purchased shares are not eligible for sale or broker transfer. The Company recorded an associated expense of approximately $0.4 million for the year ended December 31, 2022 (Successor).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Tax Benefits</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recognized excess tax benefits of approximately $0.5 million and $0.2 million associated with equity award exercises and vesting in its income tax expense for the year ended December 31, 2022 and 2021 (Successor), respectively. The Company did not recognize any excess tax benefits for the period from February 1, 2020 through December 31, 2020 (Successor) or for the period from January 1, 2020 through January 31, 2020 (Predecessor).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Defined Contribution Plan</w:t>
      </w:r>
    </w:p>
    <w:p>
      <w:pPr>
        <w:spacing w:after="0" w:line="175" w:lineRule="exact"/>
        <w:rPr>
          <w:sz w:val="20"/>
          <w:szCs w:val="20"/>
          <w:color w:val="auto"/>
        </w:rPr>
      </w:pPr>
    </w:p>
    <w:p>
      <w:pPr>
        <w:jc w:val="both"/>
        <w:ind w:right="220"/>
        <w:spacing w:after="0" w:line="275" w:lineRule="auto"/>
        <w:rPr>
          <w:sz w:val="20"/>
          <w:szCs w:val="20"/>
          <w:color w:val="auto"/>
        </w:rPr>
      </w:pPr>
      <w:r>
        <w:rPr>
          <w:rFonts w:ascii="Arial" w:cs="Arial" w:eastAsia="Arial" w:hAnsi="Arial"/>
          <w:sz w:val="17"/>
          <w:szCs w:val="17"/>
          <w:color w:val="auto"/>
        </w:rPr>
        <w:t>The Company sponsors a defined contribution plan that principally consists of a contributory 401(k) savings plan. The Company makes discretionary matching contributions to the 401(k) savings plan based on a percentage of employee contributions. The expense recognized related to the Company’s contributions to the 401(k) savings plan for the year ended December 31, 2022 (Successor), for the year ended December 31, 2021 (Successor), for the period from February 1, 2020 through December 31, 2020 (Successor), and for the period from January 1, 2020 through January 31, 2020 (Predecessor) was approximately $1.3 million, $1.2 million, $0.9 million, and $0.1 million, respectively.</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12.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authorized the issuance of an aggregate of 165,000,000 units consisting of three classes of units as follows: 140,000,000 Class A units, 7,500,000 Class B units, and 17,500,000 Class C units. All units had no par value.</w:t>
      </w:r>
    </w:p>
    <w:p>
      <w:pPr>
        <w:spacing w:after="0" w:line="112"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Class A Units </w:t>
      </w:r>
      <w:r>
        <w:rPr>
          <w:rFonts w:ascii="Arial" w:cs="Arial" w:eastAsia="Arial" w:hAnsi="Arial"/>
          <w:sz w:val="18"/>
          <w:szCs w:val="18"/>
          <w:color w:val="auto"/>
        </w:rPr>
        <w:t>— During the Predecessor period, 140,000,000 Class A units were authorized and 138,714,853 units were issued. These units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the most preferred class of equity and entitled the holders to the return of their capital contributions before amounts were distributed with respect to any other units.</w:t>
      </w:r>
    </w:p>
    <w:p>
      <w:pPr>
        <w:spacing w:after="0" w:line="12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Class B Units </w:t>
      </w:r>
      <w:r>
        <w:rPr>
          <w:rFonts w:ascii="Arial" w:cs="Arial" w:eastAsia="Arial" w:hAnsi="Arial"/>
          <w:sz w:val="18"/>
          <w:szCs w:val="18"/>
          <w:color w:val="auto"/>
        </w:rPr>
        <w:t>— During the Predecessor period, 7,500,000 Class B units were authorized and 1,700,051 units were issued. These units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common equity in that they provided rights to distributions junior to the A Units. These units reflected an equity interest in the entire company and were used for share-based compensation purposes.</w:t>
      </w:r>
    </w:p>
    <w:p>
      <w:pPr>
        <w:spacing w:after="0" w:line="122"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Class C Units </w:t>
      </w:r>
      <w:r>
        <w:rPr>
          <w:rFonts w:ascii="Arial" w:cs="Arial" w:eastAsia="Arial" w:hAnsi="Arial"/>
          <w:sz w:val="16"/>
          <w:szCs w:val="16"/>
          <w:color w:val="auto"/>
        </w:rPr>
        <w:t>— During the Predecessor period, 17,500,000 Class C units were authorized and 9,271,556 units were issued. These units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common equity in that they provided rights to distributions junior to the A Units. These units represented an equity interest in the entire Company with rights to distributions from earnings generated only by the Company’s screening business. Class C units were used for share-based compensation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and Preferred Stock</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June 25, 2021, the Company completed its IPO of 29,325,000 shares of the Company common stock, $0.001 par value per share at an offering price of $15.00 per share, pursuant to the Company’s IPO Registration Statement. The Company sold 22,856,250 shares, including 2,981,250 shares that were sold pursuant to the full exercise of the underwriters’ option to purchase additional shares. Certain existing stockholders sold an aggregate of 6,468,750 shares, including 843,750 shares that were sold pursuant to the full exercise of the underwriters’ option to purchase additional shares. The Company received aggregate net proceeds of $316.5 million after deducting underwriting discounts and commissions of $22.3 million and other offering costs of $4.0 million.</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Immediately prior to the completion of the IPO, the Company filed an Amended and Restated Certificate of Incorporation, which authorized a total of 1,000,000,000 shares of Common Stock, $0.001 par value per share and 250,000,000 shares of Preferred Stock, par value $0.001 per share. After filing the Amended and Restated Certificate of Incorporation, certain redemptions, exchanges, and conversions were made in connection with the dissolution of Fastball Holdco, L.P., the Company’s parent, which occurred prior to the completion of the IPO.</w:t>
      </w:r>
    </w:p>
    <w:p>
      <w:pPr>
        <w:spacing w:after="0" w:line="13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November 15, 2021, the Company completed a follow-on offering (“November 2021 Follow-On”) where certain existing stockholders sold an aggregate of 15,000,000 shares, plus an additional 2,250,000 shares that were sold pursuant to the full exercise of the underwriters’ option to purchase additional shares. The Company did not sell any shares of its common stock in the November 2021 Follow-On Offering and did not receive any of the proceeds from the sale of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no preferred stock had been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August 2, 2022, the Company’s Board of Directors authorized the repurchase of up to $50.0 million of the Company’s common stock over the 12-month period ending August 2, 2023 (the “Repurchase Program”). On November 8, 2022, the Company' Board of Directors authorized an increase to the total available amount under its Repurchase Program to $150.0 million and extended the program through December 31, 2023.</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A summary of the stock repurchase activity under the Repurchase Program, is summarized as follows (in thousands, except share and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8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00" w:type="dxa"/>
            <w:vAlign w:val="bottom"/>
          </w:tcPr>
          <w:p>
            <w:pPr>
              <w:jc w:val="center"/>
              <w:ind w:right="477"/>
              <w:spacing w:after="0" w:line="133" w:lineRule="exact"/>
              <w:rPr>
                <w:sz w:val="20"/>
                <w:szCs w:val="20"/>
                <w:color w:val="auto"/>
              </w:rPr>
            </w:pPr>
            <w:r>
              <w:rPr>
                <w:rFonts w:ascii="Arial" w:cs="Arial" w:eastAsia="Arial" w:hAnsi="Arial"/>
                <w:sz w:val="14"/>
                <w:szCs w:val="14"/>
                <w:b w:val="1"/>
                <w:bCs w:val="1"/>
                <w:color w:val="auto"/>
                <w:w w:val="96"/>
              </w:rPr>
              <w:t>Year Ended</w:t>
            </w:r>
          </w:p>
        </w:tc>
      </w:tr>
      <w:tr>
        <w:trPr>
          <w:trHeight w:val="185"/>
        </w:trPr>
        <w:tc>
          <w:tcPr>
            <w:tcW w:w="8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93"/>
              </w:rPr>
              <w:t>December 31, 2022</w:t>
            </w:r>
          </w:p>
        </w:tc>
      </w:tr>
      <w:tr>
        <w:trPr>
          <w:trHeight w:val="237"/>
        </w:trPr>
        <w:tc>
          <w:tcPr>
            <w:tcW w:w="8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repurchased</w:t>
            </w:r>
          </w:p>
        </w:tc>
        <w:tc>
          <w:tcPr>
            <w:tcW w:w="420" w:type="dxa"/>
            <w:vAlign w:val="bottom"/>
            <w:shd w:val="clear" w:color="auto" w:fill="CFF0FC"/>
          </w:tcPr>
          <w:p>
            <w:pPr>
              <w:spacing w:after="0"/>
              <w:rPr>
                <w:sz w:val="20"/>
                <w:szCs w:val="20"/>
                <w:color w:val="auto"/>
              </w:rPr>
            </w:pPr>
          </w:p>
        </w:tc>
        <w:tc>
          <w:tcPr>
            <w:tcW w:w="2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4,670,975</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Average price per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37"/>
              <w:spacing w:after="0"/>
              <w:rPr>
                <w:sz w:val="20"/>
                <w:szCs w:val="20"/>
                <w:color w:val="auto"/>
              </w:rPr>
            </w:pPr>
            <w:r>
              <w:rPr>
                <w:rFonts w:ascii="Arial" w:cs="Arial" w:eastAsia="Arial" w:hAnsi="Arial"/>
                <w:sz w:val="18"/>
                <w:szCs w:val="18"/>
                <w:color w:val="auto"/>
              </w:rPr>
              <w:t>12.94</w:t>
            </w:r>
          </w:p>
        </w:tc>
      </w:tr>
      <w:tr>
        <w:trPr>
          <w:trHeight w:val="249"/>
        </w:trPr>
        <w:tc>
          <w:tcPr>
            <w:tcW w:w="8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recorded to accumulated deficit</w:t>
            </w:r>
          </w:p>
        </w:tc>
        <w:tc>
          <w:tcPr>
            <w:tcW w:w="420" w:type="dxa"/>
            <w:vAlign w:val="bottom"/>
            <w:shd w:val="clear" w:color="auto" w:fill="CFF0FC"/>
          </w:tcPr>
          <w:p>
            <w:pPr>
              <w:spacing w:after="0"/>
              <w:rPr>
                <w:sz w:val="21"/>
                <w:szCs w:val="21"/>
                <w:color w:val="auto"/>
              </w:rPr>
            </w:pPr>
          </w:p>
        </w:tc>
        <w:tc>
          <w:tcPr>
            <w:tcW w:w="2300" w:type="dxa"/>
            <w:vAlign w:val="bottom"/>
            <w:shd w:val="clear" w:color="auto" w:fill="CFF0FC"/>
          </w:tcPr>
          <w:p>
            <w:pPr>
              <w:spacing w:after="0"/>
              <w:rPr>
                <w:sz w:val="21"/>
                <w:szCs w:val="2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8"/>
                <w:szCs w:val="18"/>
                <w:color w:val="auto"/>
              </w:rPr>
              <w:t>Total repurchase costs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ind w:right="37"/>
              <w:spacing w:after="0"/>
              <w:rPr>
                <w:sz w:val="20"/>
                <w:szCs w:val="20"/>
                <w:color w:val="auto"/>
              </w:rPr>
            </w:pPr>
            <w:r>
              <w:rPr>
                <w:rFonts w:ascii="Arial" w:cs="Arial" w:eastAsia="Arial" w:hAnsi="Arial"/>
                <w:sz w:val="18"/>
                <w:szCs w:val="18"/>
                <w:color w:val="auto"/>
              </w:rPr>
              <w:t>60,438</w:t>
            </w:r>
          </w:p>
        </w:tc>
      </w:tr>
      <w:tr>
        <w:trPr>
          <w:trHeight w:val="249"/>
        </w:trPr>
        <w:tc>
          <w:tcPr>
            <w:tcW w:w="8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Additional associated costs</w:t>
            </w:r>
          </w:p>
        </w:tc>
        <w:tc>
          <w:tcPr>
            <w:tcW w:w="420" w:type="dxa"/>
            <w:vAlign w:val="bottom"/>
            <w:tcBorders>
              <w:bottom w:val="single" w:sz="8" w:color="auto"/>
            </w:tcBorders>
            <w:shd w:val="clear" w:color="auto" w:fill="CFF0FC"/>
          </w:tcPr>
          <w:p>
            <w:pPr>
              <w:spacing w:after="0"/>
              <w:rPr>
                <w:sz w:val="21"/>
                <w:szCs w:val="21"/>
                <w:color w:val="auto"/>
              </w:rPr>
            </w:pPr>
          </w:p>
        </w:tc>
        <w:tc>
          <w:tcPr>
            <w:tcW w:w="2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92</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Total costs recorded to accumulated deficit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60,530</w:t>
            </w:r>
          </w:p>
        </w:tc>
      </w:tr>
      <w:tr>
        <w:trPr>
          <w:trHeight w:val="20"/>
        </w:trPr>
        <w:tc>
          <w:tcPr>
            <w:tcW w:w="8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2022, the remaining authorized value of shares available to be repurchased under the Repurchase Program was approximately $89.5 million.</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Repurchased shares of common stock are retired. The par value of repurchased shares is deducted from common stock and the excess repurchase price over par value is reflected as a reduction to accumulated deficit.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7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in litigation from time to time in the ordinary course of business. At times, the Company, given the nature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background screening business, could become subject to lawsuits, or potential class action lawsuits, in multiple jurisdictions, related to claims brought primarily by consumers or individuals who were the subject of its screening services.</w:t>
      </w:r>
    </w:p>
    <w:p>
      <w:pPr>
        <w:spacing w:after="0" w:line="12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all pending matters, the Company believes it has meritorious defenses and intends to defend vigorously or otherwise seek indemnification from other parties as appropriate. However, the Company has recorded a liability of $4.4 million and $7.9 million at December 31, 2022 and 2021 (Successor), respectively, for matters that it believes a loss is both probable and estimable. This is included in accrued liabilities in the accompanying consolidated balance sheets as of December 31, 2022 and 2021 (Successor), respectively.</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2014 and September 2015, two separate class action cases were filed against the Company in the State of California. The two cases were coordinated together under a single judge and a single settlement agreement for both cases as coordinated together was approved by the court in December 2021. As a result, the Company recorded a total liability of $5.5 million for this settlement agreement at December 31, 2021 (Successor). This liability represented the settlement amount and related class action administrative fees, less certain payments made in December 2021. The remaining settlement amount was paid in February 2022.</w:t>
      </w:r>
    </w:p>
    <w:p>
      <w:pPr>
        <w:spacing w:after="0" w:line="13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Additionally, the Company maintains liability insurance programs to manage its litigation risks and the Company’s insurers had agreed to a single deductible to be applied to the two cases. As a result, the Company recorded a total insurance receivable of $2.1 million for this settlement agreement at December 31, 2021 (Successor), which represented the portion of the legal settlement and legal fees incurred by the Company which were recovered from the Company’s insurers in March 2022. This was included in prepaid expenses and other current assets in the accompanying consolidated balance sheets.</w:t>
      </w:r>
    </w:p>
    <w:p>
      <w:pPr>
        <w:spacing w:after="0" w:line="10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Effective January 1, 2022, the Company adopted ASC 842, which requires recognition of ROU assets and lease liabilities on the balance sheet, based on the present value of the future minimum rental payments for existing operating leases. The Company adopted the provisions of ASC 842 on January 1, 2022 using a modified retrospective approach through a cumulative effect adjustment to retained earnings as of the beginning of the period of adoption in line with the new transition method allowed under ASU 2018-11. ASC 842 provides a number of optional practical expedients in transition. The Company elected the “package of practical expedients” which permits the Company not to reassess under the new standard its prior conclusions about lease identification, lease classification, and initial direct costs. The Company did not elect the use-of-hindsight and elected the practical expedient pertaining to land easements. The new standard also provides practical expedients for an entity’s ongoing accounting for leases. The Company elected the short-term lease exemption for all leases that qualify, meaning the Company will not recognize ROU assets or lease liabilities for leases with terms shorter than twelve months. The Company also elected the practical expedient to not separate lease and non-lease components for a majority of its asset classes, including real estate and most equipment.</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measures the ROU assets and liabilities based on the present 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The ROU assets are adjusted for any initial direct costs incurred less any lease incentives received, in addition to payments made on or before the commencement date of the lease. The Company recognizes lease expense for leases on a straight-line basis over the lease term.</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the implicit rate is not readily determinable for most of the Company’s lease agreements, the Company uses an estimated incremental borrowing rate to determine the initial present value of lease payments.</w:t>
      </w:r>
    </w:p>
    <w:p>
      <w:pPr>
        <w:spacing w:after="0" w:line="11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determines if a contract is or contains a lease at inception. The Company has operating and finance leases for office space, data centers, and equipment. Leases with an initial term of 12 months or less are not recorded on the balance sheet. The Company enters into lease contracts ranging from 1 to 8 years with a majority of the Company’s lease terms ranging from 3 to 5 years.</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Some leases include one or more options to renew, with renewal terms that can extend the lease term from 1 to 5 years or more. The exercise of these lease renewal options is at the Company’s sole discretion and typically are not reasonably certain to renew at inception. The depreciable life of assets and leasehold improvements are limited by the expected lease term.</w:t>
      </w:r>
    </w:p>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Certain of our leases include rental payments that will adjust periodically for inflation or certain adjustments based on step increases. An insignificant number of our leases contain residual value guarantees and none of our agreements contain material restrictive covenants. Variable rent expenses consist primarily of maintenance, property taxes, and charges based on usage.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ind w:right="435"/>
              <w:spacing w:after="0"/>
              <w:rPr>
                <w:sz w:val="20"/>
                <w:szCs w:val="20"/>
                <w:color w:val="auto"/>
              </w:rPr>
            </w:pPr>
            <w:r>
              <w:rPr>
                <w:rFonts w:ascii="Arial" w:cs="Arial" w:eastAsia="Arial" w:hAnsi="Arial"/>
                <w:sz w:val="14"/>
                <w:szCs w:val="14"/>
                <w:b w:val="1"/>
                <w:bCs w:val="1"/>
                <w:color w:val="auto"/>
                <w:w w:val="84"/>
              </w:rPr>
              <w:t>Successor</w:t>
            </w:r>
          </w:p>
        </w:tc>
        <w:tc>
          <w:tcPr>
            <w:tcW w:w="560" w:type="dxa"/>
            <w:vAlign w:val="bottom"/>
          </w:tcPr>
          <w:p>
            <w:pPr>
              <w:spacing w:after="0"/>
              <w:rPr>
                <w:sz w:val="16"/>
                <w:szCs w:val="16"/>
                <w:color w:val="auto"/>
              </w:rPr>
            </w:pPr>
          </w:p>
        </w:tc>
      </w:tr>
      <w:tr>
        <w:trPr>
          <w:trHeight w:val="133"/>
        </w:trPr>
        <w:tc>
          <w:tcPr>
            <w:tcW w:w="5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60" w:type="dxa"/>
            <w:vAlign w:val="bottom"/>
          </w:tcPr>
          <w:p>
            <w:pPr>
              <w:jc w:val="center"/>
              <w:ind w:right="475"/>
              <w:spacing w:after="0" w:line="133" w:lineRule="exact"/>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ind w:right="435"/>
              <w:spacing w:after="0"/>
              <w:rPr>
                <w:sz w:val="20"/>
                <w:szCs w:val="20"/>
                <w:color w:val="auto"/>
              </w:rPr>
            </w:pPr>
            <w:r>
              <w:rPr>
                <w:rFonts w:ascii="Arial" w:cs="Arial" w:eastAsia="Arial" w:hAnsi="Arial"/>
                <w:sz w:val="14"/>
                <w:szCs w:val="14"/>
                <w:b w:val="1"/>
                <w:bCs w:val="1"/>
                <w:color w:val="auto"/>
                <w:w w:val="91"/>
              </w:rPr>
              <w:t>December 31, 2022</w:t>
            </w: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37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36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Fixed</w:t>
            </w:r>
          </w:p>
        </w:tc>
        <w:tc>
          <w:tcPr>
            <w:tcW w:w="4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35"/>
              <w:spacing w:after="0"/>
              <w:rPr>
                <w:sz w:val="20"/>
                <w:szCs w:val="20"/>
                <w:color w:val="auto"/>
              </w:rPr>
            </w:pPr>
            <w:r>
              <w:rPr>
                <w:rFonts w:ascii="Arial" w:cs="Arial" w:eastAsia="Arial" w:hAnsi="Arial"/>
                <w:sz w:val="18"/>
                <w:szCs w:val="18"/>
                <w:color w:val="auto"/>
              </w:rPr>
              <w:t>7,102</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Short-term</w:t>
            </w:r>
          </w:p>
        </w:tc>
        <w:tc>
          <w:tcPr>
            <w:tcW w:w="3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247</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Variable</w:t>
            </w:r>
          </w:p>
        </w:tc>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6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Sub-leases</w:t>
            </w:r>
          </w:p>
        </w:tc>
        <w:tc>
          <w:tcPr>
            <w:tcW w:w="37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2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4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35"/>
              <w:spacing w:after="0"/>
              <w:rPr>
                <w:sz w:val="20"/>
                <w:szCs w:val="20"/>
                <w:color w:val="auto"/>
              </w:rPr>
            </w:pPr>
            <w:r>
              <w:rPr>
                <w:rFonts w:ascii="Arial" w:cs="Arial" w:eastAsia="Arial" w:hAnsi="Arial"/>
                <w:sz w:val="18"/>
                <w:szCs w:val="18"/>
                <w:color w:val="auto"/>
              </w:rPr>
              <w:t>7,321</w:t>
            </w: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p>
        </w:tc>
        <w:tc>
          <w:tcPr>
            <w:tcW w:w="37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360" w:type="dxa"/>
            <w:vAlign w:val="bottom"/>
            <w:tcBorders>
              <w:top w:val="single" w:sz="8" w:color="auto"/>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Finance lease costs</w:t>
            </w:r>
          </w:p>
        </w:tc>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Amortization of leased assets</w:t>
            </w:r>
          </w:p>
        </w:tc>
        <w:tc>
          <w:tcPr>
            <w:tcW w:w="42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713</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540" w:type="dxa"/>
            <w:vAlign w:val="bottom"/>
          </w:tcPr>
          <w:p>
            <w:pPr>
              <w:ind w:left="100"/>
              <w:spacing w:after="0"/>
              <w:rPr>
                <w:sz w:val="20"/>
                <w:szCs w:val="20"/>
                <w:color w:val="auto"/>
              </w:rPr>
            </w:pPr>
            <w:r>
              <w:rPr>
                <w:rFonts w:ascii="Arial" w:cs="Arial" w:eastAsia="Arial" w:hAnsi="Arial"/>
                <w:sz w:val="18"/>
                <w:szCs w:val="18"/>
                <w:color w:val="auto"/>
              </w:rPr>
              <w:t>Interest on lease liabilities</w:t>
            </w:r>
          </w:p>
        </w:tc>
        <w:tc>
          <w:tcPr>
            <w:tcW w:w="37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5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finance lease costs</w:t>
            </w:r>
          </w:p>
        </w:tc>
        <w:tc>
          <w:tcPr>
            <w:tcW w:w="37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742</w:t>
            </w: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540" w:type="dxa"/>
            <w:vAlign w:val="bottom"/>
          </w:tcPr>
          <w:p>
            <w:pPr>
              <w:ind w:left="280"/>
              <w:spacing w:after="0"/>
              <w:rPr>
                <w:sz w:val="20"/>
                <w:szCs w:val="20"/>
                <w:color w:val="auto"/>
              </w:rPr>
            </w:pPr>
            <w:r>
              <w:rPr>
                <w:rFonts w:ascii="Arial" w:cs="Arial" w:eastAsia="Arial" w:hAnsi="Arial"/>
                <w:sz w:val="18"/>
                <w:szCs w:val="18"/>
                <w:color w:val="auto"/>
              </w:rPr>
              <w:t>Total lease cost</w:t>
            </w:r>
          </w:p>
        </w:tc>
        <w:tc>
          <w:tcPr>
            <w:tcW w:w="37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8,063</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00" w:type="dxa"/>
            <w:vAlign w:val="bottom"/>
            <w:gridSpan w:val="2"/>
          </w:tcPr>
          <w:p>
            <w:pPr>
              <w:jc w:val="right"/>
              <w:ind w:right="2430"/>
              <w:spacing w:after="0"/>
              <w:rPr>
                <w:sz w:val="20"/>
                <w:szCs w:val="20"/>
                <w:color w:val="auto"/>
              </w:rPr>
            </w:pPr>
            <w:r>
              <w:rPr>
                <w:rFonts w:ascii="Arial" w:cs="Arial" w:eastAsia="Arial" w:hAnsi="Arial"/>
                <w:sz w:val="18"/>
                <w:szCs w:val="18"/>
                <w:color w:val="auto"/>
              </w:rPr>
              <w:t>F-35</w:t>
            </w: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164" w:lineRule="exact"/>
        <w:rPr>
          <w:sz w:val="20"/>
          <w:szCs w:val="20"/>
          <w:color w:val="auto"/>
        </w:rPr>
      </w:pPr>
    </w:p>
    <w:tbl>
      <w:tblPr>
        <w:tblLayout w:type="fixed"/>
        <w:tblInd w:w="4820" w:type="dxa"/>
        <w:tblCellMar>
          <w:top w:w="0" w:type="dxa"/>
          <w:left w:w="0" w:type="dxa"/>
          <w:bottom w:w="0" w:type="dxa"/>
          <w:right w:w="0" w:type="dxa"/>
        </w:tblCellMar>
      </w:tblPr>
      <w:tr>
        <w:trPr>
          <w:trHeight w:val="16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2940" w:type="dxa"/>
            <w:vAlign w:val="bottom"/>
          </w:tcPr>
          <w:p>
            <w:pPr>
              <w:jc w:val="center"/>
              <w:ind w:left="1708"/>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2940" w:type="dxa"/>
            <w:vAlign w:val="bottom"/>
          </w:tcPr>
          <w:p>
            <w:pPr>
              <w:jc w:val="center"/>
              <w:ind w:left="1728"/>
              <w:spacing w:after="0"/>
              <w:rPr>
                <w:sz w:val="20"/>
                <w:szCs w:val="20"/>
                <w:color w:val="auto"/>
              </w:rPr>
            </w:pPr>
            <w:r>
              <w:rPr>
                <w:rFonts w:ascii="Arial" w:cs="Arial" w:eastAsia="Arial" w:hAnsi="Arial"/>
                <w:sz w:val="14"/>
                <w:szCs w:val="14"/>
                <w:b w:val="1"/>
                <w:bCs w:val="1"/>
                <w:color w:val="auto"/>
                <w:w w:val="87"/>
              </w:rPr>
              <w:t>(Successor)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tbl>
      <w:tblPr>
        <w:tblLayout w:type="fixed"/>
        <w:tblInd w:w="580" w:type="dxa"/>
        <w:tblCellMar>
          <w:top w:w="0" w:type="dxa"/>
          <w:left w:w="0" w:type="dxa"/>
          <w:bottom w:w="0" w:type="dxa"/>
          <w:right w:w="0" w:type="dxa"/>
        </w:tblCellMar>
      </w:tblPr>
      <w:tr>
        <w:trPr>
          <w:trHeight w:val="236"/>
        </w:trPr>
        <w:tc>
          <w:tcPr>
            <w:tcW w:w="4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120" w:type="dxa"/>
            <w:vAlign w:val="bottom"/>
            <w:tcBorders>
              <w:top w:val="single" w:sz="8" w:color="auto"/>
            </w:tcBorders>
          </w:tcPr>
          <w:p>
            <w:pPr>
              <w:spacing w:after="0"/>
              <w:rPr>
                <w:sz w:val="20"/>
                <w:szCs w:val="20"/>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Operating leases</w:t>
            </w:r>
          </w:p>
        </w:tc>
        <w:tc>
          <w:tcPr>
            <w:tcW w:w="4120" w:type="dxa"/>
            <w:vAlign w:val="bottom"/>
          </w:tcPr>
          <w:p>
            <w:pPr>
              <w:spacing w:after="0"/>
              <w:rPr>
                <w:sz w:val="20"/>
                <w:szCs w:val="20"/>
                <w:color w:val="auto"/>
              </w:rPr>
            </w:pPr>
          </w:p>
        </w:tc>
      </w:tr>
      <w:tr>
        <w:trPr>
          <w:trHeight w:val="243"/>
        </w:trPr>
        <w:tc>
          <w:tcPr>
            <w:tcW w:w="4240" w:type="dxa"/>
            <w:vAlign w:val="bottom"/>
          </w:tcPr>
          <w:p>
            <w:pPr>
              <w:ind w:left="100"/>
              <w:spacing w:after="0"/>
              <w:rPr>
                <w:sz w:val="20"/>
                <w:szCs w:val="20"/>
                <w:color w:val="auto"/>
              </w:rPr>
            </w:pPr>
            <w:r>
              <w:rPr>
                <w:rFonts w:ascii="Arial" w:cs="Arial" w:eastAsia="Arial" w:hAnsi="Arial"/>
                <w:sz w:val="18"/>
                <w:szCs w:val="18"/>
                <w:color w:val="auto"/>
              </w:rPr>
              <w:t>Right of use operating lease assets</w:t>
            </w:r>
          </w:p>
        </w:tc>
        <w:tc>
          <w:tcPr>
            <w:tcW w:w="4120" w:type="dxa"/>
            <w:vAlign w:val="bottom"/>
          </w:tcPr>
          <w:p>
            <w:pPr>
              <w:spacing w:after="0"/>
              <w:rPr>
                <w:sz w:val="20"/>
                <w:szCs w:val="20"/>
                <w:color w:val="auto"/>
              </w:rPr>
            </w:pPr>
            <w:r>
              <w:rPr>
                <w:rFonts w:ascii="Arial" w:cs="Arial" w:eastAsia="Arial" w:hAnsi="Arial"/>
                <w:sz w:val="18"/>
                <w:szCs w:val="18"/>
                <w:color w:val="auto"/>
              </w:rPr>
              <w:t>Other assets</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Finance leases</w:t>
            </w:r>
          </w:p>
        </w:tc>
        <w:tc>
          <w:tcPr>
            <w:tcW w:w="4120" w:type="dxa"/>
            <w:vAlign w:val="bottom"/>
          </w:tcPr>
          <w:p>
            <w:pPr>
              <w:spacing w:after="0"/>
              <w:rPr>
                <w:sz w:val="21"/>
                <w:szCs w:val="21"/>
                <w:color w:val="auto"/>
              </w:rPr>
            </w:pPr>
          </w:p>
        </w:tc>
      </w:tr>
      <w:tr>
        <w:trPr>
          <w:trHeight w:val="243"/>
        </w:trPr>
        <w:tc>
          <w:tcPr>
            <w:tcW w:w="4240" w:type="dxa"/>
            <w:vAlign w:val="bottom"/>
          </w:tcPr>
          <w:p>
            <w:pPr>
              <w:ind w:left="100"/>
              <w:spacing w:after="0"/>
              <w:rPr>
                <w:sz w:val="20"/>
                <w:szCs w:val="20"/>
                <w:color w:val="auto"/>
              </w:rPr>
            </w:pPr>
            <w:r>
              <w:rPr>
                <w:rFonts w:ascii="Arial" w:cs="Arial" w:eastAsia="Arial" w:hAnsi="Arial"/>
                <w:sz w:val="18"/>
                <w:szCs w:val="18"/>
                <w:color w:val="auto"/>
              </w:rPr>
              <w:t>Property and equipment, gross</w:t>
            </w:r>
          </w:p>
        </w:tc>
        <w:tc>
          <w:tcPr>
            <w:tcW w:w="4120" w:type="dxa"/>
            <w:vAlign w:val="bottom"/>
          </w:tcPr>
          <w:p>
            <w:pPr>
              <w:spacing w:after="0"/>
              <w:rPr>
                <w:sz w:val="20"/>
                <w:szCs w:val="20"/>
                <w:color w:val="auto"/>
              </w:rPr>
            </w:pPr>
            <w:r>
              <w:rPr>
                <w:rFonts w:ascii="Arial" w:cs="Arial" w:eastAsia="Arial" w:hAnsi="Arial"/>
                <w:sz w:val="18"/>
                <w:szCs w:val="18"/>
                <w:color w:val="auto"/>
              </w:rPr>
              <w:t>Property and equipment, net</w:t>
            </w:r>
          </w:p>
        </w:tc>
      </w:tr>
      <w:tr>
        <w:trPr>
          <w:trHeight w:val="257"/>
        </w:trPr>
        <w:tc>
          <w:tcPr>
            <w:tcW w:w="4240" w:type="dxa"/>
            <w:vAlign w:val="bottom"/>
          </w:tcPr>
          <w:p>
            <w:pPr>
              <w:ind w:left="100"/>
              <w:spacing w:after="0"/>
              <w:rPr>
                <w:sz w:val="20"/>
                <w:szCs w:val="20"/>
                <w:color w:val="auto"/>
              </w:rPr>
            </w:pPr>
            <w:r>
              <w:rPr>
                <w:rFonts w:ascii="Arial" w:cs="Arial" w:eastAsia="Arial" w:hAnsi="Arial"/>
                <w:sz w:val="18"/>
                <w:szCs w:val="18"/>
                <w:color w:val="auto"/>
              </w:rPr>
              <w:t>Accumulated depreciation</w:t>
            </w:r>
          </w:p>
        </w:tc>
        <w:tc>
          <w:tcPr>
            <w:tcW w:w="4120" w:type="dxa"/>
            <w:vAlign w:val="bottom"/>
          </w:tcPr>
          <w:p>
            <w:pPr>
              <w:spacing w:after="0"/>
              <w:rPr>
                <w:sz w:val="20"/>
                <w:szCs w:val="20"/>
                <w:color w:val="auto"/>
              </w:rPr>
            </w:pPr>
            <w:r>
              <w:rPr>
                <w:rFonts w:ascii="Arial" w:cs="Arial" w:eastAsia="Arial" w:hAnsi="Arial"/>
                <w:sz w:val="18"/>
                <w:szCs w:val="18"/>
                <w:color w:val="auto"/>
              </w:rPr>
              <w:t>Property and equipment, net</w:t>
            </w:r>
          </w:p>
        </w:tc>
      </w:tr>
      <w:tr>
        <w:trPr>
          <w:trHeight w:val="256"/>
        </w:trPr>
        <w:tc>
          <w:tcPr>
            <w:tcW w:w="42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4120" w:type="dxa"/>
            <w:vAlign w:val="bottom"/>
          </w:tcPr>
          <w:p>
            <w:pPr>
              <w:spacing w:after="0"/>
              <w:rPr>
                <w:sz w:val="20"/>
                <w:szCs w:val="20"/>
                <w:color w:val="auto"/>
              </w:rPr>
            </w:pPr>
            <w:r>
              <w:rPr>
                <w:rFonts w:ascii="Arial" w:cs="Arial" w:eastAsia="Arial" w:hAnsi="Arial"/>
                <w:sz w:val="18"/>
                <w:szCs w:val="18"/>
                <w:color w:val="auto"/>
              </w:rPr>
              <w:t>Property and equipment, net</w:t>
            </w:r>
          </w:p>
        </w:tc>
      </w:tr>
      <w:tr>
        <w:trPr>
          <w:trHeight w:val="284"/>
        </w:trPr>
        <w:tc>
          <w:tcPr>
            <w:tcW w:w="4240" w:type="dxa"/>
            <w:vAlign w:val="bottom"/>
          </w:tcPr>
          <w:p>
            <w:pPr>
              <w:ind w:left="180"/>
              <w:spacing w:after="0"/>
              <w:rPr>
                <w:sz w:val="20"/>
                <w:szCs w:val="20"/>
                <w:color w:val="auto"/>
              </w:rPr>
            </w:pPr>
            <w:r>
              <w:rPr>
                <w:rFonts w:ascii="Arial" w:cs="Arial" w:eastAsia="Arial" w:hAnsi="Arial"/>
                <w:sz w:val="18"/>
                <w:szCs w:val="18"/>
                <w:color w:val="auto"/>
              </w:rPr>
              <w:t>Total lease assets</w:t>
            </w:r>
          </w:p>
        </w:tc>
        <w:tc>
          <w:tcPr>
            <w:tcW w:w="4120" w:type="dxa"/>
            <w:vAlign w:val="bottom"/>
          </w:tcPr>
          <w:p>
            <w:pPr>
              <w:spacing w:after="0"/>
              <w:rPr>
                <w:sz w:val="24"/>
                <w:szCs w:val="24"/>
                <w:color w:val="auto"/>
              </w:rPr>
            </w:pPr>
          </w:p>
        </w:tc>
      </w:tr>
      <w:tr>
        <w:trPr>
          <w:trHeight w:val="486"/>
        </w:trPr>
        <w:tc>
          <w:tcPr>
            <w:tcW w:w="4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120" w:type="dxa"/>
            <w:vAlign w:val="bottom"/>
          </w:tcPr>
          <w:p>
            <w:pPr>
              <w:spacing w:after="0"/>
              <w:rPr>
                <w:sz w:val="24"/>
                <w:szCs w:val="24"/>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Operating leases</w:t>
            </w:r>
          </w:p>
        </w:tc>
        <w:tc>
          <w:tcPr>
            <w:tcW w:w="4120" w:type="dxa"/>
            <w:vAlign w:val="bottom"/>
          </w:tcPr>
          <w:p>
            <w:pPr>
              <w:spacing w:after="0"/>
              <w:rPr>
                <w:sz w:val="21"/>
                <w:szCs w:val="21"/>
                <w:color w:val="auto"/>
              </w:rPr>
            </w:pPr>
          </w:p>
        </w:tc>
      </w:tr>
      <w:tr>
        <w:trPr>
          <w:trHeight w:val="243"/>
        </w:trPr>
        <w:tc>
          <w:tcPr>
            <w:tcW w:w="4240" w:type="dxa"/>
            <w:vAlign w:val="bottom"/>
          </w:tcPr>
          <w:p>
            <w:pPr>
              <w:ind w:left="100"/>
              <w:spacing w:after="0"/>
              <w:rPr>
                <w:sz w:val="20"/>
                <w:szCs w:val="20"/>
                <w:color w:val="auto"/>
              </w:rPr>
            </w:pPr>
            <w:r>
              <w:rPr>
                <w:rFonts w:ascii="Arial" w:cs="Arial" w:eastAsia="Arial" w:hAnsi="Arial"/>
                <w:sz w:val="18"/>
                <w:szCs w:val="18"/>
                <w:color w:val="auto"/>
              </w:rPr>
              <w:t>Other current</w:t>
            </w:r>
          </w:p>
        </w:tc>
        <w:tc>
          <w:tcPr>
            <w:tcW w:w="412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r>
      <w:tr>
        <w:trPr>
          <w:trHeight w:val="257"/>
        </w:trPr>
        <w:tc>
          <w:tcPr>
            <w:tcW w:w="4240" w:type="dxa"/>
            <w:vAlign w:val="bottom"/>
          </w:tcPr>
          <w:p>
            <w:pPr>
              <w:ind w:left="100"/>
              <w:spacing w:after="0"/>
              <w:rPr>
                <w:sz w:val="20"/>
                <w:szCs w:val="20"/>
                <w:color w:val="auto"/>
              </w:rPr>
            </w:pPr>
            <w:r>
              <w:rPr>
                <w:rFonts w:ascii="Arial" w:cs="Arial" w:eastAsia="Arial" w:hAnsi="Arial"/>
                <w:sz w:val="18"/>
                <w:szCs w:val="18"/>
                <w:color w:val="auto"/>
              </w:rPr>
              <w:t>Non-current</w:t>
            </w:r>
          </w:p>
        </w:tc>
        <w:tc>
          <w:tcPr>
            <w:tcW w:w="4120" w:type="dxa"/>
            <w:vAlign w:val="bottom"/>
          </w:tcPr>
          <w:p>
            <w:pPr>
              <w:spacing w:after="0"/>
              <w:rPr>
                <w:sz w:val="20"/>
                <w:szCs w:val="20"/>
                <w:color w:val="auto"/>
              </w:rPr>
            </w:pPr>
            <w:r>
              <w:rPr>
                <w:rFonts w:ascii="Arial" w:cs="Arial" w:eastAsia="Arial" w:hAnsi="Arial"/>
                <w:sz w:val="18"/>
                <w:szCs w:val="18"/>
                <w:color w:val="auto"/>
              </w:rPr>
              <w:t>Operating lease liability, less current portion</w:t>
            </w:r>
          </w:p>
        </w:tc>
      </w:tr>
      <w:tr>
        <w:trPr>
          <w:trHeight w:val="256"/>
        </w:trPr>
        <w:tc>
          <w:tcPr>
            <w:tcW w:w="4240" w:type="dxa"/>
            <w:vAlign w:val="bottom"/>
          </w:tcPr>
          <w:p>
            <w:pPr>
              <w:ind w:left="180"/>
              <w:spacing w:after="0"/>
              <w:rPr>
                <w:sz w:val="20"/>
                <w:szCs w:val="20"/>
                <w:color w:val="auto"/>
              </w:rPr>
            </w:pPr>
            <w:r>
              <w:rPr>
                <w:rFonts w:ascii="Arial" w:cs="Arial" w:eastAsia="Arial" w:hAnsi="Arial"/>
                <w:sz w:val="18"/>
                <w:szCs w:val="18"/>
                <w:color w:val="auto"/>
              </w:rPr>
              <w:t>Total operating liabilities</w:t>
            </w:r>
          </w:p>
        </w:tc>
        <w:tc>
          <w:tcPr>
            <w:tcW w:w="4120" w:type="dxa"/>
            <w:vAlign w:val="bottom"/>
          </w:tcPr>
          <w:p>
            <w:pPr>
              <w:spacing w:after="0"/>
              <w:rPr>
                <w:sz w:val="22"/>
                <w:szCs w:val="22"/>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Finance leases</w:t>
            </w:r>
          </w:p>
        </w:tc>
        <w:tc>
          <w:tcPr>
            <w:tcW w:w="4120" w:type="dxa"/>
            <w:vAlign w:val="bottom"/>
          </w:tcPr>
          <w:p>
            <w:pPr>
              <w:spacing w:after="0"/>
              <w:rPr>
                <w:sz w:val="21"/>
                <w:szCs w:val="21"/>
                <w:color w:val="auto"/>
              </w:rPr>
            </w:pPr>
          </w:p>
        </w:tc>
      </w:tr>
      <w:tr>
        <w:trPr>
          <w:trHeight w:val="243"/>
        </w:trPr>
        <w:tc>
          <w:tcPr>
            <w:tcW w:w="4240" w:type="dxa"/>
            <w:vAlign w:val="bottom"/>
          </w:tcPr>
          <w:p>
            <w:pPr>
              <w:ind w:left="100"/>
              <w:spacing w:after="0"/>
              <w:rPr>
                <w:sz w:val="20"/>
                <w:szCs w:val="20"/>
                <w:color w:val="auto"/>
              </w:rPr>
            </w:pPr>
            <w:r>
              <w:rPr>
                <w:rFonts w:ascii="Arial" w:cs="Arial" w:eastAsia="Arial" w:hAnsi="Arial"/>
                <w:sz w:val="18"/>
                <w:szCs w:val="18"/>
                <w:color w:val="auto"/>
              </w:rPr>
              <w:t>Other current</w:t>
            </w:r>
          </w:p>
        </w:tc>
        <w:tc>
          <w:tcPr>
            <w:tcW w:w="4120" w:type="dxa"/>
            <w:vAlign w:val="bottom"/>
          </w:tcPr>
          <w:p>
            <w:pPr>
              <w:spacing w:after="0"/>
              <w:rPr>
                <w:sz w:val="20"/>
                <w:szCs w:val="20"/>
                <w:color w:val="auto"/>
              </w:rPr>
            </w:pPr>
            <w:r>
              <w:rPr>
                <w:rFonts w:ascii="Arial" w:cs="Arial" w:eastAsia="Arial" w:hAnsi="Arial"/>
                <w:sz w:val="18"/>
                <w:szCs w:val="18"/>
                <w:color w:val="auto"/>
              </w:rPr>
              <w:t>Accrued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-2211070</wp:posOffset>
            </wp:positionV>
            <wp:extent cx="641223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-1902460</wp:posOffset>
            </wp:positionV>
            <wp:extent cx="641223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-1585595</wp:posOffset>
            </wp:positionV>
            <wp:extent cx="6412230" cy="162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-1242695</wp:posOffset>
            </wp:positionV>
            <wp:extent cx="641223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-934085</wp:posOffset>
            </wp:positionV>
            <wp:extent cx="641223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-625475</wp:posOffset>
            </wp:positionV>
            <wp:extent cx="6412230" cy="1631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1014" w:hanging="1014"/>
        <w:spacing w:after="0"/>
        <w:tabs>
          <w:tab w:leader="none" w:pos="1014"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10,674</w:t>
      </w:r>
    </w:p>
    <w:p>
      <w:pPr>
        <w:spacing w:after="0" w:line="279" w:lineRule="exact"/>
        <w:rPr>
          <w:sz w:val="20"/>
          <w:szCs w:val="20"/>
          <w:color w:val="auto"/>
        </w:rPr>
      </w:pPr>
    </w:p>
    <w:p>
      <w:pPr>
        <w:ind w:left="1094"/>
        <w:spacing w:after="0"/>
        <w:rPr>
          <w:sz w:val="20"/>
          <w:szCs w:val="20"/>
          <w:color w:val="auto"/>
        </w:rPr>
      </w:pPr>
      <w:r>
        <w:rPr>
          <w:rFonts w:ascii="Arial" w:cs="Arial" w:eastAsia="Arial" w:hAnsi="Arial"/>
          <w:sz w:val="18"/>
          <w:szCs w:val="18"/>
          <w:color w:val="auto"/>
        </w:rPr>
        <w:t>5,094</w:t>
      </w:r>
    </w:p>
    <w:p>
      <w:pPr>
        <w:spacing w:after="0" w:line="36" w:lineRule="exact"/>
        <w:rPr>
          <w:sz w:val="20"/>
          <w:szCs w:val="20"/>
          <w:color w:val="auto"/>
        </w:rPr>
      </w:pPr>
    </w:p>
    <w:p>
      <w:pPr>
        <w:ind w:left="1034"/>
        <w:spacing w:after="0"/>
        <w:rPr>
          <w:sz w:val="20"/>
          <w:szCs w:val="20"/>
          <w:color w:val="auto"/>
        </w:rPr>
      </w:pPr>
      <w:r>
        <w:rPr>
          <w:rFonts w:ascii="Arial" w:cs="Arial" w:eastAsia="Arial" w:hAnsi="Arial"/>
          <w:sz w:val="16"/>
          <w:szCs w:val="16"/>
          <w:color w:val="auto"/>
        </w:rPr>
        <w:t>(5,017 )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38100</wp:posOffset>
            </wp:positionV>
            <wp:extent cx="1028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53" w:lineRule="exact"/>
        <w:rPr>
          <w:sz w:val="20"/>
          <w:szCs w:val="20"/>
          <w:color w:val="auto"/>
        </w:rPr>
      </w:pPr>
    </w:p>
    <w:p>
      <w:pPr>
        <w:ind w:left="1314"/>
        <w:spacing w:after="0"/>
        <w:rPr>
          <w:sz w:val="20"/>
          <w:szCs w:val="20"/>
          <w:color w:val="auto"/>
        </w:rPr>
      </w:pPr>
      <w:r>
        <w:rPr>
          <w:rFonts w:ascii="Arial" w:cs="Arial" w:eastAsia="Arial" w:hAnsi="Arial"/>
          <w:sz w:val="18"/>
          <w:szCs w:val="18"/>
          <w:color w:val="auto"/>
        </w:rPr>
        <w:t>77</w:t>
      </w:r>
    </w:p>
    <w:p>
      <w:pPr>
        <w:spacing w:after="0" w:line="50" w:lineRule="exact"/>
        <w:rPr>
          <w:sz w:val="20"/>
          <w:szCs w:val="20"/>
          <w:color w:val="auto"/>
        </w:rPr>
      </w:pPr>
    </w:p>
    <w:p>
      <w:pPr>
        <w:ind w:left="1014" w:hanging="1014"/>
        <w:spacing w:after="0"/>
        <w:tabs>
          <w:tab w:leader="none" w:pos="1014"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1028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1028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94" w:hanging="1094"/>
        <w:spacing w:after="0"/>
        <w:tabs>
          <w:tab w:leader="none" w:pos="1094" w:val="left"/>
        </w:tabs>
        <w:numPr>
          <w:ilvl w:val="0"/>
          <w:numId w:val="60"/>
        </w:numPr>
        <w:rPr>
          <w:rFonts w:ascii="Arial" w:cs="Arial" w:eastAsia="Arial" w:hAnsi="Arial"/>
          <w:sz w:val="18"/>
          <w:szCs w:val="18"/>
          <w:color w:val="auto"/>
        </w:rPr>
      </w:pPr>
      <w:r>
        <w:rPr>
          <w:rFonts w:ascii="Arial" w:cs="Arial" w:eastAsia="Arial" w:hAnsi="Arial"/>
          <w:sz w:val="18"/>
          <w:szCs w:val="18"/>
          <w:color w:val="auto"/>
        </w:rPr>
        <w:t>4,957</w:t>
      </w:r>
    </w:p>
    <w:p>
      <w:pPr>
        <w:spacing w:after="0" w:line="36" w:lineRule="exact"/>
        <w:rPr>
          <w:rFonts w:ascii="Arial" w:cs="Arial" w:eastAsia="Arial" w:hAnsi="Arial"/>
          <w:sz w:val="18"/>
          <w:szCs w:val="18"/>
          <w:color w:val="auto"/>
        </w:rPr>
      </w:pPr>
    </w:p>
    <w:p>
      <w:pPr>
        <w:ind w:left="1094"/>
        <w:spacing w:after="0"/>
        <w:rPr>
          <w:rFonts w:ascii="Arial" w:cs="Arial" w:eastAsia="Arial" w:hAnsi="Arial"/>
          <w:sz w:val="18"/>
          <w:szCs w:val="18"/>
          <w:color w:val="auto"/>
        </w:rPr>
      </w:pPr>
      <w:r>
        <w:rPr>
          <w:rFonts w:ascii="Arial" w:cs="Arial" w:eastAsia="Arial" w:hAnsi="Arial"/>
          <w:sz w:val="18"/>
          <w:szCs w:val="18"/>
          <w:color w:val="auto"/>
        </w:rPr>
        <w:t>7,879</w:t>
      </w:r>
    </w:p>
    <w:p>
      <w:pPr>
        <w:spacing w:after="0" w:line="50" w:lineRule="exact"/>
        <w:rPr>
          <w:sz w:val="20"/>
          <w:szCs w:val="20"/>
          <w:color w:val="auto"/>
        </w:rPr>
      </w:pPr>
    </w:p>
    <w:p>
      <w:pPr>
        <w:ind w:left="1014"/>
        <w:spacing w:after="0"/>
        <w:rPr>
          <w:sz w:val="20"/>
          <w:szCs w:val="20"/>
          <w:color w:val="auto"/>
        </w:rPr>
      </w:pPr>
      <w:r>
        <w:rPr>
          <w:rFonts w:ascii="Arial" w:cs="Arial" w:eastAsia="Arial" w:hAnsi="Arial"/>
          <w:sz w:val="18"/>
          <w:szCs w:val="18"/>
          <w:color w:val="auto"/>
        </w:rPr>
        <w:t>12,836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1028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73" w:lineRule="exact"/>
        <w:rPr>
          <w:sz w:val="20"/>
          <w:szCs w:val="20"/>
          <w:color w:val="auto"/>
        </w:rPr>
      </w:pPr>
    </w:p>
    <w:p>
      <w:pPr>
        <w:ind w:left="1234"/>
        <w:spacing w:after="0"/>
        <w:rPr>
          <w:sz w:val="20"/>
          <w:szCs w:val="20"/>
          <w:color w:val="auto"/>
        </w:rPr>
      </w:pPr>
      <w:r>
        <w:rPr>
          <w:rFonts w:ascii="Arial" w:cs="Arial" w:eastAsia="Arial" w:hAnsi="Arial"/>
          <w:sz w:val="18"/>
          <w:szCs w:val="18"/>
          <w:color w:val="auto"/>
        </w:rPr>
        <w:t>104</w:t>
      </w:r>
    </w:p>
    <w:p>
      <w:pPr>
        <w:spacing w:after="0" w:line="43" w:lineRule="exact"/>
        <w:rPr>
          <w:sz w:val="20"/>
          <w:szCs w:val="20"/>
          <w:color w:val="auto"/>
        </w:rPr>
      </w:pPr>
    </w:p>
    <w:p>
      <w:pPr>
        <w:sectPr>
          <w:pgSz w:w="11900" w:h="16838" w:orient="portrait"/>
          <w:cols w:equalWidth="0" w:num="2">
            <w:col w:w="8940" w:space="126"/>
            <w:col w:w="2174"/>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p>
        </w:tc>
        <w:tc>
          <w:tcPr>
            <w:tcW w:w="39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Non-current</w:t>
            </w:r>
          </w:p>
        </w:tc>
        <w:tc>
          <w:tcPr>
            <w:tcW w:w="2120" w:type="dxa"/>
            <w:vAlign w:val="bottom"/>
            <w:tcBorders>
              <w:bottom w:val="single" w:sz="8" w:color="CFF0FC"/>
            </w:tcBorders>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Total finance liabilities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9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 lease liabilities</w:t>
            </w:r>
          </w:p>
        </w:tc>
        <w:tc>
          <w:tcPr>
            <w:tcW w:w="20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12,940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Maturities of lease liabilities are as follows (in thousands):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0"/>
              </w:rPr>
              <w:t>Finance Leases</w:t>
            </w:r>
          </w:p>
        </w:tc>
        <w:tc>
          <w:tcPr>
            <w:tcW w:w="100" w:type="dxa"/>
            <w:vAlign w:val="bottom"/>
          </w:tcPr>
          <w:p>
            <w:pPr>
              <w:spacing w:after="0"/>
              <w:rPr>
                <w:sz w:val="24"/>
                <w:szCs w:val="24"/>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Operating Leases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20" w:type="dxa"/>
            <w:vAlign w:val="bottom"/>
            <w:shd w:val="clear" w:color="auto" w:fill="CFF0FC"/>
          </w:tcPr>
          <w:p>
            <w:pPr>
              <w:spacing w:after="0"/>
              <w:rPr>
                <w:sz w:val="20"/>
                <w:szCs w:val="20"/>
                <w:color w:val="auto"/>
              </w:rPr>
            </w:pPr>
          </w:p>
        </w:tc>
        <w:tc>
          <w:tcPr>
            <w:tcW w:w="20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5,947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2024</w:t>
            </w:r>
          </w:p>
        </w:tc>
        <w:tc>
          <w:tcPr>
            <w:tcW w:w="2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20" w:type="dxa"/>
            <w:vAlign w:val="bottom"/>
            <w:shd w:val="clear" w:color="auto" w:fill="CFF0FC"/>
          </w:tcPr>
          <w:p>
            <w:pPr>
              <w:spacing w:after="0"/>
              <w:rPr>
                <w:sz w:val="22"/>
                <w:szCs w:val="22"/>
                <w:color w:val="auto"/>
              </w:rPr>
            </w:pPr>
          </w:p>
        </w:tc>
        <w:tc>
          <w:tcPr>
            <w:tcW w:w="2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1,861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2026</w:t>
            </w:r>
          </w:p>
        </w:tc>
        <w:tc>
          <w:tcPr>
            <w:tcW w:w="2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1,344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220" w:type="dxa"/>
            <w:vAlign w:val="bottom"/>
            <w:shd w:val="clear" w:color="auto" w:fill="CFF0FC"/>
          </w:tcPr>
          <w:p>
            <w:pPr>
              <w:spacing w:after="0"/>
              <w:rPr>
                <w:sz w:val="22"/>
                <w:szCs w:val="22"/>
                <w:color w:val="auto"/>
              </w:rPr>
            </w:pPr>
          </w:p>
        </w:tc>
        <w:tc>
          <w:tcPr>
            <w:tcW w:w="2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9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minimum lease payments</w:t>
            </w:r>
          </w:p>
        </w:tc>
        <w:tc>
          <w:tcPr>
            <w:tcW w:w="2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106</w:t>
            </w:r>
          </w:p>
        </w:tc>
        <w:tc>
          <w:tcPr>
            <w:tcW w:w="500" w:type="dxa"/>
            <w:vAlign w:val="bottom"/>
            <w:tcBorders>
              <w:bottom w:val="single" w:sz="8" w:color="CFF0FC"/>
            </w:tcBorders>
            <w:gridSpan w:val="2"/>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14,224</w:t>
            </w:r>
          </w:p>
        </w:tc>
        <w:tc>
          <w:tcPr>
            <w:tcW w:w="1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14,330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gridSpan w:val="2"/>
          </w:tcPr>
          <w:p>
            <w:pPr>
              <w:ind w:left="100"/>
              <w:spacing w:after="0"/>
              <w:rPr>
                <w:sz w:val="20"/>
                <w:szCs w:val="20"/>
                <w:color w:val="auto"/>
              </w:rPr>
            </w:pPr>
            <w:r>
              <w:rPr>
                <w:rFonts w:ascii="Arial" w:cs="Arial" w:eastAsia="Arial" w:hAnsi="Arial"/>
                <w:sz w:val="18"/>
                <w:szCs w:val="18"/>
                <w:color w:val="auto"/>
              </w:rPr>
              <w:t>Less: Imputed interest</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(1,025 )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94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Present value of minimum lease payments</w:t>
            </w:r>
          </w:p>
        </w:tc>
        <w:tc>
          <w:tcPr>
            <w:tcW w:w="20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tcBorders>
              <w:bottom w:val="single" w:sz="8" w:color="auto"/>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520" w:type="dxa"/>
            <w:vAlign w:val="bottom"/>
            <w:gridSpan w:val="3"/>
          </w:tcPr>
          <w:p>
            <w:pPr>
              <w:spacing w:after="0"/>
              <w:rPr>
                <w:sz w:val="20"/>
                <w:szCs w:val="20"/>
                <w:color w:val="auto"/>
              </w:rPr>
            </w:pPr>
            <w:r>
              <w:rPr>
                <w:rFonts w:ascii="Arial" w:cs="Arial" w:eastAsia="Arial" w:hAnsi="Arial"/>
                <w:sz w:val="18"/>
                <w:szCs w:val="18"/>
                <w:color w:val="auto"/>
              </w:rPr>
              <w:t>Lease term and discount rates are as follows: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4"/>
              </w:rPr>
              <w:t>(Successor)</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 Years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0.7 Years</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discount rate</w:t>
            </w:r>
          </w:p>
        </w:tc>
        <w:tc>
          <w:tcPr>
            <w:tcW w:w="2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5.06 %</w:t>
            </w: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5.72 %</w:t>
            </w: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20" w:type="dxa"/>
            <w:vAlign w:val="bottom"/>
            <w:gridSpan w:val="2"/>
          </w:tcPr>
          <w:p>
            <w:pPr>
              <w:jc w:val="right"/>
              <w:ind w:right="750"/>
              <w:spacing w:after="0"/>
              <w:rPr>
                <w:sz w:val="20"/>
                <w:szCs w:val="20"/>
                <w:color w:val="auto"/>
              </w:rPr>
            </w:pPr>
            <w:r>
              <w:rPr>
                <w:rFonts w:ascii="Arial" w:cs="Arial" w:eastAsia="Arial" w:hAnsi="Arial"/>
                <w:sz w:val="18"/>
                <w:szCs w:val="18"/>
                <w:color w:val="auto"/>
              </w:rPr>
              <w:t>F-36</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-2013585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-1996440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-504825</wp:posOffset>
            </wp:positionV>
            <wp:extent cx="641223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4"/>
              </w:rPr>
              <w:t>Successor</w:t>
            </w:r>
          </w:p>
        </w:tc>
      </w:tr>
      <w:tr>
        <w:trPr>
          <w:trHeight w:val="133"/>
        </w:trPr>
        <w:tc>
          <w:tcPr>
            <w:tcW w:w="8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jc w:val="center"/>
              <w:ind w:right="216"/>
              <w:spacing w:after="0" w:line="133" w:lineRule="exact"/>
              <w:rPr>
                <w:sz w:val="20"/>
                <w:szCs w:val="20"/>
                <w:color w:val="auto"/>
              </w:rPr>
            </w:pPr>
            <w:r>
              <w:rPr>
                <w:rFonts w:ascii="Arial" w:cs="Arial" w:eastAsia="Arial" w:hAnsi="Arial"/>
                <w:sz w:val="14"/>
                <w:szCs w:val="14"/>
                <w:b w:val="1"/>
                <w:bCs w:val="1"/>
                <w:color w:val="auto"/>
                <w:w w:val="93"/>
              </w:rPr>
              <w:t>Year Ended</w:t>
            </w:r>
          </w:p>
        </w:tc>
      </w:tr>
      <w:tr>
        <w:trPr>
          <w:trHeight w:val="185"/>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1"/>
              </w:rPr>
              <w:t>December 31, 2022</w:t>
            </w:r>
          </w:p>
        </w:tc>
      </w:tr>
      <w:tr>
        <w:trPr>
          <w:trHeight w:val="237"/>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37"/>
        </w:trPr>
        <w:tc>
          <w:tcPr>
            <w:tcW w:w="844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7,738</w:t>
            </w:r>
          </w:p>
        </w:tc>
      </w:tr>
      <w:tr>
        <w:trPr>
          <w:trHeight w:val="249"/>
        </w:trPr>
        <w:tc>
          <w:tcPr>
            <w:tcW w:w="8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cash flows from finance leases</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w:t>
            </w:r>
          </w:p>
        </w:tc>
      </w:tr>
      <w:tr>
        <w:trPr>
          <w:trHeight w:val="237"/>
        </w:trPr>
        <w:tc>
          <w:tcPr>
            <w:tcW w:w="8440" w:type="dxa"/>
            <w:vAlign w:val="bottom"/>
          </w:tcPr>
          <w:p>
            <w:pPr>
              <w:ind w:left="100"/>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884</w:t>
            </w:r>
          </w:p>
        </w:tc>
      </w:tr>
      <w:tr>
        <w:trPr>
          <w:trHeight w:val="24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7"/>
        </w:trPr>
        <w:tc>
          <w:tcPr>
            <w:tcW w:w="84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19,972</w:t>
            </w:r>
          </w:p>
        </w:tc>
      </w:tr>
      <w:tr>
        <w:trPr>
          <w:trHeight w:val="249"/>
        </w:trPr>
        <w:tc>
          <w:tcPr>
            <w:tcW w:w="8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r>
        <w:trPr>
          <w:trHeight w:val="237"/>
        </w:trPr>
        <w:tc>
          <w:tcPr>
            <w:tcW w:w="8440" w:type="dxa"/>
            <w:vAlign w:val="bottom"/>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9"/>
        </w:trPr>
        <w:tc>
          <w:tcPr>
            <w:tcW w:w="8440" w:type="dxa"/>
            <w:vAlign w:val="bottom"/>
            <w:shd w:val="clear" w:color="auto" w:fill="CFF0FC"/>
          </w:tcPr>
          <w:p>
            <w:pPr>
              <w:ind w:left="100"/>
              <w:spacing w:after="0" w:line="249" w:lineRule="exact"/>
              <w:rPr>
                <w:sz w:val="20"/>
                <w:szCs w:val="20"/>
                <w:color w:val="auto"/>
              </w:rPr>
            </w:pPr>
            <w:r>
              <w:rPr>
                <w:rFonts w:ascii="Arial" w:cs="Arial" w:eastAsia="Arial" w:hAnsi="Arial"/>
                <w:sz w:val="18"/>
                <w:szCs w:val="18"/>
                <w:color w:val="auto"/>
              </w:rPr>
              <w:t xml:space="preserve">Amortization of right-of-use operating lease assets </w:t>
            </w:r>
            <w:r>
              <w:rPr>
                <w:rFonts w:ascii="Arial" w:cs="Arial" w:eastAsia="Arial" w:hAnsi="Arial"/>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6,343</w:t>
            </w:r>
          </w:p>
        </w:tc>
      </w:tr>
    </w:tbl>
    <w:p>
      <w:pPr>
        <w:spacing w:after="0" w:line="89"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Amortization of right of use operating lease assets during the period is reflected in operating lease liabilities on the consolidated statements of cash flows.</w:t>
      </w:r>
    </w:p>
    <w:p>
      <w:pPr>
        <w:spacing w:after="0" w:line="14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Rent expense under fixed operating leases was $6.1 million, $5.3 million and $0.5 million for the year ended December 31, 2021 (Successor), for the period from February 1, 2020 through December 31, 2020 (Successor), and for the period from January 1, 2020 through January 31, 2020 (Predecessor), respectively.</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03" w:right="5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material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ordinary course of business in the Predecessor period, the Company entered into transactions with related parties, primarily with STG and one of STG’s other investments, Symphony Talent, LLC.</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Total expenses recorded and paid to STG, primarily related to healthcare premiums, was $0.0 million for the period from January 1, 2020 through January 31, 2020 (Predecessor). In January 2020, the Company and STG entered into a Termination Agreement, in which all obligations and liabilities under the benefits arrangement were canceled.</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January 2020, the Company and Symphony Talent, LLC entered into a Debt Forgiveness Agreement in which the Company forgave a loan receivable, including accrued interest and other transaction related receivables, the Company had previously fully impaired in 2018.</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Note 16. Net Income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calculated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214"/>
              <w:spacing w:after="0" w:line="133" w:lineRule="exact"/>
              <w:rPr>
                <w:sz w:val="20"/>
                <w:szCs w:val="20"/>
                <w:color w:val="auto"/>
              </w:rPr>
            </w:pPr>
            <w:r>
              <w:rPr>
                <w:rFonts w:ascii="Arial" w:cs="Arial" w:eastAsia="Arial" w:hAnsi="Arial"/>
                <w:sz w:val="14"/>
                <w:szCs w:val="14"/>
                <w:b w:val="1"/>
                <w:bCs w:val="1"/>
                <w:color w:val="auto"/>
                <w:w w:val="94"/>
              </w:rPr>
              <w:t>Period from</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175"/>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253"/>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through</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85"/>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1"/>
              </w:rPr>
              <w:t>December 31, 2022</w:t>
            </w:r>
          </w:p>
        </w:tc>
        <w:tc>
          <w:tcPr>
            <w:tcW w:w="60" w:type="dxa"/>
            <w:vAlign w:val="bottom"/>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60" w:type="dxa"/>
            <w:vAlign w:val="bottom"/>
          </w:tcPr>
          <w:p>
            <w:pPr>
              <w:spacing w:after="0"/>
              <w:rPr>
                <w:sz w:val="16"/>
                <w:szCs w:val="16"/>
                <w:color w:val="auto"/>
              </w:rPr>
            </w:pPr>
          </w:p>
        </w:tc>
        <w:tc>
          <w:tcPr>
            <w:tcW w:w="1520" w:type="dxa"/>
            <w:vAlign w:val="bottom"/>
            <w:tcBorders>
              <w:bottom w:val="single" w:sz="8" w:color="auto"/>
            </w:tcBorders>
            <w:gridSpan w:val="2"/>
          </w:tcPr>
          <w:p>
            <w:pPr>
              <w:jc w:val="center"/>
              <w:ind w:right="74"/>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January 31, 2020</w:t>
            </w: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(0.37 )</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0.43</w:t>
            </w:r>
          </w:p>
        </w:tc>
        <w:tc>
          <w:tcPr>
            <w:tcW w:w="2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(0.37 )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64,604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16,051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(47,492 )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00" w:type="dxa"/>
            <w:vAlign w:val="bottom"/>
          </w:tcPr>
          <w:p>
            <w:pPr>
              <w:spacing w:after="0"/>
              <w:rPr>
                <w:sz w:val="20"/>
                <w:szCs w:val="20"/>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150,227,213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140,480,590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130,000,000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 options and restricted stock units to purchase units</w:t>
            </w: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1,579,927</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1,206,794</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00" w:type="dxa"/>
            <w:vAlign w:val="bottom"/>
          </w:tcPr>
          <w:p>
            <w:pPr>
              <w:spacing w:after="0"/>
              <w:rPr>
                <w:sz w:val="20"/>
                <w:szCs w:val="20"/>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151,807,139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141,687,384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130,000,000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net (loss) per unit</w:t>
            </w: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Diluted net (loss) per unit</w:t>
            </w:r>
          </w:p>
        </w:tc>
        <w:tc>
          <w:tcPr>
            <w:tcW w:w="100" w:type="dxa"/>
            <w:vAlign w:val="bottom"/>
          </w:tcPr>
          <w:p>
            <w:pPr>
              <w:spacing w:after="0"/>
              <w:rPr>
                <w:sz w:val="20"/>
                <w:szCs w:val="20"/>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n/a</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n/a</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(36,530 )</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units outstanding - basic</w:t>
            </w:r>
          </w:p>
        </w:tc>
        <w:tc>
          <w:tcPr>
            <w:tcW w:w="100" w:type="dxa"/>
            <w:vAlign w:val="bottom"/>
          </w:tcPr>
          <w:p>
            <w:pPr>
              <w:spacing w:after="0"/>
              <w:rPr>
                <w:sz w:val="20"/>
                <w:szCs w:val="20"/>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149,686,460</w:t>
            </w: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 options and restricted stock units to purchase units</w:t>
            </w: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tcBorders>
              <w:right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rPr>
              <w:t>n/a</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units outstanding - diluted</w:t>
            </w:r>
          </w:p>
        </w:tc>
        <w:tc>
          <w:tcPr>
            <w:tcW w:w="10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149,686,460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6130290</wp:posOffset>
            </wp:positionH>
            <wp:positionV relativeFrom="paragraph">
              <wp:posOffset>-2883535</wp:posOffset>
            </wp:positionV>
            <wp:extent cx="1007110" cy="4279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1007110" cy="427990"/>
                    </a:xfrm>
                    <a:prstGeom prst="rect">
                      <a:avLst/>
                    </a:prstGeom>
                    <a:noFill/>
                  </pic:spPr>
                </pic:pic>
              </a:graphicData>
            </a:graphic>
          </wp:anchor>
        </w:drawing>
      </w:r>
    </w:p>
    <w:p>
      <w:pPr>
        <w:spacing w:after="0" w:line="12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 ended December 31, 2022 and 2021 (Successor), 2,669,162 options and 14,488 options, respectively, were excluded from the calculation of diluted net income (loss) per share because their effect was anti-dilutive.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17. Reportable Segments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first quarter of 2022, the Company made organizational changes and modified additional information provided to its CODM to better align with how its CODM assesses performance and allocates resources. As a result, we have two reportable segments, Americas and International. Our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Board of Directors and executive management team also use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spacing w:after="0" w:line="11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The CODM does not review the Company’s assets by segment; therefore, such information is not presented. The accounting policies of the segments are the same as described in Note 2, “Significant Accounting and Reporting Policies” and Note 9, “Revenues.”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two reportable segments:</w:t>
      </w:r>
    </w:p>
    <w:p>
      <w:pPr>
        <w:spacing w:after="0" w:line="171"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b w:val="1"/>
          <w:bCs w:val="1"/>
          <w:i w:val="1"/>
          <w:iCs w:val="1"/>
          <w:color w:val="auto"/>
        </w:rPr>
        <w:t xml:space="preserve">Americas. </w:t>
      </w:r>
      <w:r>
        <w:rPr>
          <w:rFonts w:ascii="Arial" w:cs="Arial" w:eastAsia="Arial" w:hAnsi="Arial"/>
          <w:sz w:val="17"/>
          <w:szCs w:val="17"/>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vertical industries in the United States, Canada, and Latin America markets.</w:t>
      </w:r>
    </w:p>
    <w:p>
      <w:pPr>
        <w:spacing w:after="0" w:line="117"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The International segment provides services similar to our Americas segment in regions outside of the Americas. We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our solutions across multiple vertical industries in the Europe, India, and Asia Pacific markets.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3" w:name="page124"/>
    <w:bookmarkEnd w:id="123"/>
    <w:p>
      <w:pPr>
        <w:jc w:val="both"/>
        <w:ind w:right="120"/>
        <w:spacing w:after="0" w:line="263" w:lineRule="auto"/>
        <w:rPr>
          <w:sz w:val="20"/>
          <w:szCs w:val="20"/>
          <w:color w:val="auto"/>
        </w:rPr>
      </w:pPr>
      <w:r>
        <w:rPr>
          <w:rFonts w:ascii="Arial" w:cs="Arial" w:eastAsia="Arial" w:hAnsi="Arial"/>
          <w:sz w:val="18"/>
          <w:szCs w:val="18"/>
          <w:color w:val="auto"/>
        </w:rPr>
        <w:t>A reconciliation of Segment Adjusted EBITDA to net income (loss) for the year ended December 31, 2022 (Successor), for the year ended December 31, 2021 (Successor), for the period from February 1, 2020 through December 31, 2020 (Successor), and for the period from January 1, 2020 through January 31, 2020 (Predecessor) is as follows (in thousands):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34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w w:val="94"/>
              </w:rPr>
              <w:t>February 1, 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January 31, 2020</w:t>
            </w:r>
          </w:p>
        </w:tc>
        <w:tc>
          <w:tcPr>
            <w:tcW w:w="0" w:type="dxa"/>
            <w:vAlign w:val="bottom"/>
          </w:tcPr>
          <w:p>
            <w:pPr>
              <w:spacing w:after="0"/>
              <w:rPr>
                <w:sz w:val="1"/>
                <w:szCs w:val="1"/>
                <w:color w:val="auto"/>
              </w:rPr>
            </w:pPr>
          </w:p>
        </w:tc>
      </w:tr>
      <w:tr>
        <w:trPr>
          <w:trHeight w:val="237"/>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00"/>
              <w:spacing w:after="0"/>
              <w:rPr>
                <w:sz w:val="20"/>
                <w:szCs w:val="20"/>
                <w:color w:val="auto"/>
              </w:rPr>
            </w:pPr>
            <w:r>
              <w:rPr>
                <w:rFonts w:ascii="Arial" w:cs="Arial" w:eastAsia="Arial" w:hAnsi="Arial"/>
                <w:sz w:val="18"/>
                <w:szCs w:val="18"/>
                <w:color w:val="auto"/>
              </w:rPr>
              <w:t>Americas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221,655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198,473</w:t>
            </w:r>
          </w:p>
        </w:tc>
        <w:tc>
          <w:tcPr>
            <w:tcW w:w="2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135,037</w:t>
            </w:r>
          </w:p>
        </w:tc>
        <w:tc>
          <w:tcPr>
            <w:tcW w:w="100" w:type="dxa"/>
            <w:vAlign w:val="bottom"/>
            <w:tcBorders>
              <w:right w:val="single" w:sz="8" w:color="auto"/>
            </w:tcBorders>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27,255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27,821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4,739</w:t>
            </w: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248,910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226,294</w:t>
            </w:r>
          </w:p>
        </w:tc>
        <w:tc>
          <w:tcPr>
            <w:tcW w:w="2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139,776</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to net income (loss):</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24,972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47,384</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20,475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8,862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(11,355 )</w:t>
            </w:r>
          </w:p>
        </w:tc>
        <w:tc>
          <w:tcPr>
            <w:tcW w:w="10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(871 )</w:t>
            </w:r>
          </w:p>
        </w:tc>
        <w:tc>
          <w:tcPr>
            <w:tcW w:w="0" w:type="dxa"/>
            <w:vAlign w:val="bottom"/>
          </w:tcPr>
          <w:p>
            <w:pPr>
              <w:spacing w:after="0"/>
              <w:rPr>
                <w:sz w:val="1"/>
                <w:szCs w:val="1"/>
                <w:color w:val="auto"/>
              </w:rPr>
            </w:pPr>
          </w:p>
        </w:tc>
      </w:tr>
      <w:tr>
        <w:trPr>
          <w:trHeight w:val="237"/>
        </w:trPr>
        <w:tc>
          <w:tcPr>
            <w:tcW w:w="42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138,246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142,815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135,057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13,938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37"/>
        </w:trPr>
        <w:tc>
          <w:tcPr>
            <w:tcW w:w="420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1,876</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100"/>
              <w:spacing w:after="0" w:line="249" w:lineRule="exact"/>
              <w:rPr>
                <w:sz w:val="20"/>
                <w:szCs w:val="20"/>
                <w:color w:val="auto"/>
              </w:rPr>
            </w:pPr>
            <w:r>
              <w:rPr>
                <w:rFonts w:ascii="Arial" w:cs="Arial" w:eastAsia="Arial" w:hAnsi="Arial"/>
                <w:sz w:val="18"/>
                <w:szCs w:val="18"/>
                <w:color w:val="auto"/>
              </w:rPr>
              <w:t xml:space="preserve">Transaction and acquisition-related charges </w:t>
            </w:r>
            <w:r>
              <w:rPr>
                <w:rFonts w:ascii="Arial" w:cs="Arial" w:eastAsia="Arial" w:hAnsi="Arial"/>
                <w:sz w:val="24"/>
                <w:szCs w:val="24"/>
                <w:color w:val="auto"/>
                <w:vertAlign w:val="superscript"/>
              </w:rPr>
              <w:t>(a)</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6,018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9,314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10,146</w:t>
            </w:r>
          </w:p>
        </w:tc>
        <w:tc>
          <w:tcPr>
            <w:tcW w:w="10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22,840</w:t>
            </w:r>
          </w:p>
        </w:tc>
        <w:tc>
          <w:tcPr>
            <w:tcW w:w="0" w:type="dxa"/>
            <w:vAlign w:val="bottom"/>
          </w:tcPr>
          <w:p>
            <w:pPr>
              <w:spacing w:after="0"/>
              <w:rPr>
                <w:sz w:val="1"/>
                <w:szCs w:val="1"/>
                <w:color w:val="auto"/>
              </w:rPr>
            </w:pPr>
          </w:p>
        </w:tc>
      </w:tr>
      <w:tr>
        <w:trPr>
          <w:trHeight w:val="243"/>
        </w:trPr>
        <w:tc>
          <w:tcPr>
            <w:tcW w:w="4200" w:type="dxa"/>
            <w:vAlign w:val="bottom"/>
          </w:tcPr>
          <w:p>
            <w:pPr>
              <w:ind w:left="100"/>
              <w:spacing w:after="0" w:line="243" w:lineRule="exact"/>
              <w:rPr>
                <w:sz w:val="20"/>
                <w:szCs w:val="20"/>
                <w:color w:val="auto"/>
              </w:rPr>
            </w:pPr>
            <w:r>
              <w:rPr>
                <w:rFonts w:ascii="Arial" w:cs="Arial" w:eastAsia="Arial" w:hAnsi="Arial"/>
                <w:sz w:val="18"/>
                <w:szCs w:val="18"/>
                <w:color w:val="auto"/>
              </w:rPr>
              <w:t xml:space="preserve">Integration, restructuring, and other charges </w:t>
            </w:r>
            <w:r>
              <w:rPr>
                <w:rFonts w:ascii="Arial" w:cs="Arial" w:eastAsia="Arial" w:hAnsi="Arial"/>
                <w:sz w:val="24"/>
                <w:szCs w:val="24"/>
                <w:color w:val="auto"/>
                <w:vertAlign w:val="superscript"/>
              </w:rPr>
              <w:t>(b)</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7"/>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64,604</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auto"/>
              </w:rPr>
              <w:t>16,051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(47,492 )</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-2463800</wp:posOffset>
            </wp:positionV>
            <wp:extent cx="964565" cy="4279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964565" cy="4279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-1585595</wp:posOffset>
            </wp:positionV>
            <wp:extent cx="68580"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-1752600</wp:posOffset>
            </wp:positionV>
            <wp:extent cx="1911350" cy="3302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1911350" cy="33020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596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-354965</wp:posOffset>
            </wp:positionV>
            <wp:extent cx="1003300" cy="3683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1003300" cy="368300"/>
                    </a:xfrm>
                    <a:prstGeom prst="rect">
                      <a:avLst/>
                    </a:prstGeom>
                    <a:noFill/>
                  </pic:spPr>
                </pic:pic>
              </a:graphicData>
            </a:graphic>
          </wp:anchor>
        </w:drawing>
      </w:r>
    </w:p>
    <w:p>
      <w:pPr>
        <w:spacing w:after="0" w:line="69" w:lineRule="exact"/>
        <w:rPr>
          <w:sz w:val="20"/>
          <w:szCs w:val="20"/>
          <w:color w:val="auto"/>
        </w:rPr>
      </w:pPr>
    </w:p>
    <w:p>
      <w:pPr>
        <w:ind w:left="1020" w:right="80" w:hanging="503"/>
        <w:spacing w:after="0" w:line="225" w:lineRule="auto"/>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subsequent one-time compliance efforts, and the registered common stock offering by certain selling stockholders in November 2021. The years ended December 31, 2021 and 2022 (Successor) include a transaction bonus expense related to one of the Company’s 2021 acquisitions.</w:t>
      </w:r>
    </w:p>
    <w:p>
      <w:pPr>
        <w:spacing w:after="0" w:line="2" w:lineRule="exact"/>
        <w:rPr>
          <w:rFonts w:ascii="Arial" w:cs="Arial" w:eastAsia="Arial" w:hAnsi="Arial"/>
          <w:sz w:val="14"/>
          <w:szCs w:val="14"/>
          <w:color w:val="auto"/>
        </w:rPr>
      </w:pPr>
    </w:p>
    <w:p>
      <w:pPr>
        <w:ind w:left="1020" w:right="680" w:hanging="503"/>
        <w:spacing w:after="0" w:line="237" w:lineRule="auto"/>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bases revenues by geographic region in which the revenues and invoicing are recorded. Other than the United States, no single country accounted for 10% or more of our total revenues during these periods.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summarizes revenues by geographical region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320" w:type="dxa"/>
            <w:vAlign w:val="bottom"/>
            <w:gridSpan w:val="2"/>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February 1, 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w w:val="96"/>
              </w:rPr>
              <w:t>December 31, 2022</w:t>
            </w: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2"/>
              </w:rPr>
              <w:t>January 31, 2020</w:t>
            </w:r>
          </w:p>
        </w:tc>
        <w:tc>
          <w:tcPr>
            <w:tcW w:w="0" w:type="dxa"/>
            <w:vAlign w:val="bottom"/>
          </w:tcPr>
          <w:p>
            <w:pPr>
              <w:spacing w:after="0"/>
              <w:rPr>
                <w:sz w:val="1"/>
                <w:szCs w:val="1"/>
                <w:color w:val="auto"/>
              </w:rPr>
            </w:pPr>
          </w:p>
        </w:tc>
      </w:tr>
      <w:tr>
        <w:trPr>
          <w:trHeight w:val="23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694,865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604,413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430,002</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40"/>
              <w:spacing w:after="0"/>
              <w:rPr>
                <w:sz w:val="20"/>
                <w:szCs w:val="20"/>
                <w:color w:val="auto"/>
              </w:rPr>
            </w:pPr>
            <w:r>
              <w:rPr>
                <w:rFonts w:ascii="Arial" w:cs="Arial" w:eastAsia="Arial" w:hAnsi="Arial"/>
                <w:sz w:val="18"/>
                <w:szCs w:val="18"/>
                <w:color w:val="auto"/>
              </w:rPr>
              <w:t>32,411</w:t>
            </w:r>
          </w:p>
        </w:tc>
        <w:tc>
          <w:tcPr>
            <w:tcW w:w="0" w:type="dxa"/>
            <w:vAlign w:val="bottom"/>
          </w:tcPr>
          <w:p>
            <w:pPr>
              <w:spacing w:after="0"/>
              <w:rPr>
                <w:sz w:val="1"/>
                <w:szCs w:val="1"/>
                <w:color w:val="auto"/>
              </w:rPr>
            </w:pPr>
          </w:p>
        </w:tc>
      </w:tr>
      <w:tr>
        <w:trPr>
          <w:trHeight w:val="249"/>
        </w:trPr>
        <w:tc>
          <w:tcPr>
            <w:tcW w:w="4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122,599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114,009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45,818</w:t>
            </w:r>
          </w:p>
        </w:tc>
        <w:tc>
          <w:tcPr>
            <w:tcW w:w="10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(7,441 )</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(6,127 )</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76"/>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810,023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712,295</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472,369</w:t>
            </w:r>
          </w:p>
        </w:tc>
        <w:tc>
          <w:tcPr>
            <w:tcW w:w="100" w:type="dxa"/>
            <w:vAlign w:val="bottom"/>
            <w:tcBorders>
              <w:bottom w:val="single" w:sz="8" w:color="CFF0FC"/>
              <w:right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36,785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5821680</wp:posOffset>
            </wp:positionH>
            <wp:positionV relativeFrom="paragraph">
              <wp:posOffset>-1220470</wp:posOffset>
            </wp:positionV>
            <wp:extent cx="955675" cy="4279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955675" cy="4279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-354965</wp:posOffset>
            </wp:positionV>
            <wp:extent cx="994410" cy="3683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994410" cy="3683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long-lived assets by geographic area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4"/>
              </w:rPr>
              <w:t>Successor</w:t>
            </w:r>
          </w:p>
        </w:tc>
        <w:tc>
          <w:tcPr>
            <w:tcW w:w="560" w:type="dxa"/>
            <w:vAlign w:val="bottom"/>
          </w:tcPr>
          <w:p>
            <w:pPr>
              <w:spacing w:after="0"/>
              <w:rPr>
                <w:sz w:val="16"/>
                <w:szCs w:val="16"/>
                <w:color w:val="auto"/>
              </w:rPr>
            </w:pPr>
          </w:p>
        </w:tc>
      </w:tr>
      <w:tr>
        <w:trPr>
          <w:trHeight w:val="133"/>
        </w:trPr>
        <w:tc>
          <w:tcPr>
            <w:tcW w:w="5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27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center"/>
              <w:ind w:right="23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2021</w:t>
            </w: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assets, net</w:t>
            </w:r>
          </w:p>
        </w:tc>
        <w:tc>
          <w:tcPr>
            <w:tcW w:w="3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United States, country of domicile</w:t>
            </w:r>
          </w:p>
        </w:tc>
        <w:tc>
          <w:tcPr>
            <w:tcW w:w="3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1,134,201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1,213,093</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w:t>
            </w:r>
          </w:p>
        </w:tc>
        <w:tc>
          <w:tcPr>
            <w:tcW w:w="3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180,258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199,459</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long-lived assets, net</w:t>
            </w:r>
          </w:p>
        </w:tc>
        <w:tc>
          <w:tcPr>
            <w:tcW w:w="3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1,314,459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1,412,552</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9"/>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20" w:type="dxa"/>
            <w:vAlign w:val="bottom"/>
            <w:gridSpan w:val="2"/>
          </w:tcPr>
          <w:p>
            <w:pPr>
              <w:jc w:val="right"/>
              <w:ind w:right="1790"/>
              <w:spacing w:after="0"/>
              <w:rPr>
                <w:sz w:val="20"/>
                <w:szCs w:val="20"/>
                <w:color w:val="auto"/>
              </w:rPr>
            </w:pPr>
            <w:r>
              <w:rPr>
                <w:rFonts w:ascii="Arial" w:cs="Arial" w:eastAsia="Arial" w:hAnsi="Arial"/>
                <w:sz w:val="18"/>
                <w:szCs w:val="18"/>
                <w:color w:val="auto"/>
              </w:rPr>
              <w:t>F-41</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-548005</wp:posOffset>
            </wp:positionV>
            <wp:extent cx="60325"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Note 18. Subsequent Events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February 2023, the Company entered into an interest rate swap agreement with a notional amount of $100.0 million. The interest rate swap will hedge our floating LIBOR rate outstanding debt with a fixed rate of 4.36%. The interest rate swap agreement matures on February 28, 2026. The related accounting impacts of this transaction will be recognized beginning in 2023.</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2023, the Company’s Board of Directors authorized an increase to the total available amount under its Repurchase Program to $200.0 million effective February 28, 2023. Through February 23, 2023, the Company had made $75.7 million of purchases under the Repurchase Program.</w:t>
      </w:r>
    </w:p>
    <w:p>
      <w:pPr>
        <w:jc w:val="center"/>
        <w:ind w:right="-1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61" w:right="4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Note 19. Condensed Financial Information of Registrant</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Investments in subsidiaries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1,107,356</w:t>
            </w:r>
          </w:p>
        </w:tc>
        <w:tc>
          <w:tcPr>
            <w:tcW w:w="7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1,120,832</w:t>
            </w: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spacing w:after="0"/>
              <w:rPr>
                <w:sz w:val="20"/>
                <w:szCs w:val="20"/>
                <w:color w:val="auto"/>
              </w:rPr>
            </w:pPr>
          </w:p>
        </w:tc>
      </w:tr>
      <w:tr>
        <w:trPr>
          <w:trHeight w:val="234"/>
        </w:trPr>
        <w:tc>
          <w:tcPr>
            <w:tcW w:w="7720" w:type="dxa"/>
            <w:vAlign w:val="bottom"/>
          </w:tcPr>
          <w:p>
            <w:pPr>
              <w:ind w:left="200"/>
              <w:spacing w:after="0"/>
              <w:rPr>
                <w:sz w:val="20"/>
                <w:szCs w:val="20"/>
                <w:color w:val="auto"/>
              </w:rPr>
            </w:pPr>
            <w:r>
              <w:rPr>
                <w:rFonts w:ascii="Arial" w:cs="Arial" w:eastAsia="Arial" w:hAnsi="Arial"/>
                <w:sz w:val="18"/>
                <w:szCs w:val="18"/>
                <w:color w:val="auto"/>
              </w:rPr>
              <w:t>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w:t>
            </w:r>
          </w:p>
        </w:tc>
        <w:tc>
          <w:tcPr>
            <w:tcW w:w="36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8"/>
                <w:szCs w:val="18"/>
                <w:color w:val="auto"/>
              </w:rPr>
              <w:t>Common stock - $0.001 par value; 1,000,000,000 shares authorized, 148,732,603 and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152,901,040 shares issued and outstanding as of December 31, 2022 and 2021, respectively</w:t>
            </w:r>
          </w:p>
        </w:tc>
        <w:tc>
          <w:tcPr>
            <w:tcW w:w="360" w:type="dxa"/>
            <w:vAlign w:val="bottom"/>
          </w:tcPr>
          <w:p>
            <w:pPr>
              <w:spacing w:after="0"/>
              <w:rPr>
                <w:sz w:val="20"/>
                <w:szCs w:val="20"/>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153</w:t>
            </w:r>
          </w:p>
        </w:tc>
      </w:tr>
      <w:tr>
        <w:trPr>
          <w:trHeight w:val="25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1,156,901</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1,153,757</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(27,363 )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(31,441 )</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(22,331 )</w:t>
            </w: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(1,637 )</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1,107,356</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1,120,832</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1,107,356</w:t>
            </w:r>
          </w:p>
        </w:tc>
        <w:tc>
          <w:tcPr>
            <w:tcW w:w="1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1,120,832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-1430655</wp:posOffset>
            </wp:positionV>
            <wp:extent cx="11176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-350520</wp:posOffset>
            </wp:positionV>
            <wp:extent cx="11176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accompanying note is an integral part of these condensed financial statements.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313"/>
              <w:spacing w:after="0"/>
              <w:rPr>
                <w:sz w:val="20"/>
                <w:szCs w:val="20"/>
                <w:color w:val="auto"/>
              </w:rPr>
            </w:pPr>
            <w:r>
              <w:rPr>
                <w:rFonts w:ascii="Arial" w:cs="Arial" w:eastAsia="Arial" w:hAnsi="Arial"/>
                <w:sz w:val="14"/>
                <w:szCs w:val="14"/>
                <w:b w:val="1"/>
                <w:bCs w:val="1"/>
                <w:color w:val="auto"/>
                <w:w w:val="98"/>
              </w:rPr>
              <w:t>For the 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273"/>
              <w:spacing w:after="0"/>
              <w:rPr>
                <w:sz w:val="20"/>
                <w:szCs w:val="20"/>
                <w:color w:val="auto"/>
              </w:rPr>
            </w:pPr>
            <w:r>
              <w:rPr>
                <w:rFonts w:ascii="Arial" w:cs="Arial" w:eastAsia="Arial" w:hAnsi="Arial"/>
                <w:sz w:val="14"/>
                <w:szCs w:val="14"/>
                <w:b w:val="1"/>
                <w:bCs w:val="1"/>
                <w:color w:val="auto"/>
                <w:w w:val="98"/>
              </w:rPr>
              <w:t>For the 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293"/>
              <w:spacing w:after="0"/>
              <w:rPr>
                <w:sz w:val="20"/>
                <w:szCs w:val="20"/>
                <w:color w:val="auto"/>
              </w:rPr>
            </w:pPr>
            <w:r>
              <w:rPr>
                <w:rFonts w:ascii="Arial" w:cs="Arial" w:eastAsia="Arial" w:hAnsi="Arial"/>
                <w:sz w:val="14"/>
                <w:szCs w:val="14"/>
                <w:b w:val="1"/>
                <w:bCs w:val="1"/>
                <w:color w:val="auto"/>
                <w:w w:val="96"/>
              </w:rPr>
              <w:t>For the Year Ended</w:t>
            </w:r>
          </w:p>
        </w:tc>
      </w:tr>
      <w:tr>
        <w:trPr>
          <w:trHeight w:val="185"/>
        </w:trPr>
        <w:tc>
          <w:tcPr>
            <w:tcW w:w="5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9"/>
              </w:rPr>
              <w:t>December 31, 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8"/>
              </w:rPr>
              <w:t>December 31, 2021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8"/>
              </w:rPr>
              <w:t>December 31, 2020</w:t>
            </w:r>
          </w:p>
        </w:tc>
      </w:tr>
      <w:tr>
        <w:trPr>
          <w:trHeight w:val="230"/>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in net income (loss) of subsidiaries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64,604</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16,051</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(47,492 )</w:t>
            </w:r>
          </w:p>
        </w:tc>
      </w:tr>
      <w:tr>
        <w:trPr>
          <w:trHeight w:val="23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64,604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16,051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(47,492 )</w:t>
            </w:r>
          </w:p>
        </w:tc>
      </w:tr>
      <w:tr>
        <w:trPr>
          <w:trHeight w:val="234"/>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(20,694 )</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(4,121 )</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2,484</w:t>
            </w:r>
          </w:p>
        </w:tc>
      </w:tr>
      <w:tr>
        <w:trPr>
          <w:trHeight w:val="23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43,910</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11,930</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(45,008 )</w:t>
            </w:r>
          </w:p>
        </w:tc>
      </w:tr>
      <w:tr>
        <w:trPr>
          <w:trHeight w:val="241"/>
        </w:trPr>
        <w:tc>
          <w:tcPr>
            <w:tcW w:w="5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r>
      <w:tr>
        <w:trPr>
          <w:trHeight w:val="239"/>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64,604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16,051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(47,492 )</w:t>
            </w:r>
          </w:p>
        </w:tc>
      </w:tr>
      <w:tr>
        <w:trPr>
          <w:trHeight w:val="24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net income (loss) per share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0.43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(0.37 )</w:t>
            </w: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0.43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(0.37 )</w:t>
            </w:r>
          </w:p>
        </w:tc>
      </w:tr>
      <w:tr>
        <w:trPr>
          <w:trHeight w:val="24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150,227,213</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140,480,590</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130,000,000</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tcPr>
          <w:p>
            <w:pPr>
              <w:spacing w:after="0"/>
              <w:rPr>
                <w:sz w:val="20"/>
                <w:szCs w:val="20"/>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151,807,139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141,687,384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130,000,000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-1414145</wp:posOffset>
            </wp:positionV>
            <wp:extent cx="9398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-1414145</wp:posOffset>
            </wp:positionV>
            <wp:extent cx="94615"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-1088390</wp:posOffset>
            </wp:positionV>
            <wp:extent cx="93980"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-1088390</wp:posOffset>
            </wp:positionV>
            <wp:extent cx="94615"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94615" cy="171450"/>
                    </a:xfrm>
                    <a:prstGeom prst="rect">
                      <a:avLst/>
                    </a:prstGeom>
                    <a:noFill/>
                  </pic:spPr>
                </pic:pic>
              </a:graphicData>
            </a:graphic>
          </wp:anchor>
        </w:drawing>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statement of cash flows has not been presented as First Advantage Corporation (parent company) did not have any cash as of, or at any point in time during, the year ended December 31, 2022, 2021 or 2020.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these condensed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Note to Condensed Financial Statements of Registrant (Parent Company Only)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Fastball Intermediate, Inc. was formed on November 15, 2019. In March 2021, Fastball Intermediate, Inc. changed its name to First Advantage Corporation. Prior to the Silver Lake Transaction, the Company had no operations of its own and held no equity interest in any operating subsidiaries.</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condensed parent company-only financial statements have been prepared in accordance with Rule 12-04, Schedule I of Regulation S-X, as the restricted net assets of the subsidiaries of First Advantage Corporation (as defined in Rule 4-08(e)(3) of Regulation S-X) exceed the specified threshold amount of the consolidated net assets of the Company. Because we have a consolidated accumulated deficit, the 25% threshold described in Rule 4-08 does not apply and any restrictions of net assets at our subsidiaries trigger the requirement to present parent company-only financial information. The ability of First Advantage Corporation’s operating subsidiaries to pay dividends may be restricted due to the terms of the subsidiaries’ outstanding term loan and revolving credit facility borrowings under the Successor Credit Facilities, as described in Note 6 to the audited consolidated financial statements.</w:t>
      </w:r>
    </w:p>
    <w:p>
      <w:pPr>
        <w:spacing w:after="0" w:line="1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condensed parent company-only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parent company-only financial statements should be read in conjunction with the consolidated financial statements and related notes thereto included elsewhere in this Annual Report.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June 23,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purpose of this Non-Employee Director Compensation Policy (this “</w:t>
      </w:r>
      <w:r>
        <w:rPr>
          <w:rFonts w:ascii="Arial" w:cs="Arial" w:eastAsia="Arial" w:hAnsi="Arial"/>
          <w:sz w:val="18"/>
          <w:szCs w:val="18"/>
          <w:b w:val="1"/>
          <w:bCs w:val="1"/>
          <w:color w:val="auto"/>
        </w:rPr>
        <w:t>Policy</w:t>
      </w:r>
      <w:r>
        <w:rPr>
          <w:rFonts w:ascii="Arial" w:cs="Arial" w:eastAsia="Arial" w:hAnsi="Arial"/>
          <w:sz w:val="18"/>
          <w:szCs w:val="18"/>
          <w:color w:val="auto"/>
        </w:rPr>
        <w:t>”) is to establish the cash and equity compensation for non-employee members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First Advantage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in a manner that aligns their interests with those of the Company’s shareholders and is competitive with comparable companies.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cash and equity compensation described in this Policy shall be paid or be made, as applicable, automatically and without further action of the Board, or any committee or subcommittee thereof, to each member of the Board who is not an employee of the Company or any parent or subsidiary of the Company and who is also not employed by Silver Lake Partners or any of its respective affiliates (each, a “</w:t>
      </w:r>
      <w:r>
        <w:rPr>
          <w:rFonts w:ascii="Arial" w:cs="Arial" w:eastAsia="Arial" w:hAnsi="Arial"/>
          <w:sz w:val="18"/>
          <w:szCs w:val="18"/>
          <w:b w:val="1"/>
          <w:bCs w:val="1"/>
          <w:color w:val="auto"/>
        </w:rPr>
        <w:t>Non-Employee Director</w:t>
      </w:r>
      <w:r>
        <w:rPr>
          <w:rFonts w:ascii="Arial" w:cs="Arial" w:eastAsia="Arial" w:hAnsi="Arial"/>
          <w:sz w:val="18"/>
          <w:szCs w:val="18"/>
          <w:color w:val="auto"/>
        </w:rPr>
        <w:t>”) who may be eligible to receive such cash or equity compensation, unless such Non-Employee Director declines the receipt of such cash or equity compensation by written notice to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Policy shall become effective upon the closing date of the Company’s initial public offering (the “</w:t>
      </w:r>
      <w:r>
        <w:rPr>
          <w:rFonts w:ascii="Arial" w:cs="Arial" w:eastAsia="Arial" w:hAnsi="Arial"/>
          <w:sz w:val="18"/>
          <w:szCs w:val="18"/>
          <w:b w:val="1"/>
          <w:bCs w:val="1"/>
          <w:color w:val="auto"/>
        </w:rPr>
        <w:t>Effective Date</w:t>
      </w:r>
      <w:r>
        <w:rPr>
          <w:rFonts w:ascii="Arial" w:cs="Arial" w:eastAsia="Arial" w:hAnsi="Arial"/>
          <w:sz w:val="18"/>
          <w:szCs w:val="18"/>
          <w:color w:val="auto"/>
        </w:rPr>
        <w:t>”), and shall remain in effect until it is revised or rescinded by further action of the Board.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175" w:lineRule="exact"/>
        <w:rPr>
          <w:sz w:val="20"/>
          <w:szCs w:val="20"/>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540" w:hanging="514"/>
        <w:spacing w:after="0"/>
        <w:tabs>
          <w:tab w:leader="none" w:pos="154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$50,000 for service on the Board.</w:t>
      </w:r>
    </w:p>
    <w:p>
      <w:pPr>
        <w:spacing w:after="0" w:line="171" w:lineRule="exact"/>
        <w:rPr>
          <w:rFonts w:ascii="Arial" w:cs="Arial" w:eastAsia="Arial" w:hAnsi="Arial"/>
          <w:sz w:val="18"/>
          <w:szCs w:val="18"/>
          <w:color w:val="auto"/>
        </w:rPr>
      </w:pPr>
    </w:p>
    <w:p>
      <w:pPr>
        <w:ind w:left="1540" w:hanging="514"/>
        <w:spacing w:after="0" w:line="342" w:lineRule="auto"/>
        <w:tabs>
          <w:tab w:leader="none" w:pos="1540"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Additional Annual Retainers</w:t>
      </w:r>
      <w:r>
        <w:rPr>
          <w:rFonts w:ascii="Arial" w:cs="Arial" w:eastAsia="Arial" w:hAnsi="Arial"/>
          <w:sz w:val="16"/>
          <w:szCs w:val="16"/>
          <w:color w:val="auto"/>
        </w:rPr>
        <w:t xml:space="preserve">. In addition to the annual retainer in </w:t>
      </w:r>
      <w:r>
        <w:rPr>
          <w:rFonts w:ascii="Arial" w:cs="Arial" w:eastAsia="Arial" w:hAnsi="Arial"/>
          <w:sz w:val="16"/>
          <w:szCs w:val="16"/>
          <w:u w:val="single" w:color="auto"/>
          <w:color w:val="auto"/>
        </w:rPr>
        <w:t>Section 1(a)</w:t>
      </w:r>
      <w:r>
        <w:rPr>
          <w:rFonts w:ascii="Arial" w:cs="Arial" w:eastAsia="Arial" w:hAnsi="Arial"/>
          <w:sz w:val="16"/>
          <w:szCs w:val="16"/>
          <w:color w:val="auto"/>
        </w:rPr>
        <w:t>, each Non- Employee Director serving as a member or chair, as applicable, of the following committees of the Board shall receive an additional annual retainer for such service as follows:</w:t>
      </w:r>
    </w:p>
    <w:p>
      <w:pPr>
        <w:spacing w:after="0" w:line="70"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Audit Committee Chair:</w:t>
            </w:r>
          </w:p>
        </w:tc>
        <w:tc>
          <w:tcPr>
            <w:tcW w:w="1620" w:type="dxa"/>
            <w:vAlign w:val="bottom"/>
          </w:tcPr>
          <w:p>
            <w:pPr>
              <w:ind w:left="1040"/>
              <w:spacing w:after="0"/>
              <w:rPr>
                <w:sz w:val="20"/>
                <w:szCs w:val="20"/>
                <w:color w:val="auto"/>
              </w:rPr>
            </w:pPr>
            <w:r>
              <w:rPr>
                <w:rFonts w:ascii="Arial" w:cs="Arial" w:eastAsia="Arial" w:hAnsi="Arial"/>
                <w:sz w:val="18"/>
                <w:szCs w:val="18"/>
                <w:color w:val="auto"/>
                <w:w w:val="86"/>
              </w:rPr>
              <w:t>$20,000</w:t>
            </w:r>
          </w:p>
        </w:tc>
      </w:tr>
      <w:tr>
        <w:trPr>
          <w:trHeight w:val="391"/>
        </w:trPr>
        <w:tc>
          <w:tcPr>
            <w:tcW w:w="458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620" w:type="dxa"/>
            <w:vAlign w:val="bottom"/>
          </w:tcPr>
          <w:p>
            <w:pPr>
              <w:ind w:left="1040"/>
              <w:spacing w:after="0"/>
              <w:rPr>
                <w:sz w:val="20"/>
                <w:szCs w:val="20"/>
                <w:color w:val="auto"/>
              </w:rPr>
            </w:pPr>
            <w:r>
              <w:rPr>
                <w:rFonts w:ascii="Arial" w:cs="Arial" w:eastAsia="Arial" w:hAnsi="Arial"/>
                <w:sz w:val="18"/>
                <w:szCs w:val="18"/>
                <w:color w:val="auto"/>
                <w:w w:val="86"/>
              </w:rPr>
              <w:t>$10,000</w:t>
            </w:r>
          </w:p>
        </w:tc>
      </w:tr>
      <w:tr>
        <w:trPr>
          <w:trHeight w:val="392"/>
        </w:trPr>
        <w:tc>
          <w:tcPr>
            <w:tcW w:w="458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620" w:type="dxa"/>
            <w:vAlign w:val="bottom"/>
          </w:tcPr>
          <w:p>
            <w:pPr>
              <w:ind w:left="1040"/>
              <w:spacing w:after="0"/>
              <w:rPr>
                <w:sz w:val="20"/>
                <w:szCs w:val="20"/>
                <w:color w:val="auto"/>
              </w:rPr>
            </w:pPr>
            <w:r>
              <w:rPr>
                <w:rFonts w:ascii="Arial" w:cs="Arial" w:eastAsia="Arial" w:hAnsi="Arial"/>
                <w:sz w:val="18"/>
                <w:szCs w:val="18"/>
                <w:color w:val="auto"/>
                <w:w w:val="86"/>
              </w:rPr>
              <w:t>$15,000</w:t>
            </w:r>
          </w:p>
        </w:tc>
      </w:tr>
      <w:tr>
        <w:trPr>
          <w:trHeight w:val="391"/>
        </w:trPr>
        <w:tc>
          <w:tcPr>
            <w:tcW w:w="458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620" w:type="dxa"/>
            <w:vAlign w:val="bottom"/>
          </w:tcPr>
          <w:p>
            <w:pPr>
              <w:ind w:left="1040"/>
              <w:spacing w:after="0"/>
              <w:rPr>
                <w:sz w:val="20"/>
                <w:szCs w:val="20"/>
                <w:color w:val="auto"/>
              </w:rPr>
            </w:pPr>
            <w:r>
              <w:rPr>
                <w:rFonts w:ascii="Arial" w:cs="Arial" w:eastAsia="Arial" w:hAnsi="Arial"/>
                <w:sz w:val="18"/>
                <w:szCs w:val="18"/>
                <w:color w:val="auto"/>
              </w:rPr>
              <w:t>$7,500</w:t>
            </w:r>
          </w:p>
        </w:tc>
      </w:tr>
      <w:tr>
        <w:trPr>
          <w:trHeight w:val="392"/>
        </w:trPr>
        <w:tc>
          <w:tcPr>
            <w:tcW w:w="4580" w:type="dxa"/>
            <w:vAlign w:val="bottom"/>
          </w:tcPr>
          <w:p>
            <w:pPr>
              <w:spacing w:after="0"/>
              <w:rPr>
                <w:sz w:val="20"/>
                <w:szCs w:val="20"/>
                <w:color w:val="auto"/>
              </w:rPr>
            </w:pPr>
            <w:r>
              <w:rPr>
                <w:rFonts w:ascii="Arial" w:cs="Arial" w:eastAsia="Arial" w:hAnsi="Arial"/>
                <w:sz w:val="18"/>
                <w:szCs w:val="18"/>
                <w:color w:val="auto"/>
              </w:rPr>
              <w:t>Nominating and Corporate Governance Chair:</w:t>
            </w:r>
          </w:p>
        </w:tc>
        <w:tc>
          <w:tcPr>
            <w:tcW w:w="1620" w:type="dxa"/>
            <w:vAlign w:val="bottom"/>
          </w:tcPr>
          <w:p>
            <w:pPr>
              <w:ind w:left="1040"/>
              <w:spacing w:after="0"/>
              <w:rPr>
                <w:sz w:val="20"/>
                <w:szCs w:val="20"/>
                <w:color w:val="auto"/>
              </w:rPr>
            </w:pPr>
            <w:r>
              <w:rPr>
                <w:rFonts w:ascii="Arial" w:cs="Arial" w:eastAsia="Arial" w:hAnsi="Arial"/>
                <w:sz w:val="18"/>
                <w:szCs w:val="18"/>
                <w:color w:val="auto"/>
                <w:w w:val="86"/>
              </w:rPr>
              <w:t>$10,000</w:t>
            </w:r>
          </w:p>
        </w:tc>
      </w:tr>
      <w:tr>
        <w:trPr>
          <w:trHeight w:val="391"/>
        </w:trPr>
        <w:tc>
          <w:tcPr>
            <w:tcW w:w="4580" w:type="dxa"/>
            <w:vAlign w:val="bottom"/>
          </w:tcPr>
          <w:p>
            <w:pPr>
              <w:spacing w:after="0"/>
              <w:rPr>
                <w:sz w:val="20"/>
                <w:szCs w:val="20"/>
                <w:color w:val="auto"/>
              </w:rPr>
            </w:pPr>
            <w:r>
              <w:rPr>
                <w:rFonts w:ascii="Arial" w:cs="Arial" w:eastAsia="Arial" w:hAnsi="Arial"/>
                <w:sz w:val="18"/>
                <w:szCs w:val="18"/>
                <w:color w:val="auto"/>
              </w:rPr>
              <w:t>Nominating and Corporate Governance Member:</w:t>
            </w:r>
          </w:p>
        </w:tc>
        <w:tc>
          <w:tcPr>
            <w:tcW w:w="1620" w:type="dxa"/>
            <w:vAlign w:val="bottom"/>
          </w:tcPr>
          <w:p>
            <w:pPr>
              <w:ind w:left="1040"/>
              <w:spacing w:after="0"/>
              <w:rPr>
                <w:sz w:val="20"/>
                <w:szCs w:val="20"/>
                <w:color w:val="auto"/>
              </w:rPr>
            </w:pPr>
            <w:r>
              <w:rPr>
                <w:rFonts w:ascii="Arial" w:cs="Arial" w:eastAsia="Arial" w:hAnsi="Arial"/>
                <w:sz w:val="18"/>
                <w:szCs w:val="18"/>
                <w:color w:val="auto"/>
              </w:rPr>
              <w:t>$5,000</w:t>
            </w:r>
          </w:p>
        </w:tc>
      </w:tr>
    </w:tbl>
    <w:p>
      <w:pPr>
        <w:spacing w:after="0" w:line="323" w:lineRule="exact"/>
        <w:rPr>
          <w:sz w:val="20"/>
          <w:szCs w:val="20"/>
          <w:color w:val="auto"/>
        </w:rPr>
      </w:pPr>
    </w:p>
    <w:p>
      <w:pPr>
        <w:jc w:val="both"/>
        <w:ind w:left="1540" w:hanging="514"/>
        <w:spacing w:after="0" w:line="290" w:lineRule="auto"/>
        <w:tabs>
          <w:tab w:leader="none" w:pos="154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Payment of Retainers</w:t>
      </w:r>
      <w:r>
        <w:rPr>
          <w:rFonts w:ascii="Arial" w:cs="Arial" w:eastAsia="Arial" w:hAnsi="Arial"/>
          <w:sz w:val="16"/>
          <w:szCs w:val="16"/>
          <w:color w:val="auto"/>
        </w:rPr>
        <w:t xml:space="preserve">. The annual retainers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shall be earned on a quarterly basis based on a calendar quarter and shall be paid by the Company in arrears not later than the fifteenth day following the end of each calendar quarter. In the event a member of the Board does not serve as a Non-Employee Director, or in the applicable positions described in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for an entire calendar quarter, such Non- Employee Director shall receive a prorated portion of the retainer(s) otherwise payable to such Non-Employee Director for such calendar quarter pursuant to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and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as applicable, with such prorated portion determined by multiplying such otherwise payable retainer(s) by a fraction, the numerator of which is the number of days during which the member of the Board serves as a Non-Employee Director or in the applicable positions described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1(b)</w:t>
      </w:r>
      <w:r>
        <w:rPr>
          <w:rFonts w:ascii="Arial" w:cs="Arial" w:eastAsia="Arial" w:hAnsi="Arial"/>
          <w:sz w:val="16"/>
          <w:szCs w:val="16"/>
          <w:color w:val="auto"/>
        </w:rPr>
        <w:t xml:space="preserve"> during the applicable calendar quarter and the denominator of which is the number of days in the applicable calendar quarter.</w:t>
      </w:r>
    </w:p>
    <w:p>
      <w:pPr>
        <w:spacing w:after="0" w:line="111" w:lineRule="exact"/>
        <w:rPr>
          <w:rFonts w:ascii="Arial" w:cs="Arial" w:eastAsia="Arial" w:hAnsi="Arial"/>
          <w:sz w:val="16"/>
          <w:szCs w:val="16"/>
          <w:color w:val="auto"/>
        </w:rPr>
      </w:pPr>
    </w:p>
    <w:p>
      <w:pPr>
        <w:ind w:left="1540" w:hanging="514"/>
        <w:spacing w:after="0" w:line="277"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The Company shall reimburse each non-employee member of the Board for all reasonable and documented travel and lodging expenses associated with attendance at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both"/>
        <w:ind w:left="1020" w:hanging="503"/>
        <w:spacing w:after="0" w:line="296" w:lineRule="auto"/>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Non-Employee Directors shall be granted the restricted stock unit awards described below. The awards described below shall be granted under and shall be subject to the terms and provisions of the Company’s 2021 Omnibus Incentive Plan or any other applicable Company equity incentive plan then maintained by the Company (such plan, as may be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and shall be granted subject to the execution and delivery of applicable award agreement(s), including any exhibits attached thereto. All applicable terms of the Plan and any award agreement thereunder shall apply to this Policy as if fully set forth herein.</w:t>
      </w:r>
    </w:p>
    <w:p>
      <w:pPr>
        <w:spacing w:after="0" w:line="107" w:lineRule="exact"/>
        <w:rPr>
          <w:rFonts w:ascii="Arial" w:cs="Arial" w:eastAsia="Arial" w:hAnsi="Arial"/>
          <w:sz w:val="16"/>
          <w:szCs w:val="16"/>
          <w:color w:val="auto"/>
        </w:rPr>
      </w:pPr>
    </w:p>
    <w:p>
      <w:pPr>
        <w:jc w:val="both"/>
        <w:ind w:left="1540" w:hanging="514"/>
        <w:spacing w:after="0" w:line="255"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Annual Awards</w:t>
      </w:r>
      <w:r>
        <w:rPr>
          <w:rFonts w:ascii="Arial" w:cs="Arial" w:eastAsia="Arial" w:hAnsi="Arial"/>
          <w:sz w:val="18"/>
          <w:szCs w:val="18"/>
          <w:color w:val="auto"/>
        </w:rPr>
        <w:t>. Each Non-Employee Director who (i) serves on the Board as of the date of any annual meeting of the Company’s stockholders (an “</w:t>
      </w:r>
      <w:r>
        <w:rPr>
          <w:rFonts w:ascii="Arial" w:cs="Arial" w:eastAsia="Arial" w:hAnsi="Arial"/>
          <w:sz w:val="18"/>
          <w:szCs w:val="18"/>
          <w:b w:val="1"/>
          <w:bCs w:val="1"/>
          <w:color w:val="auto"/>
        </w:rPr>
        <w:t>Annual Meeting</w:t>
      </w:r>
      <w:r>
        <w:rPr>
          <w:rFonts w:ascii="Arial" w:cs="Arial" w:eastAsia="Arial" w:hAnsi="Arial"/>
          <w:sz w:val="18"/>
          <w:szCs w:val="18"/>
          <w:color w:val="auto"/>
        </w:rPr>
        <w:t>”) after the Effective Time and (ii) will continue to serve as a Non-Employee Director immediately following such Annual Meeting shall be automatically granted, on the date of such Annual Meeting, an equity award consisting of a number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xml:space="preserve">”) calculated by dividing $175,000 by the average closing price per share of Class A Common Stock over the 30 trading days preceding such grant date, rounded up to the nearest whole share. The awards described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2(a)</w:t>
      </w:r>
      <w:r>
        <w:rPr>
          <w:rFonts w:ascii="Arial" w:cs="Arial" w:eastAsia="Arial" w:hAnsi="Arial"/>
          <w:sz w:val="18"/>
          <w:szCs w:val="18"/>
          <w:color w:val="auto"/>
        </w:rPr>
        <w:t xml:space="preserve"> shall be referred to as the “</w:t>
      </w:r>
      <w:r>
        <w:rPr>
          <w:rFonts w:ascii="Arial" w:cs="Arial" w:eastAsia="Arial" w:hAnsi="Arial"/>
          <w:sz w:val="18"/>
          <w:szCs w:val="18"/>
          <w:b w:val="1"/>
          <w:bCs w:val="1"/>
          <w:color w:val="auto"/>
        </w:rPr>
        <w:t>Annual Awards</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Initial Awards</w:t>
      </w:r>
      <w:r>
        <w:rPr>
          <w:rFonts w:ascii="Arial" w:cs="Arial" w:eastAsia="Arial" w:hAnsi="Arial"/>
          <w:sz w:val="18"/>
          <w:szCs w:val="18"/>
          <w:color w:val="auto"/>
        </w:rPr>
        <w:t>. Each Non-Employee Director who is initially elected or appointed to the Board after the Effective Date shall be automatically granted, on the effective date of such Non-Employee Director’s initial election or appointment (such Non-Employee Director’s “</w:t>
      </w:r>
      <w:r>
        <w:rPr>
          <w:rFonts w:ascii="Arial" w:cs="Arial" w:eastAsia="Arial" w:hAnsi="Arial"/>
          <w:sz w:val="18"/>
          <w:szCs w:val="18"/>
          <w:b w:val="1"/>
          <w:bCs w:val="1"/>
          <w:color w:val="auto"/>
        </w:rPr>
        <w:t>Start Date</w:t>
      </w:r>
      <w:r>
        <w:rPr>
          <w:rFonts w:ascii="Arial" w:cs="Arial" w:eastAsia="Arial" w:hAnsi="Arial"/>
          <w:sz w:val="18"/>
          <w:szCs w:val="18"/>
          <w:color w:val="auto"/>
        </w:rPr>
        <w:t xml:space="preserve">”), an equity award consisting of a number of RSUs calculated by dividing $225,000 by the average closing price per share of Common Stock over the 30 trading days preceding such grant date, rounded up to the nearest whole share. The awards described in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shall be referred to as “</w:t>
      </w:r>
      <w:r>
        <w:rPr>
          <w:rFonts w:ascii="Arial" w:cs="Arial" w:eastAsia="Arial" w:hAnsi="Arial"/>
          <w:sz w:val="18"/>
          <w:szCs w:val="18"/>
          <w:b w:val="1"/>
          <w:bCs w:val="1"/>
          <w:color w:val="auto"/>
        </w:rPr>
        <w:t>Initial Awards</w:t>
      </w:r>
      <w:r>
        <w:rPr>
          <w:rFonts w:ascii="Arial" w:cs="Arial" w:eastAsia="Arial" w:hAnsi="Arial"/>
          <w:sz w:val="18"/>
          <w:szCs w:val="18"/>
          <w:color w:val="auto"/>
        </w:rPr>
        <w:t>.” For the avoidance of doubt, no Non-Employee Director shall be granted more than one Initial Award.</w:t>
      </w:r>
    </w:p>
    <w:p>
      <w:pPr>
        <w:spacing w:after="0" w:line="138" w:lineRule="exact"/>
        <w:rPr>
          <w:rFonts w:ascii="Arial" w:cs="Arial" w:eastAsia="Arial" w:hAnsi="Arial"/>
          <w:sz w:val="18"/>
          <w:szCs w:val="18"/>
          <w:color w:val="auto"/>
        </w:rPr>
      </w:pPr>
    </w:p>
    <w:p>
      <w:pPr>
        <w:jc w:val="both"/>
        <w:ind w:left="1540" w:hanging="514"/>
        <w:spacing w:after="0" w:line="25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of Employee Directors</w:t>
      </w:r>
      <w:r>
        <w:rPr>
          <w:rFonts w:ascii="Arial" w:cs="Arial" w:eastAsia="Arial" w:hAnsi="Arial"/>
          <w:sz w:val="18"/>
          <w:szCs w:val="18"/>
          <w:color w:val="auto"/>
        </w:rPr>
        <w:t xml:space="preserve">. Members of the Board who are employees of the Company or any parent or subsidiary of the Company who, following the Effective Date, terminate their employment with the Company and any parent or subsidiary of the Company and remain on the Board will not receive an Initial Award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above, but to the extent that they are otherwise eligible, will be eligible to receive, after termination from employment with the Company and any parent or subsidiary of the Company, Annual Awards as described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above.</w:t>
      </w:r>
    </w:p>
    <w:p>
      <w:pPr>
        <w:spacing w:after="0" w:line="133" w:lineRule="exact"/>
        <w:rPr>
          <w:rFonts w:ascii="Arial" w:cs="Arial" w:eastAsia="Arial" w:hAnsi="Arial"/>
          <w:sz w:val="18"/>
          <w:szCs w:val="18"/>
          <w:color w:val="auto"/>
        </w:rPr>
      </w:pPr>
    </w:p>
    <w:p>
      <w:pPr>
        <w:ind w:left="1540" w:hanging="514"/>
        <w:spacing w:after="0" w:line="277"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Vesting of Awards Granted to Non-Employee Directors</w:t>
      </w:r>
      <w:r>
        <w:rPr>
          <w:rFonts w:ascii="Arial" w:cs="Arial" w:eastAsia="Arial" w:hAnsi="Arial"/>
          <w:sz w:val="18"/>
          <w:szCs w:val="18"/>
          <w:color w:val="auto"/>
        </w:rPr>
        <w:t>. Subject to the Non-Employee Director continuing in service through each applicable vesting date:</w:t>
      </w:r>
    </w:p>
    <w:p>
      <w:pPr>
        <w:spacing w:after="0" w:line="116" w:lineRule="exact"/>
        <w:rPr>
          <w:rFonts w:ascii="Arial" w:cs="Arial" w:eastAsia="Arial" w:hAnsi="Arial"/>
          <w:sz w:val="18"/>
          <w:szCs w:val="18"/>
          <w:color w:val="auto"/>
        </w:rPr>
      </w:pPr>
    </w:p>
    <w:p>
      <w:pPr>
        <w:jc w:val="both"/>
        <w:ind w:left="2560" w:hanging="516"/>
        <w:spacing w:after="0" w:line="263" w:lineRule="auto"/>
        <w:tabs>
          <w:tab w:leader="none" w:pos="2560" w:val="left"/>
        </w:tabs>
        <w:numPr>
          <w:ilvl w:val="2"/>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Annual Award.</w:t>
      </w:r>
      <w:r>
        <w:rPr>
          <w:rFonts w:ascii="Arial" w:cs="Arial" w:eastAsia="Arial" w:hAnsi="Arial"/>
          <w:sz w:val="18"/>
          <w:szCs w:val="18"/>
          <w:color w:val="auto"/>
        </w:rPr>
        <w:t xml:space="preserve"> Each Annual Award shall vest on the first anniversary of the date of grant, or, if earlier, the date which is the business day immediately preceding the date of the next Annual Meeting following the date of the Annual Meeting on which such Annual Award is granted.</w:t>
      </w:r>
    </w:p>
    <w:p>
      <w:pPr>
        <w:spacing w:after="0" w:line="75" w:lineRule="exact"/>
        <w:rPr>
          <w:rFonts w:ascii="Arial" w:cs="Arial" w:eastAsia="Arial" w:hAnsi="Arial"/>
          <w:sz w:val="18"/>
          <w:szCs w:val="18"/>
          <w:u w:val="single" w:color="auto"/>
          <w:color w:val="auto"/>
        </w:rPr>
      </w:pPr>
    </w:p>
    <w:p>
      <w:pPr>
        <w:ind w:left="2560" w:hanging="516"/>
        <w:spacing w:after="0" w:line="277" w:lineRule="auto"/>
        <w:tabs>
          <w:tab w:leader="none" w:pos="2560" w:val="left"/>
        </w:tabs>
        <w:numPr>
          <w:ilvl w:val="2"/>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Initial Award.</w:t>
      </w:r>
      <w:r>
        <w:rPr>
          <w:rFonts w:ascii="Arial" w:cs="Arial" w:eastAsia="Arial" w:hAnsi="Arial"/>
          <w:sz w:val="18"/>
          <w:szCs w:val="18"/>
          <w:color w:val="auto"/>
        </w:rPr>
        <w:t xml:space="preserve"> Each Initial Award shall vest as to one-third of such award on each of the first through third anniversaries of the date of grant.</w:t>
      </w:r>
    </w:p>
    <w:p>
      <w:pPr>
        <w:spacing w:after="0" w:line="62" w:lineRule="exact"/>
        <w:rPr>
          <w:rFonts w:ascii="Arial" w:cs="Arial" w:eastAsia="Arial" w:hAnsi="Arial"/>
          <w:sz w:val="18"/>
          <w:szCs w:val="18"/>
          <w:u w:val="single" w:color="auto"/>
          <w:color w:val="auto"/>
        </w:rPr>
      </w:pPr>
    </w:p>
    <w:p>
      <w:pPr>
        <w:ind w:left="2560" w:hanging="516"/>
        <w:spacing w:after="0" w:line="277" w:lineRule="auto"/>
        <w:tabs>
          <w:tab w:leader="none" w:pos="2560" w:val="left"/>
        </w:tabs>
        <w:numPr>
          <w:ilvl w:val="2"/>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No portion of an Annual Award or Initial Award that is unvested at the time of a Non-Employee Director’s termination of service on the Board shall become vested thereafter.</w:t>
      </w:r>
    </w:p>
    <w:p>
      <w:pPr>
        <w:spacing w:after="0" w:line="62" w:lineRule="exact"/>
        <w:rPr>
          <w:rFonts w:ascii="Arial" w:cs="Arial" w:eastAsia="Arial" w:hAnsi="Arial"/>
          <w:sz w:val="18"/>
          <w:szCs w:val="18"/>
          <w:u w:val="single" w:color="auto"/>
          <w:color w:val="auto"/>
        </w:rPr>
      </w:pPr>
    </w:p>
    <w:p>
      <w:pPr>
        <w:ind w:left="2560" w:hanging="516"/>
        <w:spacing w:after="0" w:line="274" w:lineRule="auto"/>
        <w:tabs>
          <w:tab w:leader="none" w:pos="2560" w:val="left"/>
        </w:tabs>
        <w:numPr>
          <w:ilvl w:val="2"/>
          <w:numId w:val="6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All of the Annual Awards and Initial Awards shall vest in full immediately prior to the occurrence of a Change in Control (as defined in the Plan), to the extent outstanding and unvested at such time.</w:t>
      </w:r>
    </w:p>
    <w:p>
      <w:pPr>
        <w:spacing w:after="0"/>
        <w:rPr>
          <w:sz w:val="20"/>
          <w:szCs w:val="20"/>
          <w:color w:val="auto"/>
        </w:rPr>
      </w:pPr>
      <w:r>
        <w:rPr>
          <w:rFonts w:ascii="Arial" w:cs="Arial" w:eastAsia="Arial" w:hAnsi="Arial"/>
          <w:sz w:val="18"/>
          <w:szCs w:val="18"/>
          <w:b w:val="1"/>
          <w:bCs w:val="1"/>
          <w:color w:val="auto"/>
        </w:rPr>
        <w:t>Compensation Limits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to the contrary in this Policy, all compensation payable under this Policy will be subject to any limits on the maximum amount of Non-Employee Director compensation set forth in the Plan, as in effect from time to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to the Policy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Policy may be amended, modified or terminated at any time by action by the Board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 employee directors. No Non-Employee Director shall have any rights hereunder, except with respect to equity awards granted pursuant to this Policy following grant thereof.</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60" w:type="dxa"/>
            <w:vAlign w:val="bottom"/>
          </w:tcPr>
          <w:p>
            <w:pPr>
              <w:ind w:left="1940"/>
              <w:spacing w:after="0"/>
              <w:rPr>
                <w:sz w:val="20"/>
                <w:szCs w:val="20"/>
                <w:color w:val="auto"/>
              </w:rPr>
            </w:pPr>
            <w:r>
              <w:rPr>
                <w:rFonts w:ascii="Arial" w:cs="Arial" w:eastAsia="Arial" w:hAnsi="Arial"/>
                <w:sz w:val="18"/>
                <w:szCs w:val="18"/>
                <w:b w:val="1"/>
                <w:bCs w:val="1"/>
                <w:color w:val="auto"/>
                <w:w w:val="89"/>
              </w:rPr>
              <w:t>Exhibit 21.1</w:t>
            </w:r>
          </w:p>
        </w:tc>
      </w:tr>
      <w:tr>
        <w:trPr>
          <w:trHeight w:val="351"/>
        </w:trPr>
        <w:tc>
          <w:tcPr>
            <w:tcW w:w="8380" w:type="dxa"/>
            <w:vAlign w:val="bottom"/>
            <w:gridSpan w:val="3"/>
          </w:tcPr>
          <w:p>
            <w:pPr>
              <w:ind w:left="4000"/>
              <w:spacing w:after="0"/>
              <w:rPr>
                <w:sz w:val="20"/>
                <w:szCs w:val="20"/>
                <w:color w:val="auto"/>
              </w:rPr>
            </w:pPr>
            <w:r>
              <w:rPr>
                <w:rFonts w:ascii="Arial" w:cs="Arial" w:eastAsia="Arial" w:hAnsi="Arial"/>
                <w:sz w:val="18"/>
                <w:szCs w:val="18"/>
                <w:b w:val="1"/>
                <w:bCs w:val="1"/>
                <w:color w:val="auto"/>
              </w:rPr>
              <w:t>First Advantage Corporation Subsidiaries</w:t>
            </w:r>
          </w:p>
        </w:tc>
        <w:tc>
          <w:tcPr>
            <w:tcW w:w="2860" w:type="dxa"/>
            <w:vAlign w:val="bottom"/>
          </w:tcPr>
          <w:p>
            <w:pPr>
              <w:spacing w:after="0"/>
              <w:rPr>
                <w:sz w:val="24"/>
                <w:szCs w:val="24"/>
                <w:color w:val="auto"/>
              </w:rPr>
            </w:pPr>
          </w:p>
        </w:tc>
      </w:tr>
      <w:tr>
        <w:trPr>
          <w:trHeight w:val="365"/>
        </w:trPr>
        <w:tc>
          <w:tcPr>
            <w:tcW w:w="8380" w:type="dxa"/>
            <w:vAlign w:val="bottom"/>
            <w:gridSpan w:val="3"/>
          </w:tcPr>
          <w:p>
            <w:pPr>
              <w:spacing w:after="0"/>
              <w:rPr>
                <w:sz w:val="20"/>
                <w:szCs w:val="20"/>
                <w:color w:val="auto"/>
              </w:rPr>
            </w:pPr>
            <w:r>
              <w:rPr>
                <w:rFonts w:ascii="Arial" w:cs="Arial" w:eastAsia="Arial" w:hAnsi="Arial"/>
                <w:sz w:val="18"/>
                <w:szCs w:val="18"/>
                <w:color w:val="auto"/>
                <w:w w:val="93"/>
              </w:rPr>
              <w:t>Subsidiaries of the Registrant - First Advantage Corporation (a Delaware corporation) - as of December 31, 2022</w:t>
            </w:r>
          </w:p>
        </w:tc>
        <w:tc>
          <w:tcPr>
            <w:tcW w:w="2860" w:type="dxa"/>
            <w:vAlign w:val="bottom"/>
          </w:tcPr>
          <w:p>
            <w:pPr>
              <w:spacing w:after="0"/>
              <w:rPr>
                <w:sz w:val="24"/>
                <w:szCs w:val="24"/>
                <w:color w:val="auto"/>
              </w:rPr>
            </w:pPr>
          </w:p>
        </w:tc>
      </w:tr>
      <w:tr>
        <w:trPr>
          <w:trHeight w:val="58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 of Subsidiary</w:t>
            </w:r>
          </w:p>
        </w:tc>
        <w:tc>
          <w:tcPr>
            <w:tcW w:w="2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3"/>
              </w:rPr>
              <w:t>Jurisdiction of Organization</w:t>
            </w:r>
          </w:p>
        </w:tc>
      </w:tr>
      <w:tr>
        <w:trPr>
          <w:trHeight w:val="445"/>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Corporate Screening Services LLC</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94"/>
              </w:rPr>
              <w:t>Ohio</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FADV (Australia) PTY Limited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4"/>
              </w:rPr>
              <w:t>Australia</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FADV B.V.</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88"/>
              </w:rPr>
              <w:t>Netherlands</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FADV Cooperatief UA</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88"/>
              </w:rPr>
              <w:t>Netherlands</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FADV European Data Center B.V.</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88"/>
              </w:rPr>
              <w:t>Netherlands</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FADV Malaysia Sdn. Bhd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Malaysia</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Fastball Parent, Inc.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(Beijing) Co. Ltd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89"/>
              </w:rPr>
              <w:t>China</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(HK) Limited</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93"/>
              </w:rPr>
              <w:t>Hong Kong</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(Zhuhai) Co. Limited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89"/>
              </w:rPr>
              <w:t>China</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Acquisitions, Inc.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Australasia Pty Ltd.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4"/>
              </w:rPr>
              <w:t>Australia</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Australia Pty Ltd.</w:t>
            </w:r>
          </w:p>
        </w:tc>
        <w:tc>
          <w:tcPr>
            <w:tcW w:w="2860" w:type="dxa"/>
            <w:vAlign w:val="bottom"/>
          </w:tcPr>
          <w:p>
            <w:pPr>
              <w:ind w:left="880"/>
              <w:spacing w:after="0"/>
              <w:rPr>
                <w:sz w:val="20"/>
                <w:szCs w:val="20"/>
                <w:color w:val="auto"/>
              </w:rPr>
            </w:pPr>
            <w:r>
              <w:rPr>
                <w:rFonts w:ascii="Arial" w:cs="Arial" w:eastAsia="Arial" w:hAnsi="Arial"/>
                <w:sz w:val="18"/>
                <w:szCs w:val="18"/>
                <w:color w:val="auto"/>
              </w:rPr>
              <w:t>Australia</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Background Services Corp.</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94"/>
              </w:rPr>
              <w:t>Florida</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BackTrack Reports, LLC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Bangladesh Ltd</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88"/>
              </w:rPr>
              <w:t>Bangladesh</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Canada Inc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85"/>
              </w:rPr>
              <w:t>Canada</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Enterprise Screening Corporation</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Europe Ltd.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5"/>
              </w:rPr>
              <w:t>United Kingdom</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Form I9 Compliance LLC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Global Operating Center Private Limited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7"/>
              </w:rPr>
              <w:t>India</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Holdings, LLC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Indian Holdings, LLC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Intermediate Inc.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Japan K.K.</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85"/>
              </w:rPr>
              <w:t>Japan</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Limited</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93"/>
              </w:rPr>
              <w:t>Hong Kong</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New Zealand Limited</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90"/>
              </w:rPr>
              <w:t>New Zealand</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Occupational Health Services Corp.</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94"/>
              </w:rPr>
              <w:t>Florida</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Philippines, Inc.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4"/>
              </w:rPr>
              <w:t>Philippines</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Poland sp z.o.o.</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89"/>
              </w:rPr>
              <w:t>Poland</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Priderock Holding Company, Inc.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Alabama</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Private Limited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7"/>
              </w:rPr>
              <w:t>India</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Pte. Ltd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0"/>
              </w:rPr>
              <w:t>Singapore</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Quest Research Corporation</w:t>
            </w:r>
          </w:p>
        </w:tc>
        <w:tc>
          <w:tcPr>
            <w:tcW w:w="2860" w:type="dxa"/>
            <w:vAlign w:val="bottom"/>
          </w:tcPr>
          <w:p>
            <w:pPr>
              <w:jc w:val="center"/>
              <w:ind w:right="290"/>
              <w:spacing w:after="0"/>
              <w:rPr>
                <w:sz w:val="20"/>
                <w:szCs w:val="20"/>
                <w:color w:val="auto"/>
              </w:rPr>
            </w:pPr>
            <w:r>
              <w:rPr>
                <w:rFonts w:ascii="Arial" w:cs="Arial" w:eastAsia="Arial" w:hAnsi="Arial"/>
                <w:sz w:val="18"/>
                <w:szCs w:val="18"/>
                <w:color w:val="auto"/>
                <w:w w:val="89"/>
              </w:rPr>
              <w:t>Cayman Islands</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Quest Research Group Ltd.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4"/>
              </w:rPr>
              <w:t>British Virgin Islands</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Quest Research Limited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4"/>
              </w:rPr>
              <w:t>British Virgin Islands</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Tax Consulting Services, LLC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First Advantage U.S., LLC</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2"/>
              </w:rPr>
              <w:t>Delaware</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MultiLatin Advisors S.A. de CV</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4"/>
              </w:rPr>
              <w:t>Mexico</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National Credit Audit Corporation</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9"/>
              </w:rPr>
              <w:t>Illinois</w:t>
            </w:r>
          </w:p>
        </w:tc>
      </w:tr>
      <w:tr>
        <w:trPr>
          <w:trHeight w:val="22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TP Verify Screening Services LLP</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7"/>
              </w:rPr>
              <w:t>India</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Verify (Mauritius) Limited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5"/>
              </w:rPr>
              <w:t>Mauritius</w:t>
            </w:r>
          </w:p>
        </w:tc>
      </w:tr>
      <w:tr>
        <w:trPr>
          <w:trHeight w:val="230"/>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Verify Limited</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5"/>
              </w:rPr>
              <w:t>Mauritius</w:t>
            </w:r>
          </w:p>
        </w:tc>
      </w:tr>
      <w:tr>
        <w:trPr>
          <w:trHeight w:val="561"/>
        </w:trPr>
        <w:tc>
          <w:tcPr>
            <w:tcW w:w="5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333-257380 on Form S-8 of our reports dated February 28, 2023, relating to the financial statements of First Advantage Corporation and the effectiveness of First Advantage Corporation’s internal control over financial reporting appearing in this Annual Report on Form 10-K for the year ended December 31, 2022.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Atlanta, 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Staples, certify that:</w:t>
      </w:r>
    </w:p>
    <w:p>
      <w:pPr>
        <w:spacing w:after="0" w:line="333"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Advantage Corporation;</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120" w:hanging="503"/>
        <w:spacing w:after="0" w:line="263"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hanging="514"/>
        <w:spacing w:after="0" w:line="263"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514"/>
        <w:spacing w:after="0" w:line="342" w:lineRule="auto"/>
        <w:tabs>
          <w:tab w:leader="none" w:pos="15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740" w:val="left"/>
          <w:tab w:leader="none" w:pos="80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7"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L. Gamsey, certify that:</w:t>
      </w:r>
    </w:p>
    <w:p>
      <w:pPr>
        <w:spacing w:after="0" w:line="333" w:lineRule="exact"/>
        <w:rPr>
          <w:sz w:val="20"/>
          <w:szCs w:val="20"/>
          <w:color w:val="auto"/>
        </w:rPr>
      </w:pPr>
    </w:p>
    <w:p>
      <w:pPr>
        <w:ind w:left="1020" w:hanging="50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Advantage Corporation;</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120" w:hanging="503"/>
        <w:spacing w:after="0" w:line="263"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hanging="514"/>
        <w:spacing w:after="0" w:line="263"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514"/>
        <w:spacing w:after="0" w:line="342" w:lineRule="auto"/>
        <w:tabs>
          <w:tab w:leader="none" w:pos="15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740" w:val="left"/>
          <w:tab w:leader="none" w:pos="788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6"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Executive Vice President &amp; Chief Financial Officer</w:t>
      </w:r>
    </w:p>
    <w:p>
      <w:pPr>
        <w:spacing w:after="0" w:line="27"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Annual Report on Form 10-K of First Advantage Corporation (the “Company”) for the year ended December 31, 2022 as filed with the Securities and Exchange Commission on the date hereof (the “Report”), I certify, pursuant to 18 U.S.C. § 1350, as adopted pursuant to § 906 of the Sarbanes-Oxley Act of 2002, that, to the best of my knowledge:</w:t>
      </w:r>
    </w:p>
    <w:p>
      <w:pPr>
        <w:spacing w:after="0" w:line="292" w:lineRule="exact"/>
        <w:rPr>
          <w:sz w:val="20"/>
          <w:szCs w:val="20"/>
          <w:color w:val="auto"/>
        </w:rPr>
      </w:pPr>
    </w:p>
    <w:p>
      <w:pPr>
        <w:ind w:left="1020" w:hanging="50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20"/>
        <w:spacing w:after="0"/>
        <w:tabs>
          <w:tab w:leader="none" w:pos="5740" w:val="left"/>
          <w:tab w:leader="none" w:pos="80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7"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Annual Report on Form 10-K of First Advantage Corporation (the “Company”) for the year ended December 31, 2022 as filed with the Securities and Exchange Commission on the date hereof (the “Report”), I certify, pursuant to 18 U.S.C. § 1350, as adopted pursuant to § 906 of the Sarbanes-Oxley Act of 2002, that, to the best of my knowledge:</w:t>
      </w:r>
    </w:p>
    <w:p>
      <w:pPr>
        <w:spacing w:after="0" w:line="292" w:lineRule="exact"/>
        <w:rPr>
          <w:sz w:val="20"/>
          <w:szCs w:val="20"/>
          <w:color w:val="auto"/>
        </w:rPr>
      </w:pPr>
    </w:p>
    <w:p>
      <w:pPr>
        <w:ind w:left="1020" w:hanging="50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20"/>
        <w:spacing w:after="0"/>
        <w:tabs>
          <w:tab w:leader="none" w:pos="5740" w:val="left"/>
          <w:tab w:leader="none" w:pos="790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Executive Vice President &amp; Chief Financial Officer</w:t>
      </w:r>
    </w:p>
    <w:p>
      <w:pPr>
        <w:spacing w:after="0" w:line="27"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2"/>
    </w:lvl>
  </w:abstractNum>
  <w:abstractNum w:abstractNumId="45">
    <w:nsid w:val="180115BE"/>
    <w:multiLevelType w:val="hybridMultilevel"/>
    <w:lvl w:ilvl="0">
      <w:lvlJc w:val="left"/>
      <w:lvlText w:val="%1)"/>
      <w:numFmt w:val="lowerLetter"/>
      <w:start w:val="3"/>
    </w:lvl>
  </w:abstractNum>
  <w:abstractNum w:abstractNumId="46">
    <w:nsid w:val="235BA861"/>
    <w:multiLevelType w:val="hybridMultilevel"/>
    <w:lvl w:ilvl="0">
      <w:lvlJc w:val="left"/>
      <w:lvlText w:val="%1)"/>
      <w:numFmt w:val="lowerLetter"/>
      <w:start w:val="4"/>
    </w:lvl>
  </w:abstractNum>
  <w:abstractNum w:abstractNumId="47">
    <w:nsid w:val="47398C89"/>
    <w:multiLevelType w:val="hybridMultilevel"/>
    <w:lvl w:ilvl="0">
      <w:lvlJc w:val="left"/>
      <w:lvlText w:val="%1)"/>
      <w:numFmt w:val="lowerLetter"/>
      <w:start w:val="5"/>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lvl w:ilvl="1">
      <w:lvlJc w:val="left"/>
      <w:lvlText w:val="%2"/>
      <w:numFmt w:val="decimal"/>
      <w:start w:val="104"/>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emdash "/>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lowerLetter"/>
      <w:start w:val="25"/>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decimal"/>
      <w:start w:val="1"/>
    </w:lvl>
    <w:lvl w:ilvl="1">
      <w:lvlJc w:val="left"/>
      <w:lvlText w:val="%2."/>
      <w:numFmt w:val="lowerLetter"/>
      <w:start w:val="1"/>
    </w:lvl>
  </w:abstractNum>
  <w:abstractNum w:abstractNumId="63">
    <w:nsid w:val="4AD084E9"/>
    <w:multiLevelType w:val="hybridMultilevel"/>
    <w:lvl w:ilvl="0">
      <w:lvlJc w:val="left"/>
      <w:lvlText w:val="%1."/>
      <w:numFmt w:val="lowerLetter"/>
      <w:start w:val="3"/>
    </w:lvl>
  </w:abstractNum>
  <w:abstractNum w:abstractNumId="64">
    <w:nsid w:val="1F48EAA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149" Type="http://schemas.openxmlformats.org/officeDocument/2006/relationships/hyperlink" Target="https://www.sec.gov/Archives/edgar/data/1210677/000119312521200542/d12470dex31.htm" TargetMode="External"/><Relationship Id="rId150" Type="http://schemas.openxmlformats.org/officeDocument/2006/relationships/hyperlink" Target="https://www.sec.gov/Archives/edgar/data/1210677/000119312521200542/d12470dex32.htm" TargetMode="External"/><Relationship Id="rId151" Type="http://schemas.openxmlformats.org/officeDocument/2006/relationships/hyperlink" Target="https://www.sec.gov/Archives/edgar/data/1210677/000095017022004413/fa-ex4_1.htm" TargetMode="External"/><Relationship Id="rId152" Type="http://schemas.openxmlformats.org/officeDocument/2006/relationships/hyperlink" Target="https://www.sec.gov/Archives/edgar/data/1210677/000119312521200542/d12470dex103.htm" TargetMode="External"/><Relationship Id="rId153" Type="http://schemas.openxmlformats.org/officeDocument/2006/relationships/hyperlink" Target="https://www.sec.gov/Archives/edgar/data/1210677/000095017021001382/fa-20210630ex10_2.htm" TargetMode="External"/><Relationship Id="rId154" Type="http://schemas.openxmlformats.org/officeDocument/2006/relationships/hyperlink" Target="https://www.sec.gov/Archives/edgar/data/1210677/000119312521199389/d154811dex45.htm" TargetMode="External"/><Relationship Id="rId155" Type="http://schemas.openxmlformats.org/officeDocument/2006/relationships/hyperlink" Target="https://www.sec.gov/Archives/edgar/data/1210677/000095017022014791/fa-ex10_3.htm" TargetMode="External"/><Relationship Id="rId156" Type="http://schemas.openxmlformats.org/officeDocument/2006/relationships/hyperlink" Target="https://www.sec.gov/Archives/edgar/data/1210677/000095017022014791/fa-ex10_1.htm" TargetMode="External"/><Relationship Id="rId157" Type="http://schemas.openxmlformats.org/officeDocument/2006/relationships/hyperlink" Target="https://www.sec.gov/Archives/edgar/data/1210677/000095017022014791/fa-ex10_2.htm" TargetMode="External"/><Relationship Id="rId158" Type="http://schemas.openxmlformats.org/officeDocument/2006/relationships/hyperlink" Target="https://www.sec.gov/Archives/edgar/data/1210677/000119312521199389/d154811dex46.htm" TargetMode="External"/><Relationship Id="rId159" Type="http://schemas.openxmlformats.org/officeDocument/2006/relationships/hyperlink" Target="https://www.sec.gov/Archives/edgar/data/1210677/000095017022014791/fa-ex10_4.htm" TargetMode="External"/><Relationship Id="rId160" Type="http://schemas.openxmlformats.org/officeDocument/2006/relationships/hyperlink" Target="https://www.sec.gov/Archives/edgar/data/1210677/000095017021001382/fa-20210630ex10_6.htm" TargetMode="External"/><Relationship Id="rId161" Type="http://schemas.openxmlformats.org/officeDocument/2006/relationships/hyperlink" Target="https://www.sec.gov/Archives/edgar/data/1210677/000095017021001382/fa-20210630ex10_7.htm" TargetMode="External"/><Relationship Id="rId162" Type="http://schemas.openxmlformats.org/officeDocument/2006/relationships/hyperlink" Target="https://www.sec.gov/Archives/edgar/data/1210677/000119312521189386/d147929dex107.htm" TargetMode="External"/><Relationship Id="rId163" Type="http://schemas.openxmlformats.org/officeDocument/2006/relationships/hyperlink" Target="https://www.sec.gov/Archives/edgar/data/1210677/000095017021001382/fa-20210630ex10_9.htm" TargetMode="External"/><Relationship Id="rId164" Type="http://schemas.openxmlformats.org/officeDocument/2006/relationships/hyperlink" Target="https://www.sec.gov/Archives/edgar/data/1210677/000119312521199389/d154811dex412.htm" TargetMode="External"/><Relationship Id="rId165" Type="http://schemas.openxmlformats.org/officeDocument/2006/relationships/hyperlink" Target="https://www.sec.gov/Archives/edgar/data/1210677/000119312521177004/d147929dex103.htm" TargetMode="External"/><Relationship Id="rId166" Type="http://schemas.openxmlformats.org/officeDocument/2006/relationships/hyperlink" Target="https://www.sec.gov/Archives/edgar/data/1210677/000119312521177004/d147929dex104.htm" TargetMode="External"/><Relationship Id="rId167" Type="http://schemas.openxmlformats.org/officeDocument/2006/relationships/hyperlink" Target="https://www.sec.gov/Archives/edgar/data/1210677/000119312521177004/d147929dex105.htm" TargetMode="External"/><Relationship Id="rId168" Type="http://schemas.openxmlformats.org/officeDocument/2006/relationships/hyperlink" Target="https://www.sec.gov/Archives/edgar/data/1210677/000119312521177004/d147929dex106.htm" TargetMode="External"/><Relationship Id="rId171" Type="http://schemas.openxmlformats.org/officeDocument/2006/relationships/hyperlink" Target="https://www.sec.gov/Archives/edgar/data/1210677/000119312521177004/d147929dex107.htm" TargetMode="External"/><Relationship Id="rId172" Type="http://schemas.openxmlformats.org/officeDocument/2006/relationships/hyperlink" Target="https://www.sec.gov/Archives/edgar/data/1210677/000119312521177004/d147929dex108.htm" TargetMode="External"/><Relationship Id="rId173" Type="http://schemas.openxmlformats.org/officeDocument/2006/relationships/hyperlink" Target="https://www.sec.gov/Archives/edgar/data/1210677/000119312521177004/d147929dex109.htm" TargetMode="External"/><Relationship Id="rId174" Type="http://schemas.openxmlformats.org/officeDocument/2006/relationships/hyperlink" Target="https://www.sec.gov/Archives/edgar/data/1210677/000119312521189386/d147929dex1016.htm" TargetMode="External"/><Relationship Id="rId175" Type="http://schemas.openxmlformats.org/officeDocument/2006/relationships/hyperlink" Target="https://www.sec.gov/Archives/edgar/data/1210677/000095017022004413/fa-ex10_19.htm" TargetMode="External"/><Relationship Id="rId176" Type="http://schemas.openxmlformats.org/officeDocument/2006/relationships/hyperlink" Target="https://www.sec.gov/Archives/edgar/data/1210677/000119312521177004/d147929dex1010.htm" TargetMode="External"/><Relationship Id="rId177" Type="http://schemas.openxmlformats.org/officeDocument/2006/relationships/hyperlink" Target="https://www.sec.gov/Archives/edgar/data/1210677/000119312521177004/d147929dex1011.htm" TargetMode="External"/><Relationship Id="rId178" Type="http://schemas.openxmlformats.org/officeDocument/2006/relationships/hyperlink" Target="https://www.sec.gov/Archives/edgar/data/1210677/000119312521177004/d147929dex1012.htm" TargetMode="External"/><Relationship Id="rId179" Type="http://schemas.openxmlformats.org/officeDocument/2006/relationships/hyperlink" Target="https://www.sec.gov/Archives/edgar/data/1210677/000119312521200542/d124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2023-02-28T21:16:04Z</dcterms:created>
  <dcterms:modified xsi:type="dcterms:W3CDTF">2023-02-28T21:16:04Z</dcterms:modified>
</cp:coreProperties>
</file>