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a-20260331.htm"/>
      <w:bookmarkStart w:id="1" w:name="ksfa20260331"/>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I dia</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r>
        <w:rPr>
          <w:rFonts w:ascii="Times New Roman" w:hAnsi="Times New Roman"/>
          <w:b/>
          <w:color w:val="000000"/>
          <w:sz w:val="20"/>
        </w:rPr>
        <w:t>001-31666</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First Advantage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3166"/>
        <w:gridCol w:w="1246"/>
      </w:tblGrid>
      <w:tr>
        <w:trPr/>
        <w:tc>
          <w:tcPr>
            <w:tcW w:w="31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84-3884690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 Concourse Parkway NE,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Atlanta, GA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30328</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868-4151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May 1, 2026, the registrant had 171,537,047</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563C1"/>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563C1"/>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hanges_in_stockholders_eq">
              <w:r>
                <w:rPr>
                  <w:rStyle w:val="InternetLink"/>
                  <w:rFonts w:ascii="Times New Roman" w:hAnsi="Times New Roman"/>
                  <w:color w:val="0563C1"/>
                  <w:sz w:val="20"/>
                  <w:u w:val="single"/>
                </w:rPr>
                <w:t>Condensed Consolidated Statements of Changes in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 (Unaudited)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3"/>
        <w:gridCol w:w="146"/>
        <w:gridCol w:w="218"/>
        <w:gridCol w:w="965"/>
        <w:gridCol w:w="166"/>
        <w:gridCol w:w="146"/>
        <w:gridCol w:w="234"/>
        <w:gridCol w:w="1034"/>
        <w:gridCol w:w="613"/>
      </w:tblGrid>
      <w:tr>
        <w:trPr/>
        <w:tc>
          <w:tcPr>
            <w:tcW w:w="6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par value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doubtful accounts of $8,327 and $8,084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297,281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561,698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2,143,604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857,111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109,888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230,459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deferred financing costs of $32,603 and $34,498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2,520,250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$0.001 par value; 1,000,000,000 shares authorized, 172,705,863 and 174,190,461 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1,528,315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1,313,552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3,833,802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9934" w:type="dxa"/>
        <w:jc w:val="left"/>
        <w:tblInd w:w="0" w:type="dxa"/>
        <w:tblLayout w:type="fixed"/>
        <w:tblCellMar>
          <w:top w:w="28" w:type="dxa"/>
          <w:left w:w="28" w:type="dxa"/>
          <w:bottom w:w="28" w:type="dxa"/>
          <w:right w:w="28" w:type="dxa"/>
        </w:tblCellMar>
      </w:tblPr>
      <w:tblGrid>
        <w:gridCol w:w="5781"/>
        <w:gridCol w:w="546"/>
        <w:gridCol w:w="211"/>
        <w:gridCol w:w="1141"/>
        <w:gridCol w:w="166"/>
        <w:gridCol w:w="146"/>
        <w:gridCol w:w="211"/>
        <w:gridCol w:w="1141"/>
        <w:gridCol w:w="591"/>
      </w:tblGrid>
      <w:tr>
        <w:trPr/>
        <w:tc>
          <w:tcPr>
            <w:tcW w:w="5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173,903,625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53"/>
        <w:gridCol w:w="146"/>
        <w:gridCol w:w="219"/>
        <w:gridCol w:w="815"/>
        <w:gridCol w:w="172"/>
        <w:gridCol w:w="151"/>
        <w:gridCol w:w="219"/>
        <w:gridCol w:w="815"/>
        <w:gridCol w:w="615"/>
      </w:tblGrid>
      <w:tr>
        <w:trPr/>
        <w:tc>
          <w:tcPr>
            <w:tcW w:w="7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expense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and 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receivable and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First Lien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share-based compensation plan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226,019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acquired on account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taxes on share repurchases incurred but not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7" w:name="statement_of_changes_in_stockholders_eq"/>
      <w:bookmarkEnd w:id="7"/>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1,293,784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294"/>
        <w:gridCol w:w="590"/>
        <w:gridCol w:w="166"/>
        <w:gridCol w:w="146"/>
        <w:gridCol w:w="230"/>
        <w:gridCol w:w="1016"/>
        <w:gridCol w:w="166"/>
        <w:gridCol w:w="146"/>
        <w:gridCol w:w="211"/>
        <w:gridCol w:w="841"/>
        <w:gridCol w:w="166"/>
        <w:gridCol w:w="146"/>
        <w:gridCol w:w="288"/>
        <w:gridCol w:w="1010"/>
        <w:gridCol w:w="166"/>
        <w:gridCol w:w="146"/>
        <w:gridCol w:w="229"/>
        <w:gridCol w:w="1014"/>
        <w:gridCol w:w="214"/>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of previously declared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share-based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for tax obligations on restricted stock unit and option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1,278,755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Advantage Corporation</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Consolidated Financial Statements</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 Organization, Nature of Business, and Basis of Presentation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Corporation, a Delaware corporation, was formed on November 15, 2019. Hereafter, First Advantage Corporation and its subsidiaries will collectively be referred to as the “Company.”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derives its revenues from a variety of background check, identity, and compliance services performed across all phases of the employee lifecycle from pre-onboarding services to post-onboarding and ongoing monitoring services, covering employees, contractors, contingent workers, and drivers. We generally classify our service offerings into three categories: pre-onboarding, post-onboarding, and adjacent products.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Post-onboarding services are comprised of continuous monitoring and re-screening solutions, which are important tools to help our customers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Adjacent products include products that complement our pre-onboarding and post-onboarding products and solutions. This includes fleet and vehicle compliance, hiring tax credits and incentives, employment eligibility, and investigative research.</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Basis of Presentation </w:t>
      </w: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 Certain customers across various industries also historically increase their hiring throughout the second quarter of the year as winter concludes, and the school year ends, giving rise to student and graduate hiring, and increased commercial activity tied to outdoor activities. </w:t>
      </w:r>
    </w:p>
    <w:p>
      <w:pPr>
        <w:pStyle w:val="TextBody"/>
        <w:bidi w:val="0"/>
        <w:spacing w:before="0" w:after="18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Significant estimates, judgments, and assumptions, include, but are not limited to, the determination of the fair value and useful lives of assets acquired and liabilities assumed through business combinations, goodwill impairment, impairment of long-lived assets,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 xml:space="preserve"> — Certain financial assets and liabilities are reported at fair value in the accompanying consolidated balance sheets in accordance with Financial Accounting Standards Board (“FASB”) Accounting Standards Codification (“ASC”) 820, </w:t>
      </w:r>
      <w:r>
        <w:rPr>
          <w:rFonts w:ascii="Times New Roman" w:hAnsi="Times New Roman"/>
          <w:i/>
          <w:color w:val="000000"/>
          <w:sz w:val="20"/>
        </w:rPr>
        <w:t>Fair Value Measurement</w:t>
      </w:r>
      <w:r>
        <w:rPr>
          <w:rFonts w:ascii="Times New Roman" w:hAnsi="Times New Roman"/>
          <w:color w:val="000000"/>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bidi w:val="0"/>
        <w:spacing w:before="180" w:after="18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Quoted prices for identical instruments in active markets.</w:t>
      </w:r>
    </w:p>
    <w:p>
      <w:pPr>
        <w:pStyle w:val="TextBody"/>
        <w:bidi w:val="0"/>
        <w:spacing w:before="0" w:after="18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0" w:after="18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carrying amounts of cash and cash equivalents, receivables, and accounts payable approximate fair value due to the short-term maturities of these financial instruments (Level 1). The fair values and carrying values of the Company’s debt are disclosed in Note 5,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information about the Company’s financial assets and liabilities that are measured at fair value on a recurring basis and their assigned levels within the valuation hierarchy as of March 31, 2026 (in thousands):</w:t>
      </w:r>
    </w:p>
    <w:tbl>
      <w:tblPr>
        <w:tblW w:w="4954" w:type="dxa"/>
        <w:jc w:val="left"/>
        <w:tblInd w:w="0" w:type="dxa"/>
        <w:tblLayout w:type="fixed"/>
        <w:tblCellMar>
          <w:top w:w="28" w:type="dxa"/>
          <w:left w:w="28" w:type="dxa"/>
          <w:bottom w:w="28" w:type="dxa"/>
          <w:right w:w="28" w:type="dxa"/>
        </w:tblCellMar>
      </w:tblPr>
      <w:tblGrid>
        <w:gridCol w:w="1791"/>
        <w:gridCol w:w="146"/>
        <w:gridCol w:w="239"/>
        <w:gridCol w:w="391"/>
        <w:gridCol w:w="146"/>
        <w:gridCol w:w="146"/>
        <w:gridCol w:w="211"/>
        <w:gridCol w:w="571"/>
        <w:gridCol w:w="146"/>
        <w:gridCol w:w="146"/>
        <w:gridCol w:w="239"/>
        <w:gridCol w:w="391"/>
        <w:gridCol w:w="391"/>
      </w:tblGrid>
      <w:tr>
        <w:trPr/>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br/>
        <w:t>Assets and Liabilities Measured at Fair Value on a Nonrecurring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Other intangible assets are subject to nonrecurring fair value measurement as the result of business acquisitions. The fair values of these assets were estimated using the present value of expected future cash flows through unobservable inputs (Level 3). </w:t>
      </w:r>
    </w:p>
    <w:p>
      <w:pPr>
        <w:pStyle w:val="TextBody"/>
        <w:bidi w:val="0"/>
        <w:spacing w:before="0" w:after="180"/>
        <w:jc w:val="left"/>
        <w:rPr>
          <w:rFonts w:ascii="Times New Roman" w:hAnsi="Times New Roman"/>
          <w:sz w:val="20"/>
        </w:rPr>
      </w:pPr>
      <w:r>
        <w:rPr>
          <w:rFonts w:ascii="Times New Roman" w:hAnsi="Times New Roman"/>
          <w:b/>
          <w:color w:val="000000"/>
          <w:sz w:val="20"/>
        </w:rPr>
        <w:t>Business Combinations —</w:t>
      </w:r>
      <w:r>
        <w:rPr>
          <w:rFonts w:ascii="Times New Roman" w:hAnsi="Times New Roman"/>
          <w:color w:val="000000"/>
          <w:sz w:val="20"/>
        </w:rPr>
        <w:t xml:space="preserve"> The Company records business combinations using the acquisition method of accounting in accordance with ASC 805, </w:t>
      </w:r>
      <w:r>
        <w:rPr>
          <w:rFonts w:ascii="Times New Roman" w:hAnsi="Times New Roman"/>
          <w:i/>
          <w:color w:val="000000"/>
          <w:sz w:val="20"/>
        </w:rPr>
        <w:t>Business Combinations</w:t>
      </w:r>
      <w:r>
        <w:rPr>
          <w:rFonts w:ascii="Times New Roman" w:hAnsi="Times New Roman"/>
          <w:color w:val="000000"/>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valuing trade names, customer lists, software developed for internal use, and other intangible assets,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pStyle w:val="TextBody"/>
        <w:bidi w:val="0"/>
        <w:spacing w:before="0" w:after="180"/>
        <w:jc w:val="left"/>
        <w:rPr>
          <w:rFonts w:ascii="Times New Roman" w:hAnsi="Times New Roman"/>
          <w:sz w:val="20"/>
        </w:rPr>
      </w:pPr>
      <w:r>
        <w:rPr>
          <w:rFonts w:ascii="Times New Roman" w:hAnsi="Times New Roman"/>
          <w:b/>
          <w:color w:val="000000"/>
          <w:sz w:val="20"/>
        </w:rPr>
        <w:t xml:space="preserve">Concentrations of Credit Risk — </w:t>
      </w:r>
      <w:r>
        <w:rPr>
          <w:rFonts w:ascii="Times New Roman" w:hAnsi="Times New Roman"/>
          <w:color w:val="000000"/>
          <w:sz w:val="20"/>
        </w:rPr>
        <w:t>Financial instruments which potentially subject the Company to concentrations of credit risk consist principally of cash 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did not have any customers which represented 10% or more of its consolidated revenues in any segment during the three months ended March 31, 2026 and 2025. Additionally, the Company did not have any customers which represented 10% or more of its consolidated accounts receivable, net for any period presented.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 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Foreign currency translation (loss) income included in accumulated other comprehensive loss was approximately $(6.9) million and $5.5 million for the three months ended March 31, 2026 and 2025, respectively.</w:t>
      </w:r>
    </w:p>
    <w:p>
      <w:pPr>
        <w:pStyle w:val="TextBody"/>
        <w:bidi w:val="0"/>
        <w:spacing w:before="0" w:after="180"/>
        <w:jc w:val="left"/>
        <w:rPr>
          <w:rFonts w:ascii="Times New Roman" w:hAnsi="Times New Roman"/>
          <w:sz w:val="20"/>
        </w:rPr>
      </w:pPr>
      <w:r>
        <w:rPr>
          <w:rFonts w:ascii="Times New Roman" w:hAnsi="Times New Roman"/>
          <w:color w:val="000000"/>
          <w:sz w:val="20"/>
        </w:rPr>
        <w:t>Gains or losses resulting from foreign currency transactions are included in the accompanying condensed consolidated statements of operations and comprehensive loss, except for those relating to intercompany transactions of a long-term investment nature, which are captured in a separate component of equity as accumulated other comprehensive loss. Foreign currency transaction income (loss)</w:t>
      </w:r>
      <w:r>
        <w:rPr>
          <w:rFonts w:ascii="Times New Roman" w:hAnsi="Times New Roman"/>
          <w:color w:val="FF0000"/>
          <w:sz w:val="20"/>
        </w:rPr>
        <w:t xml:space="preserve"> </w:t>
      </w:r>
      <w:r>
        <w:rPr>
          <w:rFonts w:ascii="Times New Roman" w:hAnsi="Times New Roman"/>
          <w:color w:val="000000"/>
          <w:sz w:val="20"/>
        </w:rPr>
        <w:t xml:space="preserve">included in the accompanying condensed consolidated statements of operations and comprehensive loss was approximately $4.0 million and $(0.1) million for the three months ended March 31, 2026 and 2025, respectively. </w:t>
      </w:r>
    </w:p>
    <w:p>
      <w:pPr>
        <w:pStyle w:val="TextBody"/>
        <w:bidi w:val="0"/>
        <w:spacing w:before="0" w:after="18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 There were no accounting pronouncements issued during the three months ended March 31, 2026 that are expected to have a material impact on the condensed consolidated financial statements.</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Note 3. Property and Equipment,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Property and equipment, net as of March 31, 2026 and December 31, 2025 consisted of the following (in thousands):</w:t>
      </w:r>
    </w:p>
    <w:tbl>
      <w:tblPr>
        <w:tblW w:w="10165" w:type="dxa"/>
        <w:jc w:val="left"/>
        <w:tblInd w:w="0" w:type="dxa"/>
        <w:tblLayout w:type="fixed"/>
        <w:tblCellMar>
          <w:top w:w="28" w:type="dxa"/>
          <w:left w:w="28" w:type="dxa"/>
          <w:bottom w:w="28" w:type="dxa"/>
          <w:right w:w="28" w:type="dxa"/>
        </w:tblCellMar>
      </w:tblPr>
      <w:tblGrid>
        <w:gridCol w:w="6736"/>
        <w:gridCol w:w="146"/>
        <w:gridCol w:w="252"/>
        <w:gridCol w:w="1008"/>
        <w:gridCol w:w="166"/>
        <w:gridCol w:w="146"/>
        <w:gridCol w:w="301"/>
        <w:gridCol w:w="1199"/>
        <w:gridCol w:w="2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acquired by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for internal use, developed internally or otherwise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Depreciation and amortization expense of property and equipment was approximately $27.8 million and $27.6 million for the three months ended March 31, 2026 and 2025, respectively.</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Note 4. Goodwill and Other Intangible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changes in the carrying amount of goodwill for the three months ended March 31, 2026 by reportable segment were as follows (in thousands): </w:t>
      </w:r>
    </w:p>
    <w:tbl>
      <w:tblPr>
        <w:tblW w:w="9858" w:type="dxa"/>
        <w:jc w:val="left"/>
        <w:tblInd w:w="0" w:type="dxa"/>
        <w:tblLayout w:type="fixed"/>
        <w:tblCellMar>
          <w:top w:w="28" w:type="dxa"/>
          <w:left w:w="28" w:type="dxa"/>
          <w:bottom w:w="28" w:type="dxa"/>
          <w:right w:w="28" w:type="dxa"/>
        </w:tblCellMar>
      </w:tblPr>
      <w:tblGrid>
        <w:gridCol w:w="3721"/>
        <w:gridCol w:w="146"/>
        <w:gridCol w:w="274"/>
        <w:gridCol w:w="1016"/>
        <w:gridCol w:w="146"/>
        <w:gridCol w:w="146"/>
        <w:gridCol w:w="273"/>
        <w:gridCol w:w="1017"/>
        <w:gridCol w:w="166"/>
        <w:gridCol w:w="146"/>
        <w:gridCol w:w="211"/>
        <w:gridCol w:w="931"/>
        <w:gridCol w:w="166"/>
        <w:gridCol w:w="146"/>
        <w:gridCol w:w="211"/>
        <w:gridCol w:w="931"/>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w:t>
              <w:b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of goodwill for asset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2,138,399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summarizes the gross carrying value and accumulated amortization for the Company’s trade names, customer lists, and other intangible assets as of March 31, 2026 and December 31, 2025 (in thousands):</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pPr>
      <w:r>
        <w:rPr/>
        <w:t> </w:t>
      </w:r>
    </w:p>
    <w:tbl>
      <w:tblPr>
        <w:tblW w:w="7675" w:type="dxa"/>
        <w:jc w:val="left"/>
        <w:tblInd w:w="0" w:type="dxa"/>
        <w:tblLayout w:type="fixed"/>
        <w:tblCellMar>
          <w:top w:w="28" w:type="dxa"/>
          <w:left w:w="28" w:type="dxa"/>
          <w:bottom w:w="28" w:type="dxa"/>
          <w:right w:w="28" w:type="dxa"/>
        </w:tblCellMar>
      </w:tblPr>
      <w:tblGrid>
        <w:gridCol w:w="1966"/>
        <w:gridCol w:w="146"/>
        <w:gridCol w:w="230"/>
        <w:gridCol w:w="1015"/>
        <w:gridCol w:w="146"/>
        <w:gridCol w:w="146"/>
        <w:gridCol w:w="216"/>
        <w:gridCol w:w="865"/>
        <w:gridCol w:w="166"/>
        <w:gridCol w:w="146"/>
        <w:gridCol w:w="265"/>
        <w:gridCol w:w="980"/>
        <w:gridCol w:w="146"/>
        <w:gridCol w:w="146"/>
        <w:gridCol w:w="109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(in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 years</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 years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January 2026, the Company sold certain customer relationships associated with an adjacent product to an unrelated third party for cash consideration. The customers transferred represented less than 0.5% of consolidated revenues for the year ended December 31, 2025. The Company retained the underlying technology, data, and other assets and continues to operate the subsidiary’s remaining portions of the business. Because the transaction did not represent a strategic shift or the disposal of a separate major line of business, the related operations are not presented as discontinued operations. In connection with the asset disposition, the Company derecognized $5.0 million of goodwill and $2.5 million of customer lists.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Amortization expense of trade names, customer lists, and other intangible assets was approximately $34.4 million and $34.1 million for the three months ended March 31, 2026 and 2025, respectively. Trade names and customer lists are amortized on an accelerated basis based upon their estimated useful life. Other intangible assets are amortized on a straight-line or accelerated basis over their expected useful life of five years.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fair value of the Company’s debt obligation approximated its book value as of March 31, 2026 and December 31, 2025 and consisted of the following (in thousands): </w:t>
      </w:r>
    </w:p>
    <w:tbl>
      <w:tblPr>
        <w:tblW w:w="5980" w:type="dxa"/>
        <w:jc w:val="left"/>
        <w:tblInd w:w="0" w:type="dxa"/>
        <w:tblLayout w:type="fixed"/>
        <w:tblCellMar>
          <w:top w:w="28" w:type="dxa"/>
          <w:left w:w="28" w:type="dxa"/>
          <w:bottom w:w="28" w:type="dxa"/>
          <w:right w:w="28" w:type="dxa"/>
        </w:tblCellMar>
      </w:tblPr>
      <w:tblGrid>
        <w:gridCol w:w="2551"/>
        <w:gridCol w:w="146"/>
        <w:gridCol w:w="232"/>
        <w:gridCol w:w="1028"/>
        <w:gridCol w:w="166"/>
        <w:gridCol w:w="146"/>
        <w:gridCol w:w="277"/>
        <w:gridCol w:w="1223"/>
        <w:gridCol w:w="2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2,114,537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is a party to a First Lien Credit Agreement (as amended, “2024 First Lien Credit Agreement”), which provided for a term loan of $2.185 billion due October 31, 2031 and a $250.0 million revolving credit facility due October 31, 2029. </w:t>
      </w:r>
    </w:p>
    <w:p>
      <w:pPr>
        <w:pStyle w:val="TextBody"/>
        <w:bidi w:val="0"/>
        <w:spacing w:before="0" w:after="180"/>
        <w:jc w:val="left"/>
        <w:rPr>
          <w:rFonts w:ascii="Times New Roman" w:hAnsi="Times New Roman"/>
          <w:sz w:val="20"/>
        </w:rPr>
      </w:pPr>
      <w:r>
        <w:rPr>
          <w:rFonts w:ascii="Times New Roman" w:hAnsi="Times New Roman"/>
          <w:color w:val="000000"/>
          <w:sz w:val="20"/>
        </w:rPr>
        <w:t>On July 30, 2025, the Company amended its 2024 First Lien Credit Agreement (“2025 Amended First Lien Credit Agreement”) to reduce the interest rate on its term loan to a range of 2.50% to 2.75%, based on the first lien ratio, plus the Secured Overnight Financing Rate (“SOFR”) and an applicable margin (“First Lien Credit Facility”). The amendment also reduced the interest rate on its revolving credit facility to a range of 2.25% to 2.75%, based on the first lien ratio, plus SOFR (“Amended Revolver”).</w:t>
      </w:r>
      <w:r>
        <w:rPr>
          <w:rFonts w:ascii="Times New Roman" w:hAnsi="Times New Roman"/>
          <w:color w:val="FF0000"/>
          <w:sz w:val="20"/>
        </w:rPr>
        <w:t xml:space="preserve"> </w:t>
      </w:r>
      <w:r>
        <w:rPr>
          <w:rFonts w:ascii="Times New Roman" w:hAnsi="Times New Roman"/>
          <w:color w:val="000000"/>
          <w:sz w:val="20"/>
        </w:rPr>
        <w:t xml:space="preserve">The Amended First Lien Credit Facility amortizes in equal quarterly installments in aggregate annual amounts equal to 1.00% of the principal amount. The Amended Revolver has no amortization.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2026, the Company made a voluntary principal prepayment of $25.0 million on its outstanding term loan. As a result of this prepayment, the Company recognized a loss on extinguishment of debt of $0.4 million, related to the write-off of unamortized deferred financing costs. No prepayment penalties were incurred. In accordance with the terms of the 2025 Amended First Lien Credit Agreement, this voluntary prepayment reduced the remaining scheduled future principal repayment obligations on the term loan.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As of March 31, 2026, there were no outstanding borrowings under the Amended Revolver and $2,089.5 million outstanding under the First Lien Credit Facility. In addition, $0.7 million in letters of credit were issued under the 2025 Amended First Lien Credit Agreement to support three office leases. As the Company had no outstanding amounts under the Amended Revolver, it was not subject to the consolidated first lien leverage ratio covenant. The Company was compliant with all covenants under the agreement as of March 31, 2026.</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6. Derivatives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reduce exposure to variability in expected future cash outflows on variable rate debt attributable to the changes in one-month SOFR, the Company has historically entered into interest rate derivative instruments to economically offset a portion of this risk and may do so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2026, the Company had the following derivatives that were not designated as a hedge in qualifying hedging relationships:</w:t>
      </w:r>
    </w:p>
    <w:tbl>
      <w:tblPr>
        <w:tblW w:w="7459" w:type="dxa"/>
        <w:jc w:val="left"/>
        <w:tblInd w:w="0" w:type="dxa"/>
        <w:tblLayout w:type="fixed"/>
        <w:tblCellMar>
          <w:top w:w="28" w:type="dxa"/>
          <w:left w:w="28" w:type="dxa"/>
          <w:bottom w:w="28" w:type="dxa"/>
          <w:right w:w="28" w:type="dxa"/>
        </w:tblCellMar>
      </w:tblPr>
      <w:tblGrid>
        <w:gridCol w:w="1516"/>
        <w:gridCol w:w="146"/>
        <w:gridCol w:w="1681"/>
        <w:gridCol w:w="146"/>
        <w:gridCol w:w="1681"/>
        <w:gridCol w:w="146"/>
        <w:gridCol w:w="1321"/>
        <w:gridCol w:w="146"/>
        <w:gridCol w:w="676"/>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30,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3.56%</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Derivatives not designated as hedges are not speculative and are used to manage the Company’s exposure to interest rate movements; however, the Company has not elected to apply hedge accounting for these instruments.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location and fair value of the financial positions recorded related to the derivative instruments as of March 31, 2026 and December 31, 2025 (in thousands):</w:t>
      </w:r>
    </w:p>
    <w:tbl>
      <w:tblPr>
        <w:tblW w:w="9012" w:type="dxa"/>
        <w:jc w:val="left"/>
        <w:tblInd w:w="0" w:type="dxa"/>
        <w:tblLayout w:type="fixed"/>
        <w:tblCellMar>
          <w:top w:w="28" w:type="dxa"/>
          <w:left w:w="28" w:type="dxa"/>
          <w:bottom w:w="28" w:type="dxa"/>
          <w:right w:w="28" w:type="dxa"/>
        </w:tblCellMar>
      </w:tblPr>
      <w:tblGrid>
        <w:gridCol w:w="2041"/>
        <w:gridCol w:w="146"/>
        <w:gridCol w:w="3436"/>
        <w:gridCol w:w="146"/>
        <w:gridCol w:w="340"/>
        <w:gridCol w:w="920"/>
        <w:gridCol w:w="146"/>
        <w:gridCol w:w="146"/>
        <w:gridCol w:w="403"/>
        <w:gridCol w:w="1097"/>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location and amount of gains and (losses) recorded related to the derivative instruments (in thousands):</w:t>
      </w:r>
    </w:p>
    <w:tbl>
      <w:tblPr>
        <w:tblW w:w="7188" w:type="dxa"/>
        <w:jc w:val="left"/>
        <w:tblInd w:w="0" w:type="dxa"/>
        <w:tblLayout w:type="fixed"/>
        <w:tblCellMar>
          <w:top w:w="28" w:type="dxa"/>
          <w:left w:w="28" w:type="dxa"/>
          <w:bottom w:w="28" w:type="dxa"/>
          <w:right w:w="28" w:type="dxa"/>
        </w:tblCellMar>
      </w:tblPr>
      <w:tblGrid>
        <w:gridCol w:w="2041"/>
        <w:gridCol w:w="146"/>
        <w:gridCol w:w="2101"/>
        <w:gridCol w:w="146"/>
        <w:gridCol w:w="264"/>
        <w:gridCol w:w="715"/>
        <w:gridCol w:w="182"/>
        <w:gridCol w:w="182"/>
        <w:gridCol w:w="264"/>
        <w:gridCol w:w="790"/>
        <w:gridCol w:w="166"/>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 not designated</w:t>
              <w:b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Statement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both"/>
        <w:rPr>
          <w:rFonts w:ascii="Times New Roman" w:hAnsi="Times New Roman"/>
          <w:sz w:val="20"/>
        </w:rPr>
      </w:pPr>
      <w:r>
        <w:rPr>
          <w:rFonts w:ascii="Times New Roman" w:hAnsi="Times New Roman"/>
          <w:b/>
          <w:color w:val="000000"/>
          <w:sz w:val="20"/>
        </w:rPr>
        <w:t>Note 7.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income tax expense and related balance sheet accounts reflect the consolidated results of the Company and its subsidiaries.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the three months ended March 31, 2026, the Company estimated its annual effective tax rate based on projected full-year income and applied this rate to year-to-date pre-tax income. The resulting tax provision was adjusted to reflect discrete tax items recognized during the period.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months ended March 31, 2026 was 34.4%. The Company’s effective income tax rate for the three months ended March 31, 2026 differed from the U.S. federal statutory rate of 21% primarily due to the jurisdictional mix of earnings, U.S. state income taxes, and non-deductible share-based compensation. The jurisdictional mix of earnings was impacted by significant acquisition-related depreciation and amortization, which resulted in a U.S. pre-tax loss while generating pre-tax income in most foreign jurisdictions.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income tax rates for the three months ended March 31, 2025 was (5.7)%. The Company’s effective income tax rate for the three months ended March 31, 2025 was lower than the U.S. federal statutory rate of 21% primarily due to a jurisdictional mix of earnings, driven by significant acquisition-related depreciation and amortization resulting in a U.S. net loss in the period, income taxes in the majority of the jurisdictions outside of the U.S., and U.S. state income taxes.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8.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from transactional contracts with a defined price but an undefined quantity are recognized utilizing the right to invoice expedient, with revenues recognized as the services are provided and become billable. Additionally, under this practical expedient, the Company is not required to estimate the transaction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considers negotiated and anticipated incentives and estimated adjustments, including historical collections experience, when recording revenues. 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Contract balances are generated when the revenues recognized in a given period varies from billing. A contract asset is created when the Company performs a service for a customer and recognizes more revenues than what has been billed. The contract asset balance was $16.3 million and $16.9 million as of March 31, 2026 and December 31, 2025, respectively, and is included in accounts receivable, net in the accompanying condensed consolidated balance sheets.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$5.2 million and $5.0 million as of March 31, 2026 and December 31, 2025, respectively, and is included in deferred revenues in the accompanying condensed consolidated balance sheets. An immaterial amount of revenues was recognized in the current period related to the beginning balance of deferred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disclosures about the disaggregation of our revenues, see Note 14, “Reportable Segments.”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Share-based Compensation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Share-based compensation expense is recognized in cost of services, product and technology expense, and selling, general, and administrative expense, in the accompanying condensed consolidated statements of operations and comprehensive loss as follows (in thousands): </w:t>
      </w:r>
    </w:p>
    <w:tbl>
      <w:tblPr>
        <w:tblW w:w="6839" w:type="dxa"/>
        <w:jc w:val="left"/>
        <w:tblInd w:w="0" w:type="dxa"/>
        <w:tblLayout w:type="fixed"/>
        <w:tblCellMar>
          <w:top w:w="28" w:type="dxa"/>
          <w:left w:w="28" w:type="dxa"/>
          <w:bottom w:w="28" w:type="dxa"/>
          <w:right w:w="28" w:type="dxa"/>
        </w:tblCellMar>
      </w:tblPr>
      <w:tblGrid>
        <w:gridCol w:w="3906"/>
        <w:gridCol w:w="146"/>
        <w:gridCol w:w="272"/>
        <w:gridCol w:w="738"/>
        <w:gridCol w:w="188"/>
        <w:gridCol w:w="188"/>
        <w:gridCol w:w="272"/>
        <w:gridCol w:w="738"/>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Prior to the Company’s 2021 Initial Public Offering (“IPO”), all share-based awards were issued by Fastball Holdco, L.P., the Company’s previous parent company, under individual grant agreements and the partnership agreement of such parent company (collectively, the “2020 Equity Plan”). In connection with the IPO, the Company adopted the 2021 Omnibus Incentive Plan (as amended by the First Amendment, dated as of May 10, 2023, the “2021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October 2024, as part of the Sterling Acquisition, unvested Sterling restricted stock, restricted stock units, and net option shares underlying in-the-money stock option awards were converted to an unvested cash award, an unvested First Advantage restricted stock award, or a First Advantage restricted stock unit (“RSU”) at the holder’s election. Converted awards are subject to the same terms and conditions (including vesting) as applied to the replaced Sterling equity award. All out-of-the-money Sterling stock options, whether vested or unvested, were canceled for no consideration.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the Company had approximately $54.5 million of unrecognized pre-tax non-cash compensation expense related to its equity-based compensation plans. This amount includes approximately $30.1 million related to RSUs and $24.4 million related to stock options. The Company expects to recognize this expense over a weighted average period of 2.0 years.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2020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Awards issued under the 2020 Equity Plan consist of options and profit interests. No awards have been issued under the plan since the Company’s IPO.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three months ended March 31, 2026 is as follows:</w:t>
      </w:r>
    </w:p>
    <w:tbl>
      <w:tblPr>
        <w:tblW w:w="10205" w:type="dxa"/>
        <w:jc w:val="left"/>
        <w:tblInd w:w="0" w:type="dxa"/>
        <w:tblLayout w:type="fixed"/>
        <w:tblCellMar>
          <w:top w:w="28" w:type="dxa"/>
          <w:left w:w="28" w:type="dxa"/>
          <w:bottom w:w="28" w:type="dxa"/>
          <w:right w:w="28" w:type="dxa"/>
        </w:tblCellMar>
      </w:tblPr>
      <w:tblGrid>
        <w:gridCol w:w="1364"/>
        <w:gridCol w:w="146"/>
        <w:gridCol w:w="1403"/>
        <w:gridCol w:w="146"/>
        <w:gridCol w:w="146"/>
        <w:gridCol w:w="931"/>
        <w:gridCol w:w="146"/>
        <w:gridCol w:w="146"/>
        <w:gridCol w:w="372"/>
        <w:gridCol w:w="822"/>
        <w:gridCol w:w="146"/>
        <w:gridCol w:w="146"/>
        <w:gridCol w:w="2494"/>
        <w:gridCol w:w="146"/>
        <w:gridCol w:w="1651"/>
      </w:tblGrid>
      <w:tr>
        <w:trPr/>
        <w:tc>
          <w:tcPr>
            <w:tcW w:w="1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 million</w:t>
            </w:r>
          </w:p>
        </w:tc>
      </w:tr>
      <w:tr>
        <w:trPr/>
        <w:tc>
          <w:tcPr>
            <w:tcW w:w="1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 million</w:t>
            </w:r>
          </w:p>
        </w:tc>
      </w:tr>
      <w:tr>
        <w:trPr/>
        <w:tc>
          <w:tcPr>
            <w:tcW w:w="1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2021 Equity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March 31, 2026, 22,452,133 shares were available for issuance under the 2021 Equity Plan.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option activity for the three months ended March 31, 2026 is as follows:</w:t>
      </w:r>
    </w:p>
    <w:tbl>
      <w:tblPr>
        <w:tblW w:w="10205" w:type="dxa"/>
        <w:jc w:val="left"/>
        <w:tblInd w:w="0" w:type="dxa"/>
        <w:tblLayout w:type="fixed"/>
        <w:tblCellMar>
          <w:top w:w="28" w:type="dxa"/>
          <w:left w:w="28" w:type="dxa"/>
          <w:bottom w:w="28" w:type="dxa"/>
          <w:right w:w="28" w:type="dxa"/>
        </w:tblCellMar>
      </w:tblPr>
      <w:tblGrid>
        <w:gridCol w:w="1322"/>
        <w:gridCol w:w="146"/>
        <w:gridCol w:w="1656"/>
        <w:gridCol w:w="146"/>
        <w:gridCol w:w="146"/>
        <w:gridCol w:w="931"/>
        <w:gridCol w:w="166"/>
        <w:gridCol w:w="146"/>
        <w:gridCol w:w="310"/>
        <w:gridCol w:w="845"/>
        <w:gridCol w:w="146"/>
        <w:gridCol w:w="146"/>
        <w:gridCol w:w="2349"/>
        <w:gridCol w:w="146"/>
        <w:gridCol w:w="1604"/>
      </w:tblGrid>
      <w:tr>
        <w:trPr/>
        <w:tc>
          <w:tcPr>
            <w:tcW w:w="1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 million</w:t>
            </w:r>
          </w:p>
        </w:tc>
      </w:tr>
      <w:tr>
        <w:trPr/>
        <w:tc>
          <w:tcPr>
            <w:tcW w:w="1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 million</w:t>
            </w:r>
          </w:p>
        </w:tc>
      </w:tr>
      <w:tr>
        <w:trPr/>
        <w:tc>
          <w:tcPr>
            <w:tcW w:w="1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fair value for stock options granted for the three months ended March 31, 2026 was estimated at the date of grant using the Black-Scholes option-pricing model with the following weighted average assumptions: </w:t>
      </w:r>
    </w:p>
    <w:tbl>
      <w:tblPr>
        <w:tblW w:w="4020" w:type="dxa"/>
        <w:jc w:val="left"/>
        <w:tblInd w:w="0" w:type="dxa"/>
        <w:tblLayout w:type="fixed"/>
        <w:tblCellMar>
          <w:top w:w="28" w:type="dxa"/>
          <w:left w:w="28" w:type="dxa"/>
          <w:bottom w:w="28" w:type="dxa"/>
          <w:right w:w="28" w:type="dxa"/>
        </w:tblCellMar>
      </w:tblPr>
      <w:tblGrid>
        <w:gridCol w:w="2776"/>
        <w:gridCol w:w="146"/>
        <w:gridCol w:w="211"/>
        <w:gridCol w:w="571"/>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Fair-value of the underlying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three months ended March 31, 2026 is as follows:</w:t>
      </w:r>
    </w:p>
    <w:tbl>
      <w:tblPr>
        <w:tblW w:w="6809" w:type="dxa"/>
        <w:jc w:val="left"/>
        <w:tblInd w:w="0" w:type="dxa"/>
        <w:tblLayout w:type="fixed"/>
        <w:tblCellMar>
          <w:top w:w="28" w:type="dxa"/>
          <w:left w:w="28" w:type="dxa"/>
          <w:bottom w:w="28" w:type="dxa"/>
          <w:right w:w="28" w:type="dxa"/>
        </w:tblCellMar>
      </w:tblPr>
      <w:tblGrid>
        <w:gridCol w:w="1696"/>
        <w:gridCol w:w="146"/>
        <w:gridCol w:w="1471"/>
        <w:gridCol w:w="146"/>
        <w:gridCol w:w="146"/>
        <w:gridCol w:w="93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three months ended March 31, 2026 is as follows:</w:t>
      </w:r>
    </w:p>
    <w:tbl>
      <w:tblPr>
        <w:tblW w:w="7499" w:type="dxa"/>
        <w:jc w:val="left"/>
        <w:tblInd w:w="0" w:type="dxa"/>
        <w:tblLayout w:type="fixed"/>
        <w:tblCellMar>
          <w:top w:w="28" w:type="dxa"/>
          <w:left w:w="28" w:type="dxa"/>
          <w:bottom w:w="28" w:type="dxa"/>
          <w:right w:w="28" w:type="dxa"/>
        </w:tblCellMar>
      </w:tblPr>
      <w:tblGrid>
        <w:gridCol w:w="1696"/>
        <w:gridCol w:w="146"/>
        <w:gridCol w:w="2251"/>
        <w:gridCol w:w="146"/>
        <w:gridCol w:w="146"/>
        <w:gridCol w:w="84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sz w:val="20"/>
        </w:rPr>
      </w:pPr>
      <w:r>
        <w:rPr>
          <w:rFonts w:ascii="Times New Roman" w:hAnsi="Times New Roman"/>
          <w:b/>
          <w:i/>
          <w:color w:val="000000"/>
          <w:sz w:val="20"/>
        </w:rPr>
        <w:t>Sterling Acquisition Awards</w:t>
      </w:r>
      <w:r>
        <w:rPr>
          <w:rFonts w:ascii="Times New Roman" w:hAnsi="Times New Roman"/>
          <w:color w:val="000000"/>
          <w:sz w:val="20"/>
        </w:rPr>
        <w:t xml:space="preserve">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RSU activity for the three months ended March 31, 2026 is as follows:</w:t>
      </w:r>
    </w:p>
    <w:tbl>
      <w:tblPr>
        <w:tblW w:w="6509" w:type="dxa"/>
        <w:jc w:val="left"/>
        <w:tblInd w:w="0" w:type="dxa"/>
        <w:tblLayout w:type="fixed"/>
        <w:tblCellMar>
          <w:top w:w="28" w:type="dxa"/>
          <w:left w:w="28" w:type="dxa"/>
          <w:bottom w:w="28" w:type="dxa"/>
          <w:right w:w="28" w:type="dxa"/>
        </w:tblCellMar>
      </w:tblPr>
      <w:tblGrid>
        <w:gridCol w:w="1696"/>
        <w:gridCol w:w="146"/>
        <w:gridCol w:w="1471"/>
        <w:gridCol w:w="146"/>
        <w:gridCol w:w="146"/>
        <w:gridCol w:w="63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restricted stock activity for the three months ended March 31, 2026 is as follows:</w:t>
      </w:r>
    </w:p>
    <w:tbl>
      <w:tblPr>
        <w:tblW w:w="7499" w:type="dxa"/>
        <w:jc w:val="left"/>
        <w:tblInd w:w="0" w:type="dxa"/>
        <w:tblLayout w:type="fixed"/>
        <w:tblCellMar>
          <w:top w:w="28" w:type="dxa"/>
          <w:left w:w="28" w:type="dxa"/>
          <w:bottom w:w="28" w:type="dxa"/>
          <w:right w:w="28" w:type="dxa"/>
        </w:tblCellMar>
      </w:tblPr>
      <w:tblGrid>
        <w:gridCol w:w="1696"/>
        <w:gridCol w:w="146"/>
        <w:gridCol w:w="2251"/>
        <w:gridCol w:w="146"/>
        <w:gridCol w:w="146"/>
        <w:gridCol w:w="841"/>
        <w:gridCol w:w="166"/>
        <w:gridCol w:w="146"/>
        <w:gridCol w:w="476"/>
        <w:gridCol w:w="1294"/>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2021 Employee Stock Purchase Plan (“ESPP”)</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ESPP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$0.2 million and $0.1 million for the three months ended March 31, 2026 and 2025, respectively.</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10. Equity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and December 31, 2025, 250,000,000 shares of Preferred Stock were authorized, and no Preferred Stock was issued or outstanding.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February 25, 2026, the Company’s Board of Directors authorized the repurchase of up to $100.0 million of the Company’s common stock (the “2026 Repurchase Program”) with no expiration date.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summary of the stock repurchase activity under the 2026 Repurchase Program is summarized as follows (in thousands, except share and per share amounts):</w:t>
      </w:r>
    </w:p>
    <w:tbl>
      <w:tblPr>
        <w:tblW w:w="6553" w:type="dxa"/>
        <w:jc w:val="left"/>
        <w:tblInd w:w="0" w:type="dxa"/>
        <w:tblLayout w:type="fixed"/>
        <w:tblCellMar>
          <w:top w:w="28" w:type="dxa"/>
          <w:left w:w="28" w:type="dxa"/>
          <w:bottom w:w="28" w:type="dxa"/>
          <w:right w:w="28" w:type="dxa"/>
        </w:tblCellMar>
      </w:tblPr>
      <w:tblGrid>
        <w:gridCol w:w="3616"/>
        <w:gridCol w:w="146"/>
        <w:gridCol w:w="443"/>
        <w:gridCol w:w="1957"/>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price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recorded to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repurchase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associated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recorded to 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March 31, 2026, the remaining authorized value of shares available to be repurchased under this program was approximately $80.5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Repurchased shares of common stock were retired. The par value of repurchased shares was deducted from common stock and the excess repurchase price over par value is reflected as a reduction to accumulated deficit. Additional associated costs include the related brokerage commissions and excise taxes on share repurchases.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to the Company’s contractual obligations as compared to December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is involved in litigation from time to time in the ordinary course of business. At times, the Company, given the nature of its background screening business, is subject to lawsuits, or potential class action lawsuits, in multiple jurisdictions, related to claims brought primarily by consumers or individuals who were the subject of its screening services.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all pending matters, the Company believes it has meritorious defenses and intends to defend vigorously or otherwise seek indemnification from other parties as appropriate. However, the Company has recorded a liability of $8.1 million and $8.7 million as of March 31, 2026 and December 31, 2025, respectively, for matters that it believes entail a loss that is both probable and estimable. This is included in accrued liabilities in the accompanying condensed consolidated balance sheets.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will continue to evaluate information as it becomes known and will record an estimate for losses at the time when it is both probable that a loss has been incurred and the amount of the loss is reasonably estimable.</w:t>
      </w:r>
    </w:p>
    <w:p>
      <w:pPr>
        <w:pStyle w:val="TextBody"/>
        <w:bidi w:val="0"/>
        <w:spacing w:before="180" w:after="180"/>
        <w:jc w:val="left"/>
        <w:rPr>
          <w:rFonts w:ascii="Times New Roman" w:hAnsi="Times New Roman"/>
          <w:sz w:val="20"/>
        </w:rPr>
      </w:pPr>
      <w:r>
        <w:rPr>
          <w:rFonts w:ascii="Times New Roman" w:hAnsi="Times New Roman"/>
          <w:b/>
          <w:color w:val="000000"/>
          <w:sz w:val="20"/>
        </w:rPr>
        <w:t>Note 12. Related Party Transactions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Company had no material related party transactions for the three months ended March 31, 2026.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Note 13. Net Income (Loss)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potentially dilutive securities outstanding during the three months ended March 31, 2026 had a dilutive effect and were included in the calculation of diluted net income per share for the period. The potentially dilutive securities outstanding during the three months ended March 31, 2025 had an anti-dilutive effect and were therefore not included in the calculation of diluted net loss per share. Basic and diluted net income (loss) per share was calculated as follows:</w:t>
      </w:r>
    </w:p>
    <w:tbl>
      <w:tblPr>
        <w:tblW w:w="8544" w:type="dxa"/>
        <w:jc w:val="left"/>
        <w:tblInd w:w="0" w:type="dxa"/>
        <w:tblLayout w:type="fixed"/>
        <w:tblCellMar>
          <w:top w:w="28" w:type="dxa"/>
          <w:left w:w="28" w:type="dxa"/>
          <w:bottom w:w="28" w:type="dxa"/>
          <w:right w:w="28" w:type="dxa"/>
        </w:tblCellMar>
      </w:tblPr>
      <w:tblGrid>
        <w:gridCol w:w="5191"/>
        <w:gridCol w:w="146"/>
        <w:gridCol w:w="211"/>
        <w:gridCol w:w="1141"/>
        <w:gridCol w:w="146"/>
        <w:gridCol w:w="146"/>
        <w:gridCol w:w="211"/>
        <w:gridCol w:w="1141"/>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173,903,625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 options to purchase shares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174,922,780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three months ended March 31, 2026 and 2025, a total of 6,647,968 and 3,863,961 stock options, RSUs, and restricted stock awards were excluded from the calculation of diluted net income (loss) per share, respectively, because their effect was anti-dilutive.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Note 14. Reportable Segments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has three reportable segments: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chief operating decision maker (“CODM”) uses the performance measure of Adjusted EBITDA, on both a consolidated and a segment basis, to allocate resources and assess performance of our businesses. Our CODM also uses Adjusted EBITDA as a performance measure for both segment and corporate management under our incentive compensation plans. Corporate costs are generally allocated to the segments based upon estimated revenue levels and other assumptions that management considers reasonable. Adjusted cost of services consists of amounts paid to third parties for access to government records, other third-party data and services, our internal processing fulfillment and customer care functions, and other cost of services excluding depreciation and amortization, share-based compensation expenses, transaction expenses, and integration expenses. Other segment items consist of product and technology and selling, general, and administrative expenses, but similarly excludes depreciation and amortization, share based compensation, and other expenses excluded from Adjusted EBITDA.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CODM does not review the Company’s assets by segment as it does not provide additional insights into the performance of our business; therefore, such information is not presented. The accounting policies of the segments are the same as described in Note 1. “Organization, Nature of Business, and Basis of Presentation” and Note 2. “Summary of Significant Accounting Policies” included in the Annual Report on Form 10-K for the year ended December 31, 2025.</w:t>
      </w:r>
    </w:p>
    <w:p>
      <w:pPr>
        <w:pStyle w:val="TextBody"/>
        <w:bidi w:val="0"/>
        <w:spacing w:before="0" w:after="180"/>
        <w:jc w:val="left"/>
        <w:rPr>
          <w:rFonts w:ascii="Times New Roman" w:hAnsi="Times New Roman"/>
          <w:sz w:val="20"/>
        </w:rPr>
      </w:pPr>
      <w:r>
        <w:rPr>
          <w:rFonts w:ascii="Times New Roman" w:hAnsi="Times New Roman"/>
          <w:color w:val="000000"/>
          <w:sz w:val="20"/>
        </w:rPr>
        <w:t>Reconciliations of Segment Adjusted EBITDA to net</w:t>
      </w:r>
      <w:r>
        <w:rPr>
          <w:rFonts w:ascii="Times New Roman" w:hAnsi="Times New Roman"/>
          <w:color w:val="FF0000"/>
          <w:sz w:val="20"/>
        </w:rPr>
        <w:t xml:space="preserve"> </w:t>
      </w:r>
      <w:r>
        <w:rPr>
          <w:rFonts w:ascii="Times New Roman" w:hAnsi="Times New Roman"/>
          <w:color w:val="000000"/>
          <w:sz w:val="20"/>
        </w:rPr>
        <w:t>income (loss) for the three months ended March 31, 2026 and 2025 is as follows (in thousands):</w:t>
      </w:r>
    </w:p>
    <w:tbl>
      <w:tblPr>
        <w:tblW w:w="10205" w:type="dxa"/>
        <w:jc w:val="left"/>
        <w:tblInd w:w="0" w:type="dxa"/>
        <w:tblLayout w:type="fixed"/>
        <w:tblCellMar>
          <w:top w:w="28" w:type="dxa"/>
          <w:left w:w="28" w:type="dxa"/>
          <w:bottom w:w="28" w:type="dxa"/>
          <w:right w:w="28" w:type="dxa"/>
        </w:tblCellMar>
      </w:tblPr>
      <w:tblGrid>
        <w:gridCol w:w="3221"/>
        <w:gridCol w:w="246"/>
        <w:gridCol w:w="354"/>
        <w:gridCol w:w="1312"/>
        <w:gridCol w:w="166"/>
        <w:gridCol w:w="146"/>
        <w:gridCol w:w="445"/>
        <w:gridCol w:w="1434"/>
        <w:gridCol w:w="166"/>
        <w:gridCol w:w="146"/>
        <w:gridCol w:w="211"/>
        <w:gridCol w:w="781"/>
        <w:gridCol w:w="146"/>
        <w:gridCol w:w="146"/>
        <w:gridCol w:w="211"/>
        <w:gridCol w:w="781"/>
        <w:gridCol w:w="293"/>
      </w:tblGrid>
      <w:tr>
        <w:trPr/>
        <w:tc>
          <w:tcPr>
            <w:tcW w:w="32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386,685</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2,168</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0" w:after="18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1"/>
        <w:gridCol w:w="246"/>
        <w:gridCol w:w="353"/>
        <w:gridCol w:w="1308"/>
        <w:gridCol w:w="166"/>
        <w:gridCol w:w="146"/>
        <w:gridCol w:w="444"/>
        <w:gridCol w:w="1430"/>
        <w:gridCol w:w="166"/>
        <w:gridCol w:w="146"/>
        <w:gridCol w:w="211"/>
        <w:gridCol w:w="781"/>
        <w:gridCol w:w="166"/>
        <w:gridCol w:w="146"/>
        <w:gridCol w:w="211"/>
        <w:gridCol w:w="781"/>
        <w:gridCol w:w="293"/>
      </w:tblGrid>
      <w:tr>
        <w:trPr/>
        <w:tc>
          <w:tcPr>
            <w:tcW w:w="3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Advantage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Sterling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356,646</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cost of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to 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and acquisition-related charges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Integration, restructuring, and other charges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(41,194</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sans-serif" w:hAnsi="sans-serif"/>
          <w:sz w:val="22"/>
        </w:rPr>
      </w:pPr>
      <w:r>
        <w:rPr>
          <w:rFonts w:ascii="Times New Roman" w:hAnsi="Times New Roman"/>
          <w:color w:val="000000"/>
          <w:sz w:val="16"/>
        </w:rPr>
        <w:t>Represents charges incurred related to acquisitions and similar transactions, primarily consisting of change in control-related costs, professional service fees, and other third-party costs. Transaction and acquisition related charges for the three months ended March 31, 2026 and 2025 include approximately $0.2</w:t>
      </w:r>
      <w:r>
        <w:rPr>
          <w:rFonts w:ascii="sans-serif" w:hAnsi="sans-serif"/>
          <w:color w:val="000000"/>
          <w:sz w:val="22"/>
        </w:rPr>
        <w:t xml:space="preserve"> </w:t>
      </w:r>
      <w:r>
        <w:rPr>
          <w:rFonts w:ascii="Times New Roman" w:hAnsi="Times New Roman"/>
          <w:color w:val="000000"/>
          <w:sz w:val="16"/>
        </w:rPr>
        <w:t>million and $3.8</w:t>
      </w:r>
      <w:r>
        <w:rPr>
          <w:rFonts w:ascii="sans-serif" w:hAnsi="sans-serif"/>
          <w:color w:val="000000"/>
          <w:sz w:val="22"/>
        </w:rPr>
        <w:t xml:space="preserve"> </w:t>
      </w:r>
      <w:r>
        <w:rPr>
          <w:rFonts w:ascii="Times New Roman" w:hAnsi="Times New Roman"/>
          <w:color w:val="000000"/>
          <w:sz w:val="16"/>
        </w:rPr>
        <w:t xml:space="preserve">million, respectively, of expense associated with the Sterling Acquisition. </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180"/>
        <w:jc w:val="left"/>
        <w:rPr>
          <w:rFonts w:ascii="sans-serif" w:hAnsi="sans-serif"/>
          <w:sz w:val="22"/>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2026 and 2025 include approximately $1.4</w:t>
      </w:r>
      <w:r>
        <w:rPr>
          <w:rFonts w:ascii="sans-serif" w:hAnsi="sans-serif"/>
          <w:color w:val="000000"/>
          <w:sz w:val="22"/>
        </w:rPr>
        <w:t xml:space="preserve"> </w:t>
      </w:r>
      <w:r>
        <w:rPr>
          <w:rFonts w:ascii="Times New Roman" w:hAnsi="Times New Roman"/>
          <w:color w:val="000000"/>
          <w:sz w:val="16"/>
        </w:rPr>
        <w:t>million and $7.8</w:t>
      </w:r>
      <w:r>
        <w:rPr>
          <w:rFonts w:ascii="sans-serif" w:hAnsi="sans-serif"/>
          <w:color w:val="000000"/>
          <w:sz w:val="22"/>
        </w:rPr>
        <w:t xml:space="preserve"> </w:t>
      </w:r>
      <w:r>
        <w:rPr>
          <w:rFonts w:ascii="Times New Roman" w:hAnsi="Times New Roman"/>
          <w:color w:val="000000"/>
          <w:sz w:val="16"/>
        </w:rPr>
        <w:t>million, respectively, of expense associated with the integration of Sterling.</w:t>
      </w:r>
    </w:p>
    <w:p>
      <w:pPr>
        <w:pStyle w:val="TextBody"/>
        <w:bidi w:val="0"/>
        <w:spacing w:before="0" w:after="180"/>
        <w:jc w:val="left"/>
        <w:rPr>
          <w:rFonts w:ascii="Times New Roman" w:hAnsi="Times New Roman"/>
          <w:sz w:val="20"/>
        </w:rPr>
      </w:pPr>
      <w:r>
        <w:rPr>
          <w:rFonts w:ascii="Times New Roman" w:hAnsi="Times New Roman"/>
          <w:i/>
          <w:color w:val="000000"/>
          <w:sz w:val="20"/>
        </w:rPr>
        <w:t>Geographic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categorizes revenues by geographic region in which the revenues and invoicing are recorded. Other than the United States, no single country accounted for 10% or more of our total revenues during these periods.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summarizes revenues by geographical region (in thousands):</w:t>
      </w:r>
    </w:p>
    <w:tbl>
      <w:tblPr>
        <w:tblW w:w="4671" w:type="dxa"/>
        <w:jc w:val="left"/>
        <w:tblInd w:w="0" w:type="dxa"/>
        <w:tblLayout w:type="fixed"/>
        <w:tblCellMar>
          <w:top w:w="28" w:type="dxa"/>
          <w:left w:w="28" w:type="dxa"/>
          <w:bottom w:w="28" w:type="dxa"/>
          <w:right w:w="28" w:type="dxa"/>
        </w:tblCellMar>
      </w:tblPr>
      <w:tblGrid>
        <w:gridCol w:w="1736"/>
        <w:gridCol w:w="246"/>
        <w:gridCol w:w="222"/>
        <w:gridCol w:w="823"/>
        <w:gridCol w:w="154"/>
        <w:gridCol w:w="154"/>
        <w:gridCol w:w="222"/>
        <w:gridCol w:w="823"/>
        <w:gridCol w:w="291"/>
      </w:tblGrid>
      <w:tr>
        <w:trPr/>
        <w:tc>
          <w:tcPr>
            <w:tcW w:w="1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303,789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55,795</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net long-lived assets by geographic area (in thousands):</w:t>
      </w:r>
    </w:p>
    <w:tbl>
      <w:tblPr>
        <w:tblW w:w="5800" w:type="dxa"/>
        <w:jc w:val="left"/>
        <w:tblInd w:w="0" w:type="dxa"/>
        <w:tblLayout w:type="fixed"/>
        <w:tblCellMar>
          <w:top w:w="28" w:type="dxa"/>
          <w:left w:w="28" w:type="dxa"/>
          <w:bottom w:w="28" w:type="dxa"/>
          <w:right w:w="28" w:type="dxa"/>
        </w:tblCellMar>
      </w:tblPr>
      <w:tblGrid>
        <w:gridCol w:w="2311"/>
        <w:gridCol w:w="146"/>
        <w:gridCol w:w="232"/>
        <w:gridCol w:w="1028"/>
        <w:gridCol w:w="146"/>
        <w:gridCol w:w="146"/>
        <w:gridCol w:w="277"/>
        <w:gridCol w:w="1223"/>
        <w:gridCol w:w="2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438,668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long-lived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3,260,844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15. Subsequent Events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May 6, 2026, the Company made a voluntary principal repayment in the amount of $25.0 million under its First Lien Credit Facility. The repayment was made using available cash on hand. No prepayment penalties were incurred.</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discussion and analysis of First Advantage Corporation’s financial condition and results of operations is provided as a supplement to the condensed consolidated financial statements for the three months ended March 31, 2026, and should be read in conjunction with the audited consolidated financial statements for the year ended December 31, 2025, our “Risk Factors,” and “Management’s Discussion and Analysis of Financial Condition and Results of Operations” included in the Company’s Annual Report on Form 10-K for the year ended December 31, 2025.</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forward-looking statements are subject to various risks, uncertainties, assumptions, or changes in circumstances that are difficult to predict or quantify. Such risks and uncertainties include, but are not limited to, the following: the failure to realize the expected benefits of the Sterling Acquisition; adverse changes in external events beyond our control, including our customers’ onboarding volumes, economic drivers which are sensitive to macroeconomic cycles, such as interest rate volatility and inflation, geopolitical unrest, global trade disputes, uncertainty in financial markets, and changes in tax laws; our operations in a highly regulated industry and the fact that we are subject to numerous and evolving laws and regulations, including with respect to personal data, data security, and artificial intelligence (“AI”); our inability to identify and successfully implement our growth strategies on a timely basis or at all; potential harm to our business, brand, and reputation as a result of security breaches, cyber-attacks, social, ethical, and legal issues relating to the use of new and evolving technologies, employee or other internal misconduct, computer viruses, or the mishandling of personal data; operating in a penetrated and competitive market; our reliance on third-party data providers; our sales to government entities and higher-tier contractors to governmental customers which involve unique competitive, procurement, budget, administrative and contractual risks;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failure to comply with anti-corruption, economic and trade sanctions, and anti-money laundering laws and regulations; disruptions at our Operation Centers of Excellence and other operational sites; our contracts with our customers, which do not guarantee exclusivity or contracted volumes; the timing, manner and volume of repurchases of common stock pursuant to our share repurchase program;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executives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on these and other factors that could cause First Advantage’s actual results to differ materially from expected results, please see our Annual Report on Form 10-K for the year ended December 31, 2025, filed with the Securities and Exchange Commission (the “SEC”), as such factors may be updated from time to time in our periodic filings with the SEC, which are accessible on the SEC’s website at www.sec.gov. The forward-looking statements included in this Quarterly Report on Form 10-Q are made only as of the date of this Form 10-Q, and we undertake no obligation to publicly update or review any forward-looking statement, whether as a result of new information, future developments, or otherwise, except as required by law.</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Glossary of Selected Terminology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terms are used in this Form 10-Q, unless otherwise noted or indicated by the context:</w:t>
      </w:r>
    </w:p>
    <w:p>
      <w:pPr>
        <w:pStyle w:val="TextBody"/>
        <w:bidi w:val="0"/>
        <w:spacing w:before="0" w:after="0"/>
        <w:jc w:val="left"/>
        <w:rPr>
          <w:color w:val="000000"/>
        </w:rPr>
      </w:pPr>
      <w:r>
        <w:rPr>
          <w:color w:val="000000"/>
        </w:rPr>
        <w:t>•</w:t>
      </w:r>
    </w:p>
    <w:p>
      <w:pPr>
        <w:pStyle w:val="TextBody"/>
        <w:bidi w:val="0"/>
        <w:spacing w:before="0" w:after="0"/>
        <w:jc w:val="left"/>
        <w:rPr>
          <w:color w:val="000000"/>
        </w:rPr>
      </w:pPr>
      <w:r>
        <w:rPr>
          <w:color w:val="000000"/>
        </w:rPr>
        <w:t>“</w:t>
      </w:r>
      <w:r>
        <w:rPr>
          <w:rFonts w:ascii="Times New Roman" w:hAnsi="Times New Roman"/>
          <w:color w:val="000000"/>
          <w:sz w:val="20"/>
        </w:rPr>
        <w:t>Americas” in regards to our business, means the United States, Canada, and Latin America;</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First Advantage,” the “Company,” “we,” “us,” and “our” mean the business of First Advantage Corporation and its subsidiaries;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International” in regards to our business, means all geographical regions outside of the United States, Canada, and Latin America;</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Legacy First Advantage” refers to First Advantage Corporation and its subsidiaries, prior to the Sterling Acquisition, encompassing its core business operations, established workforce, existing processes, and the technology systems in place;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Sterling” refers to Sterling Check Corp., which became an indirect, wholly owned subsidiary of First Advantage on October 31, 2024, and now operates as a separate reportable segment;</w:t>
      </w:r>
    </w:p>
    <w:p>
      <w:pPr>
        <w:pStyle w:val="TextBody"/>
        <w:bidi w:val="0"/>
        <w:spacing w:before="120" w:after="180"/>
        <w:jc w:val="left"/>
        <w:rPr>
          <w:color w:val="000000"/>
        </w:rPr>
      </w:pPr>
      <w:r>
        <w:rPr>
          <w:color w:val="000000"/>
        </w:rPr>
        <w:t>•</w:t>
      </w:r>
    </w:p>
    <w:p>
      <w:pPr>
        <w:pStyle w:val="TextBody"/>
        <w:bidi w:val="0"/>
        <w:spacing w:before="120" w:after="180"/>
        <w:jc w:val="left"/>
        <w:rPr>
          <w:color w:val="000000"/>
        </w:rPr>
      </w:pPr>
      <w:r>
        <w:rPr>
          <w:color w:val="000000"/>
        </w:rPr>
        <w:t>“</w:t>
      </w:r>
      <w:r>
        <w:rPr>
          <w:rFonts w:ascii="Times New Roman" w:hAnsi="Times New Roman"/>
          <w:color w:val="000000"/>
          <w:sz w:val="20"/>
        </w:rPr>
        <w:t>Revenues attributable to the Company’s acquisitions” means revenues recognized in the first year following each acquisition; and</w:t>
      </w:r>
    </w:p>
    <w:p>
      <w:pPr>
        <w:pStyle w:val="TextBody"/>
        <w:bidi w:val="0"/>
        <w:spacing w:before="0" w:after="180"/>
        <w:jc w:val="left"/>
        <w:rPr>
          <w:color w:val="000000"/>
        </w:rPr>
      </w:pPr>
      <w:r>
        <w:rPr>
          <w:color w:val="000000"/>
        </w:rPr>
        <w:t>•</w:t>
      </w:r>
    </w:p>
    <w:p>
      <w:pPr>
        <w:pStyle w:val="TextBody"/>
        <w:bidi w:val="0"/>
        <w:spacing w:before="0" w:after="180"/>
        <w:jc w:val="left"/>
        <w:rPr>
          <w:color w:val="000000"/>
        </w:rPr>
      </w:pPr>
      <w:r>
        <w:rPr>
          <w:color w:val="000000"/>
        </w:rPr>
        <w:t>“</w:t>
      </w:r>
      <w:r>
        <w:rPr>
          <w:rFonts w:ascii="Times New Roman" w:hAnsi="Times New Roman"/>
          <w:color w:val="000000"/>
          <w:sz w:val="20"/>
        </w:rPr>
        <w:t>Silver Lake” means Silver Lake Group, L.L.C., together with its affiliates, successors, and assignees.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Website and Social Media Disclosure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pStyle w:val="TextBody"/>
        <w:bidi w:val="0"/>
        <w:spacing w:before="0" w:after="18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Advantage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derive a substantial majority of our revenues from pre-onboarding screening and perform screens across over 200 countries and territories, enabling us to serve as a one-stop-shop provider to both multinational companies and growth companies. Our over 80,000 customers are global enterprises, mid-sized companies, and small companies, and our products and solutions are used by personnel in Executive Management, Human Resources, Talent Acquisition, Compliance, Risk, Legal, Safety, and Vendor Management.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platforms offer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customers or periods. Package pricing can also vary considerably by customer depending on the product mix in their screening packages, order volumes, screening requirements and preferences, pass-through and third-party out-of-pocket costs, and bundling of products.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enter into contracts with our customers that are typically three years in length. These contracts set forth the general terms and pricing of our products and solutions but generally do not include minimum order volumes or committed order volumes. Additionally, a majority of Sterling’s enterprise customer contracts are exclusive to Sterling or require Sterling to be used as the primary provider. Due to our contract terms and the nature of the background screening industry, we determined our contract terms for ASC 606 purposes to be three years or less. We typically bill our customers at the end of each month and recognize revenues as completed orders are reported or otherwise made available to our customers.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generated revenues of $385.2 million for the three months ended March 31, 2026, as compared to $354.6 million for the three months ended March 31, 2025. Approximately 86% of our revenues for the three months ended March 31, 2026 was generated in the United States, while the remaining 14% was generated abroad. Other than the United States, no single country accounted for 10% or more of our total revenues for the three months ended March 31, 2026. Please refer to “Results of Operations” for further details. </w:t>
      </w:r>
    </w:p>
    <w:p>
      <w:pPr>
        <w:pStyle w:val="TextBody"/>
        <w:bidi w:val="0"/>
        <w:spacing w:before="0" w:after="180"/>
        <w:jc w:val="left"/>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manage our business and report our financial results in three reportable segments, First Advantage Americas, First Advantage International, and Sterling: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First Advantage Americas. </w:t>
      </w:r>
      <w:r>
        <w:rPr>
          <w:rFonts w:ascii="Times New Roman" w:hAnsi="Times New Roman"/>
          <w:color w:val="000000"/>
          <w:sz w:val="20"/>
        </w:rPr>
        <w:t>This segment pertains to our Legacy First Advantage business and performs a variety of background check and compliance services across all phases of the workforce lifecycle from pre-onboarding services to post-onboarding and ongoing monitoring services, covering employees, contractors, contingent workers, and drivers. We generally classify our service offerings into three categories: pre-onboarding, post-onboarding, and adjacent products. We deliver our solutions across multiple industry verticals in the United States, Canada, and Latin America.</w:t>
      </w:r>
    </w:p>
    <w:p>
      <w:pPr>
        <w:pStyle w:val="TextBody"/>
        <w:bidi w:val="0"/>
        <w:spacing w:before="120" w:after="180"/>
        <w:jc w:val="left"/>
        <w:rPr>
          <w:color w:val="000000"/>
        </w:rPr>
      </w:pPr>
      <w:r>
        <w:rPr>
          <w:color w:val="000000"/>
        </w:rPr>
        <w:t>•</w:t>
      </w:r>
    </w:p>
    <w:p>
      <w:pPr>
        <w:pStyle w:val="TextBody"/>
        <w:bidi w:val="0"/>
        <w:spacing w:before="120" w:after="180"/>
        <w:jc w:val="left"/>
        <w:rPr/>
      </w:pPr>
      <w:r>
        <w:rPr>
          <w:rFonts w:ascii="Times New Roman" w:hAnsi="Times New Roman"/>
          <w:b/>
          <w:i/>
          <w:color w:val="000000"/>
          <w:sz w:val="20"/>
        </w:rPr>
        <w:t xml:space="preserve">First Advantage International. </w:t>
      </w:r>
      <w:r>
        <w:rPr>
          <w:rFonts w:ascii="Times New Roman" w:hAnsi="Times New Roman"/>
          <w:color w:val="000000"/>
          <w:sz w:val="20"/>
        </w:rPr>
        <w:t>The First Advantage International segment pertains to our Legacy First Advantage business and provides services similar to our Americas segment in regions outside of the Americas. We primarily deliver our solutions across multiple industry verticals in the Europe, India, and Asia Pacific.</w:t>
      </w:r>
    </w:p>
    <w:p>
      <w:pPr>
        <w:pStyle w:val="TextBody"/>
        <w:bidi w:val="0"/>
        <w:spacing w:before="0" w:after="180"/>
        <w:jc w:val="left"/>
        <w:rPr>
          <w:color w:val="000000"/>
        </w:rPr>
      </w:pPr>
      <w:r>
        <w:rPr>
          <w:color w:val="000000"/>
        </w:rPr>
        <w:t>•</w:t>
      </w:r>
    </w:p>
    <w:p>
      <w:pPr>
        <w:pStyle w:val="TextBody"/>
        <w:bidi w:val="0"/>
        <w:spacing w:before="0" w:after="180"/>
        <w:jc w:val="left"/>
        <w:rPr/>
      </w:pPr>
      <w:r>
        <w:rPr>
          <w:rFonts w:ascii="Times New Roman" w:hAnsi="Times New Roman"/>
          <w:b/>
          <w:i/>
          <w:color w:val="000000"/>
          <w:sz w:val="20"/>
        </w:rPr>
        <w:t xml:space="preserve">Sterling. </w:t>
      </w:r>
      <w:r>
        <w:rPr>
          <w:rFonts w:ascii="Times New Roman" w:hAnsi="Times New Roman"/>
          <w:color w:val="000000"/>
          <w:sz w:val="20"/>
        </w:rPr>
        <w:t>This segment is comprised of the acquired entity, Sterling Check Corp., which was acquired on October 31, 2024. The Sterling segment provides similar services as compared to First Advantage’s Americas and International segments on a global basis.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and the school year ends, giving rise to student and graduate hiring, and increased commercial activity tied to outdoor activities. We expect that changes in consumer behavior, labor market conditions, technological innovation, and broader macroeconomic factors may impact future seasonality, but we are unable to predict these potential shifts and their impact to our business.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jc w:val="left"/>
        <w:rPr>
          <w:rFonts w:ascii="Times New Roman" w:hAnsi="Times New Roman"/>
          <w:color w:val="000000"/>
          <w:sz w:val="20"/>
        </w:rPr>
      </w:pPr>
      <w:r>
        <w:rPr>
          <w:rFonts w:ascii="Times New Roman" w:hAnsi="Times New Roman"/>
          <w:color w:val="000000"/>
          <w:sz w:val="20"/>
        </w:rPr>
        <w:t>Our results continue to be influenced by our customers’ underlying business performance, hiring patterns, and workforce strategies, which collectively drive demand for our background screening and adjacent solutions. Customer demand remains sensitive to a range of macroeconomic and labor-market factors, including hiring velocity, employee turnover, sector</w:t>
        <w:noBreakHyphen/>
        <w:t>specific employment trends, and overall economic conditions. During periods of economic uncertainty, employers may reduce or delay hiring, slow onboarding activity, or take a more measured approach to workforce expansion, which can negatively impact demand for our solutions.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Macroeconomic conditions during the year have continued to be volatile. While parts of the global economy have demonstrated resilience, employers continue to operate in an environment characterized by elevated interest rates, inflationary pressure driven in part by higher energy and transportation costs, and uneven hiring activity across industries and geographies. Recent geopolitical developments, including ongoing conflict in the Middle East and resulting disruptions to global energy markets, have contributed to renewed inflation concerns, higher operating costs for many businesses, and increased uncertainty in planning and investment decisions. In addition, continued uncertainty surrounding global trade and tariff policies, shifting supply</w:t>
        <w:noBreakHyphen/>
        <w:t>chain strategies, and evolving regulatory and compliance requirements have contributed to cautious employer behavior, particularly among customers with international operations or exposure to cyclical end markets.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Heightened geopolitical tensions, regional conflicts, and policy uncertainty have increased variability in customer hiring plans and workforce strategies. These conditions have resulted in slower decision</w:t>
        <w:noBreakHyphen/>
        <w:t>making, increased cost scrutiny, and greater focus on operational efficiency, including the pace and scale of new hiring initiatives. If the economic uncertainty is sustained or increases, we may experience a negative impact on new business generation, customer renewals and overall demand levels, sales and marketing efforts, revenues growth rates, customer deployments, customer collections, product development, or other financial metrics. Any of these factors could harm our business, financial condition, and operating results. Our ability to grow our business will also depend on the long-term strength, diversity, and durability of the verticals that we focus on and rely upon to drive our revenues.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Despite these macroeconomic changes, we are confident in the overall long-term health of our business, the strength of our product offerings, and our ability to continue to execute on our strategy and help our customers hire with confidence and manage risk across the entire employee lifecycle. Our continued focus on delivering innovative solutions that enhance workplace safety and address evolving compliance requirements as well as our diversified customer base have contributed to the stability of our business and long-term financial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additional information, see our “Risk Factors” and “Management’s Discussion and Analysis of Financial Condition and Results of Operations” included in the Company’s Annual Report on Form 10-K for the year ended December 31, 2025 (the “2025 Annual Report”).</w:t>
      </w:r>
    </w:p>
    <w:p>
      <w:pPr>
        <w:pStyle w:val="TextBody"/>
        <w:bidi w:val="0"/>
        <w:spacing w:before="0" w:after="18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derives revenues from a variety of background screening and adjacent products performed across all phases of the workforce lifecycle from pre-onboarding screening services to post-onboarding and ongoing monitoring services, covering employees, contractors, contingent workers, and drivers. We generally classify our products and solutions into three major categories: pre-onboarding, post-onboarding, and adjacent products, each of which is enabled by our technologies, proprietary internal databases, and data analytics capabilities. Pre-onboarding products, which comprise the substantial majority of our revenues, span an extensive array of products that customers typically utilize to enhance their applicant evaluation process and support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and vehicle compliance, hiring tax credits and incentives, employment eligibility, and investigative research.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incur the following expenses related to our cost of revenues and operating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Cost of Services (exclusive of depreciation and amortization below)</w:t>
      </w:r>
      <w:r>
        <w:rPr>
          <w:rFonts w:ascii="Times New Roman" w:hAnsi="Times New Roman"/>
          <w:color w:val="000000"/>
          <w:sz w:val="20"/>
        </w:rPr>
        <w:t>:</w:t>
      </w:r>
      <w:r>
        <w:rPr>
          <w:color w:val="000000"/>
        </w:rPr>
        <w:t xml:space="preserve"> </w:t>
      </w:r>
      <w:r>
        <w:rPr>
          <w:rFonts w:ascii="Times New Roman" w:hAnsi="Times New Roman"/>
          <w:color w:val="000000"/>
          <w:sz w:val="20"/>
        </w:rPr>
        <w:t>Consists of amounts paid to third parties for access to government records, 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Product and Technology Expense</w:t>
      </w:r>
      <w:r>
        <w:rPr>
          <w:rFonts w:ascii="Times New Roman" w:hAnsi="Times New Roman"/>
          <w:color w:val="000000"/>
          <w:sz w:val="20"/>
        </w:rPr>
        <w:t>: Consists of salaries and benefits of personnel involved in the maintenance of our technology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Certain of these costs are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Selling, General, and Administrative Expense</w:t>
      </w:r>
      <w:r>
        <w:rPr>
          <w:rFonts w:ascii="Times New Roman" w:hAnsi="Times New Roman"/>
          <w:color w:val="000000"/>
          <w:sz w:val="20"/>
        </w:rPr>
        <w:t xml:space="preserve">: Consists of sales, customer success, marketing, and general and administrative expenses. Sales, 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acquisitions. Selling, general, and administrative expenses also include gains and losses from the sale of assets that do not constitute a sale of a business or discontinued operations. We do not allocate depreciation and amortization to selling, general, and administrative expenses.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Depreciation and Amortizatio</w:t>
      </w:r>
      <w:r>
        <w:rPr>
          <w:rFonts w:ascii="Times New Roman" w:hAnsi="Times New Roman"/>
          <w:color w:val="000000"/>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business combinations.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flexible cost structure that allows our business to adjust quickly to the impacts of macroeconomic events and scale to meet the needs of large customers. Operating expenses are influenced by revenue levels, customer and product mix, and the progress of acquisition-related integration activities. As revenues grow, we would generally expect cost of services to grow proportionally, although the rate of growth may vary based on automation, productivity initiatives, efficiency gains, shifts in mix, and third</w:t>
        <w:noBreakHyphen/>
        <w:t>party pass</w:t>
        <w:noBreakHyphen/>
        <w:t>through costs. We regularly review expenses and investments in the context of revenue trends and observed changes in the business to ensure alignment with our financial objectives. While we expect operating expenses to increase in absolute dollars as we support continued growth, we believe that, over the long term, operating expenses as a percentage of total revenues will gradually decline as we scale the business and advance our operating efficiency and automation initiatives.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other expense, net consists of the following: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Interest expense, net</w:t>
      </w:r>
      <w:r>
        <w:rPr>
          <w:rFonts w:ascii="Times New Roman" w:hAnsi="Times New Roman"/>
          <w:color w:val="000000"/>
          <w:sz w:val="20"/>
        </w:rPr>
        <w:t xml:space="preserve">: Relates primarily to our debt service costs, the interest-related unrealized gains and losses of our interest rate derivative instruments and, to a lesser extent, the interest on our finance lease obligations and the amortization of deferred financing costs. Additionally, interest expense, net includes interest income earnings on our cash and cash equivalent balances held in interest-bearing accounts.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Loss on Extinguishment of Debt</w:t>
      </w:r>
      <w:r>
        <w:rPr>
          <w:rFonts w:ascii="Times New Roman" w:hAnsi="Times New Roman"/>
          <w:color w:val="000000"/>
          <w:sz w:val="20"/>
        </w:rPr>
        <w:t>: Represents non-operating expense incurred when we repay or refinance debt prior to maturity. This includes the write-off of unamortized debt issuance costs and early repayment penalties, if any.</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Provision for income taxes consists of U.S. domestic and foreign corporate income taxes related to earnings, with applicable statutory tax rates varying by jurisdiction. Our effective tax rate may be affected by a number of factors, including changes in tax laws, regulations, or statutory rates; regulatory guidance, or new administrative interpretations of judicial decisions; and shifts in proportion of income earned in jurisdictions with differing statutory tax rates.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our business continues to expand globally, the distribution of pretax income across domestic and foreign jurisdictions may fluctuate, resulting in volatility in our effective tax rate. Additionally, the effective tax rate may also be affected by the availability of tax credits and incentives, non-deductible expenses, changes in valuation allowances, and the resolution of uncertain tax positions. These factors, individually or collectively, may cause our provision for income taxes and effective tax rate to differ materially from period to period. </w:t>
      </w:r>
    </w:p>
    <w:p>
      <w:pPr>
        <w:pStyle w:val="TextBody"/>
        <w:bidi w:val="0"/>
        <w:spacing w:before="0" w:after="18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contained below should be read in conjunction with our accompanying historical condensed consolidated financial statements and the related notes.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Results of Operations for the three months ended March 31, 2026 compared to the three months ended March 31, 2025</w:t>
      </w:r>
    </w:p>
    <w:tbl>
      <w:tblPr>
        <w:tblW w:w="9319" w:type="dxa"/>
        <w:jc w:val="left"/>
        <w:tblInd w:w="0" w:type="dxa"/>
        <w:tblLayout w:type="fixed"/>
        <w:tblCellMar>
          <w:top w:w="28" w:type="dxa"/>
          <w:left w:w="28" w:type="dxa"/>
          <w:bottom w:w="28" w:type="dxa"/>
          <w:right w:w="28" w:type="dxa"/>
        </w:tblCellMar>
      </w:tblPr>
      <w:tblGrid>
        <w:gridCol w:w="5781"/>
        <w:gridCol w:w="546"/>
        <w:gridCol w:w="211"/>
        <w:gridCol w:w="781"/>
        <w:gridCol w:w="271"/>
        <w:gridCol w:w="146"/>
        <w:gridCol w:w="211"/>
        <w:gridCol w:w="781"/>
        <w:gridCol w:w="591"/>
      </w:tblGrid>
      <w:tr>
        <w:trPr/>
        <w:tc>
          <w:tcPr>
            <w:tcW w:w="5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(exclusive of depreciation and amortization below)</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and technology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t>
      </w:r>
    </w:p>
    <w:tbl>
      <w:tblPr>
        <w:tblW w:w="5560" w:type="dxa"/>
        <w:jc w:val="left"/>
        <w:tblInd w:w="0" w:type="dxa"/>
        <w:tblLayout w:type="fixed"/>
        <w:tblCellMar>
          <w:top w:w="28" w:type="dxa"/>
          <w:left w:w="28" w:type="dxa"/>
          <w:bottom w:w="28" w:type="dxa"/>
          <w:right w:w="28" w:type="dxa"/>
        </w:tblCellMar>
      </w:tblPr>
      <w:tblGrid>
        <w:gridCol w:w="2606"/>
        <w:gridCol w:w="246"/>
        <w:gridCol w:w="220"/>
        <w:gridCol w:w="816"/>
        <w:gridCol w:w="173"/>
        <w:gridCol w:w="152"/>
        <w:gridCol w:w="220"/>
        <w:gridCol w:w="816"/>
        <w:gridCol w:w="311"/>
      </w:tblGrid>
      <w:tr>
        <w:trPr/>
        <w:tc>
          <w:tcPr>
            <w:tcW w:w="2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Eliminations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Revenues were $385.2 million for the three months ended March 31, 2026, compared to $354.6 million for the three months ended March 31, 2025. Revenues for the three months ended March 31, 2026 increased by $30.6 million, or 8.6%, compared to the three months ended March 31,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increase in revenues is due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net increase of $15.4 million, or 4.4% from existing customer revenues, primarily driven by continued strength from upselling and cross-selling initiatives which were offset by the impact of of lost accounts;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revenues of $15.2 million, or 4.3%, from new customers, primarily attributable to our First Advantage Americas and Sterling segments.</w:t>
      </w:r>
    </w:p>
    <w:p>
      <w:pPr>
        <w:pStyle w:val="TextBody"/>
        <w:bidi w:val="0"/>
        <w:spacing w:before="60" w:after="180"/>
        <w:jc w:val="left"/>
        <w:rPr>
          <w:rFonts w:ascii="Times New Roman" w:hAnsi="Times New Roman"/>
          <w:sz w:val="20"/>
        </w:rPr>
      </w:pPr>
      <w:r>
        <w:rPr>
          <w:rFonts w:ascii="Times New Roman" w:hAnsi="Times New Roman"/>
          <w:color w:val="000000"/>
          <w:sz w:val="20"/>
        </w:rPr>
        <w:t>Pricing remained relatively stable across all periods.</w:t>
      </w:r>
      <w:r>
        <w:rPr>
          <w:rFonts w:ascii="Times New Roman" w:hAnsi="Times New Roman"/>
          <w:color w:val="FF0000"/>
          <w:sz w:val="20"/>
        </w:rPr>
        <w:t xml:space="preserve"> </w:t>
      </w:r>
    </w:p>
    <w:p>
      <w:pPr>
        <w:pStyle w:val="TextBody"/>
        <w:bidi w:val="0"/>
        <w:spacing w:before="0" w:after="180"/>
        <w:jc w:val="left"/>
        <w:rPr>
          <w:rFonts w:ascii="Times New Roman" w:hAnsi="Times New Roman"/>
          <w:sz w:val="20"/>
        </w:rPr>
      </w:pPr>
      <w:r>
        <w:rPr>
          <w:rFonts w:ascii="Times New Roman" w:hAnsi="Times New Roman"/>
          <w:i/>
          <w:color w:val="000000"/>
          <w:sz w:val="20"/>
        </w:rPr>
        <w:t>Cost of Services</w:t>
      </w:r>
      <w:r>
        <w:rPr>
          <w:rFonts w:ascii="Times New Roman" w:hAnsi="Times New Roman"/>
          <w:color w:val="000000"/>
          <w:sz w:val="20"/>
        </w:rPr>
        <w:t xml:space="preserve"> </w:t>
      </w:r>
    </w:p>
    <w:tbl>
      <w:tblPr>
        <w:tblW w:w="5714" w:type="dxa"/>
        <w:jc w:val="left"/>
        <w:tblInd w:w="0" w:type="dxa"/>
        <w:tblLayout w:type="fixed"/>
        <w:tblCellMar>
          <w:top w:w="28" w:type="dxa"/>
          <w:left w:w="28" w:type="dxa"/>
          <w:bottom w:w="28" w:type="dxa"/>
          <w:right w:w="28" w:type="dxa"/>
        </w:tblCellMar>
      </w:tblPr>
      <w:tblGrid>
        <w:gridCol w:w="2851"/>
        <w:gridCol w:w="146"/>
        <w:gridCol w:w="211"/>
        <w:gridCol w:w="781"/>
        <w:gridCol w:w="271"/>
        <w:gridCol w:w="146"/>
        <w:gridCol w:w="211"/>
        <w:gridCol w:w="781"/>
        <w:gridCol w:w="31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as a %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Cost of services was $211.4 million for the three months ended March 31, 2026, compared to $192.6 million for the three months ended March 31, 2025. Cost of services for the three months ended March 31, 2026 increased by $18.8 million, or 9.8%, compared to the three months ended March 31,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increase in cost of services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$16.7 million increase in third-party data expenses as a result of increased revenue volumes;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$0.9 million increase in software costs.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Cost of services as a percentage of revenues was 54.9% for the three months ended March 31, 2026, compared to 54.3% for the three months ended March 31, 2025. The cost of services percentage of revenues for the first quarter of 2026 was impacted by product and customer mix and increases in third party costs.</w:t>
      </w:r>
    </w:p>
    <w:p>
      <w:pPr>
        <w:pStyle w:val="TextBody"/>
        <w:bidi w:val="0"/>
        <w:spacing w:before="0" w:after="180"/>
        <w:jc w:val="left"/>
        <w:rPr>
          <w:rFonts w:ascii="Times New Roman" w:hAnsi="Times New Roman"/>
          <w:sz w:val="20"/>
        </w:rPr>
      </w:pPr>
      <w:r>
        <w:rPr>
          <w:rFonts w:ascii="Times New Roman" w:hAnsi="Times New Roman"/>
          <w:i/>
          <w:color w:val="000000"/>
          <w:sz w:val="20"/>
        </w:rPr>
        <w:t>Product and Technology Expense</w:t>
      </w:r>
      <w:r>
        <w:rPr>
          <w:rFonts w:ascii="Times New Roman" w:hAnsi="Times New Roman"/>
          <w:color w:val="000000"/>
          <w:sz w:val="20"/>
        </w:rPr>
        <w:t xml:space="preserve"> </w:t>
      </w:r>
    </w:p>
    <w:tbl>
      <w:tblPr>
        <w:tblW w:w="5511" w:type="dxa"/>
        <w:jc w:val="left"/>
        <w:tblInd w:w="0" w:type="dxa"/>
        <w:tblLayout w:type="fixed"/>
        <w:tblCellMar>
          <w:top w:w="28" w:type="dxa"/>
          <w:left w:w="28" w:type="dxa"/>
          <w:bottom w:w="28" w:type="dxa"/>
          <w:right w:w="28" w:type="dxa"/>
        </w:tblCellMar>
      </w:tblPr>
      <w:tblGrid>
        <w:gridCol w:w="2776"/>
        <w:gridCol w:w="146"/>
        <w:gridCol w:w="245"/>
        <w:gridCol w:w="785"/>
        <w:gridCol w:w="169"/>
        <w:gridCol w:w="169"/>
        <w:gridCol w:w="245"/>
        <w:gridCol w:w="785"/>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technology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Product and technology expense was $24.6 million for the three months ended March 31, 2026, compared to $27.2 million for the three months ended March 31, 2025. Product and technology expense for the three months ended March 31, 2026 decreased by $2.6 million, or 9.4%, compared to the three months ended March 31,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decrease in product and technology expense was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$2.0 million decrease in software expenses as a result of integration efforts related to the acquisition of Sterling;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$0.7 million decrease in professional services costs from non-recurring integration activities incurred in the prior year.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tbl>
      <w:tblPr>
        <w:tblW w:w="6441" w:type="dxa"/>
        <w:jc w:val="left"/>
        <w:tblInd w:w="0" w:type="dxa"/>
        <w:tblLayout w:type="fixed"/>
        <w:tblCellMar>
          <w:top w:w="28" w:type="dxa"/>
          <w:left w:w="28" w:type="dxa"/>
          <w:bottom w:w="28" w:type="dxa"/>
          <w:right w:w="28" w:type="dxa"/>
        </w:tblCellMar>
      </w:tblPr>
      <w:tblGrid>
        <w:gridCol w:w="3706"/>
        <w:gridCol w:w="146"/>
        <w:gridCol w:w="245"/>
        <w:gridCol w:w="785"/>
        <w:gridCol w:w="169"/>
        <w:gridCol w:w="169"/>
        <w:gridCol w:w="245"/>
        <w:gridCol w:w="785"/>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Selling, general, and administrative expense was $53.5 million for the three months ended March 31, 2026, compared to $65.6 million for the three months ended March 31, 2025. Selling, general, and administrative expense for the three months ended March 31, 2026 decreased by $12.1 million, or 18.5%, compared to the three months ended March 31,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 decreased primarily due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$4.6 million decrease in personnel expenses resulting from cost-savings actions implemented by the Company in 2025;</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$4.2 million decrease in share-based compensation expense, primarily due to Sterling equity awards converted to First Advantage equity awards in connection with the October 2024 acquisition becoming fully vested;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$3.8 million decrease in bonus expense, primarily driven by lower cash compensation related to Sterling equity awards converted to cash awards in connection with the October 2024 acquisition becoming fully vested;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decreases in other corporate expenses, primarily reflecting additional cost-savings actions taken by the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decreases were partially offset by a $5.2 million loss on the sale of assets related to an adjacent product during the three months ended March 31, 2026, which did not constitute a sale of a business or discontinued operations.</w:t>
      </w:r>
    </w:p>
    <w:p>
      <w:pPr>
        <w:pStyle w:val="TextBody"/>
        <w:bidi w:val="0"/>
        <w:spacing w:before="60" w:after="180"/>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tbl>
      <w:tblPr>
        <w:tblW w:w="5331" w:type="dxa"/>
        <w:jc w:val="left"/>
        <w:tblInd w:w="0" w:type="dxa"/>
        <w:tblLayout w:type="fixed"/>
        <w:tblCellMar>
          <w:top w:w="28" w:type="dxa"/>
          <w:left w:w="28" w:type="dxa"/>
          <w:bottom w:w="28" w:type="dxa"/>
          <w:right w:w="28" w:type="dxa"/>
        </w:tblCellMar>
      </w:tblPr>
      <w:tblGrid>
        <w:gridCol w:w="2596"/>
        <w:gridCol w:w="146"/>
        <w:gridCol w:w="245"/>
        <w:gridCol w:w="785"/>
        <w:gridCol w:w="169"/>
        <w:gridCol w:w="169"/>
        <w:gridCol w:w="245"/>
        <w:gridCol w:w="785"/>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Depreciation and amortization was $62.2 million for the three months ended March 31, 2026, compared to $61.7 million for the three months ended March 31, 2025. Depreciation and amortization for the three months ended March 31, 2026 increased by $0.5 million, or 0.8%, compared to the three months ended March 31, 2025 primarily due to assets placed in service since March 31, 2025.</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Interest Expense, Net</w:t>
      </w:r>
    </w:p>
    <w:tbl>
      <w:tblPr>
        <w:tblW w:w="4506" w:type="dxa"/>
        <w:jc w:val="left"/>
        <w:tblInd w:w="0" w:type="dxa"/>
        <w:tblLayout w:type="fixed"/>
        <w:tblCellMar>
          <w:top w:w="28" w:type="dxa"/>
          <w:left w:w="28" w:type="dxa"/>
          <w:bottom w:w="28" w:type="dxa"/>
          <w:right w:w="28" w:type="dxa"/>
        </w:tblCellMar>
      </w:tblPr>
      <w:tblGrid>
        <w:gridCol w:w="1771"/>
        <w:gridCol w:w="146"/>
        <w:gridCol w:w="245"/>
        <w:gridCol w:w="785"/>
        <w:gridCol w:w="169"/>
        <w:gridCol w:w="169"/>
        <w:gridCol w:w="245"/>
        <w:gridCol w:w="785"/>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Interest expense, net was $29.8 million for the three months ended March 31, 2026, compared to $46.6 million for the three months ended March 31, 2025. Interest expense, net for the three months ended March 31, 2026 decreased by $16.7 million or 35.9%, compared to the three months ended March 31, 2025. </w:t>
      </w:r>
    </w:p>
    <w:p>
      <w:pPr>
        <w:pStyle w:val="TextBody"/>
        <w:bidi w:val="0"/>
        <w:jc w:val="left"/>
        <w:rPr>
          <w:rFonts w:ascii="Times New Roman" w:hAnsi="Times New Roman"/>
          <w:color w:val="000000"/>
          <w:sz w:val="20"/>
        </w:rPr>
      </w:pPr>
      <w:r>
        <w:rPr>
          <w:rFonts w:ascii="Times New Roman" w:hAnsi="Times New Roman"/>
          <w:color w:val="000000"/>
          <w:sz w:val="20"/>
        </w:rPr>
        <w:t>The decrease in interest expense was primarily driven by lower interest on the Company’s term loan, reflecting voluntary principal repayments and reduced interest rates following the Company’s 2025 amendment to its 2024 First Lien Credit Agreement. The decrease was further impacted by an increase in unrealized gains of $8.9 million on the Company’s interest rate swaps, driven by interest rate volatility during the period.</w:t>
      </w:r>
    </w:p>
    <w:p>
      <w:pPr>
        <w:pStyle w:val="TextBody"/>
        <w:bidi w:val="0"/>
        <w:spacing w:before="180" w:after="180"/>
        <w:jc w:val="left"/>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xml:space="preserve"> </w:t>
      </w:r>
    </w:p>
    <w:tbl>
      <w:tblPr>
        <w:tblW w:w="5421" w:type="dxa"/>
        <w:jc w:val="left"/>
        <w:tblInd w:w="0" w:type="dxa"/>
        <w:tblLayout w:type="fixed"/>
        <w:tblCellMar>
          <w:top w:w="28" w:type="dxa"/>
          <w:left w:w="28" w:type="dxa"/>
          <w:bottom w:w="28" w:type="dxa"/>
          <w:right w:w="28" w:type="dxa"/>
        </w:tblCellMar>
      </w:tblPr>
      <w:tblGrid>
        <w:gridCol w:w="2686"/>
        <w:gridCol w:w="146"/>
        <w:gridCol w:w="342"/>
        <w:gridCol w:w="682"/>
        <w:gridCol w:w="236"/>
        <w:gridCol w:w="236"/>
        <w:gridCol w:w="342"/>
        <w:gridCol w:w="560"/>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Loss on extinguishment of debt for the three months ended March 31, 2026 relates to the write-off of unamortized deferred financing costs as a result of voluntary principal repayments of $25.0 million on the Company’s outstanding term loan facility.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tbl>
      <w:tblPr>
        <w:tblW w:w="5014" w:type="dxa"/>
        <w:jc w:val="left"/>
        <w:tblInd w:w="0" w:type="dxa"/>
        <w:tblLayout w:type="fixed"/>
        <w:tblCellMar>
          <w:top w:w="28" w:type="dxa"/>
          <w:left w:w="28" w:type="dxa"/>
          <w:bottom w:w="28" w:type="dxa"/>
          <w:right w:w="28" w:type="dxa"/>
        </w:tblCellMar>
      </w:tblPr>
      <w:tblGrid>
        <w:gridCol w:w="2281"/>
        <w:gridCol w:w="146"/>
        <w:gridCol w:w="272"/>
        <w:gridCol w:w="738"/>
        <w:gridCol w:w="188"/>
        <w:gridCol w:w="188"/>
        <w:gridCol w:w="272"/>
        <w:gridCol w:w="738"/>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provision for income taxes was $1.1 million for the three months ended March 31, 2026, compared to $2.2 million for the three months ended March 31, 2025. Our provision for income taxes for the three months ended March 31, 2026 decreased by $1.1 million, compared to the three months ended March 31,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decrease in our provision for income taxes was primarily due to the jurisdictional mix of earnings and lower non-deductible share-based compensation during the three months ended March 31, 2026, as compared to the three months ended March 31, 2025.</w:t>
      </w:r>
    </w:p>
    <w:p>
      <w:pPr>
        <w:pStyle w:val="TextBody"/>
        <w:bidi w:val="0"/>
        <w:spacing w:before="0" w:after="180"/>
        <w:jc w:val="left"/>
        <w:rPr>
          <w:rFonts w:ascii="Times New Roman" w:hAnsi="Times New Roman"/>
          <w:sz w:val="20"/>
        </w:rPr>
      </w:pPr>
      <w:r>
        <w:rPr>
          <w:rFonts w:ascii="Times New Roman" w:hAnsi="Times New Roman"/>
          <w:i/>
          <w:color w:val="000000"/>
          <w:sz w:val="20"/>
        </w:rPr>
        <w:t>Net Income (Loss) and Net Income (Loss) Margin</w:t>
      </w:r>
      <w:r>
        <w:rPr>
          <w:rFonts w:ascii="Times New Roman" w:hAnsi="Times New Roman"/>
          <w:color w:val="000000"/>
          <w:sz w:val="20"/>
        </w:rPr>
        <w:t xml:space="preserve"> </w:t>
      </w:r>
    </w:p>
    <w:tbl>
      <w:tblPr>
        <w:tblW w:w="5442" w:type="dxa"/>
        <w:jc w:val="left"/>
        <w:tblInd w:w="0" w:type="dxa"/>
        <w:tblLayout w:type="fixed"/>
        <w:tblCellMar>
          <w:top w:w="28" w:type="dxa"/>
          <w:left w:w="28" w:type="dxa"/>
          <w:bottom w:w="28" w:type="dxa"/>
          <w:right w:w="28" w:type="dxa"/>
        </w:tblCellMar>
      </w:tblPr>
      <w:tblGrid>
        <w:gridCol w:w="2521"/>
        <w:gridCol w:w="146"/>
        <w:gridCol w:w="236"/>
        <w:gridCol w:w="638"/>
        <w:gridCol w:w="303"/>
        <w:gridCol w:w="163"/>
        <w:gridCol w:w="236"/>
        <w:gridCol w:w="823"/>
        <w:gridCol w:w="37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Net income (loss) was $2.2 million for the three months ended March 31, 2026, compared to $(41.2) million for the three months ended March 31, 2025. Net income for the three months ended March 31, 2026 increased by $43.4 million compared to the three months ended March 31,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Net income (loss) margin was 0.6% for the three months ended March 31, 2026, compared to (11.6)% for the three months ended March 31, 2025. The improvement in our net income margin was primarily attributable to increased revenues, our ability to leverage operational efficiencies to control overall expenses, and lower interest expense.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pStyle w:val="TextBody"/>
        <w:bidi w:val="0"/>
        <w:spacing w:before="0" w:after="180"/>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believes that Adjusted EBITDA is a strong indicator of our overall operating performance and is useful to management and investors as a measure of comparative operating performance from period to period. 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EBITDA was $105.3 million for the three months ended March 31, 2026 and represented an Adjusted EBITDA Margin of 27.3%. Adjusted EBITDA was $92.1 million for the three months ended March 31, 2025 and represented an Adjusted EBITDA Margin of 26.0%. Adjusted EBITDA for the three months ended March 31, 2026 increased by $13.2 million, or 14.3%, compared to the three months ended March 31, 2025. Growth in Adjusted EBITDA was driven primarily from revenues growth attributed to new and existing customers and margin expansion attributed to cost efficiencies.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for the periods presented. </w:t>
      </w:r>
    </w:p>
    <w:tbl>
      <w:tblPr>
        <w:tblW w:w="6583" w:type="dxa"/>
        <w:jc w:val="left"/>
        <w:tblInd w:w="0" w:type="dxa"/>
        <w:tblLayout w:type="fixed"/>
        <w:tblCellMar>
          <w:top w:w="28" w:type="dxa"/>
          <w:left w:w="28" w:type="dxa"/>
          <w:bottom w:w="28" w:type="dxa"/>
          <w:right w:w="28" w:type="dxa"/>
        </w:tblCellMar>
      </w:tblPr>
      <w:tblGrid>
        <w:gridCol w:w="3826"/>
        <w:gridCol w:w="146"/>
        <w:gridCol w:w="227"/>
        <w:gridCol w:w="840"/>
        <w:gridCol w:w="157"/>
        <w:gridCol w:w="157"/>
        <w:gridCol w:w="227"/>
        <w:gridCol w:w="792"/>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105,287</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Share-based compensation for the three months ended March 31, 2026 and 2025 includes approximately $0.6 million and $1.9 million, respectively, of incrementally recognized expense associated with the May 2023 modification of the vesting terms of outstanding unvested and unearned performance-based options, restricted stock units, and restricted stock awards.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charges incurred related to acquisitions and similar transactions, primarily consisting of change in control-related costs, professional service fees, and other third-party costs. Transaction and acquisition related charges for the three months ended March 31, 2026 and 2025 include approximately $0.2 million and $3.8 million, respectively, of expense associated with the Sterling Acquisition. </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180"/>
        <w:jc w:val="left"/>
        <w:rPr>
          <w:rFonts w:ascii="Times New Roman" w:hAnsi="Times New Roman"/>
          <w:color w:val="000000"/>
          <w:sz w:val="16"/>
        </w:rPr>
      </w:pPr>
      <w:r>
        <w:rPr>
          <w:rFonts w:ascii="Times New Roman" w:hAnsi="Times New Roman"/>
          <w:color w:val="000000"/>
          <w:sz w:val="16"/>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2026 and 2025 include approximately $1.4 million and $7.8 million, respectively, of expense associated with the integration of Sterling.</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define Adjusted EBITDA Margin as Adjusted EBITDA divided by total revenues. The following table presents the calculation of Adjusted EBITDA Margin for the periods presented. </w:t>
      </w:r>
    </w:p>
    <w:tbl>
      <w:tblPr>
        <w:tblW w:w="5444" w:type="dxa"/>
        <w:jc w:val="left"/>
        <w:tblInd w:w="0" w:type="dxa"/>
        <w:tblLayout w:type="fixed"/>
        <w:tblCellMar>
          <w:top w:w="28" w:type="dxa"/>
          <w:left w:w="28" w:type="dxa"/>
          <w:bottom w:w="28" w:type="dxa"/>
          <w:right w:w="28" w:type="dxa"/>
        </w:tblCellMar>
      </w:tblPr>
      <w:tblGrid>
        <w:gridCol w:w="2521"/>
        <w:gridCol w:w="146"/>
        <w:gridCol w:w="211"/>
        <w:gridCol w:w="781"/>
        <w:gridCol w:w="301"/>
        <w:gridCol w:w="146"/>
        <w:gridCol w:w="211"/>
        <w:gridCol w:w="781"/>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a calculation of Adjusted EBITDA by segment for the periods presented. See Note 14, “Reportable Segments” to the condensed consolidated financial statements for a reconciliation of Adjusted EBITDA for the periods presented by segment. </w:t>
      </w:r>
    </w:p>
    <w:tbl>
      <w:tblPr>
        <w:tblW w:w="5794" w:type="dxa"/>
        <w:jc w:val="left"/>
        <w:tblInd w:w="0" w:type="dxa"/>
        <w:tblLayout w:type="fixed"/>
        <w:tblCellMar>
          <w:top w:w="28" w:type="dxa"/>
          <w:left w:w="28" w:type="dxa"/>
          <w:bottom w:w="28" w:type="dxa"/>
          <w:right w:w="28" w:type="dxa"/>
        </w:tblCellMar>
      </w:tblPr>
      <w:tblGrid>
        <w:gridCol w:w="2801"/>
        <w:gridCol w:w="146"/>
        <w:gridCol w:w="211"/>
        <w:gridCol w:w="781"/>
        <w:gridCol w:w="301"/>
        <w:gridCol w:w="146"/>
        <w:gridCol w:w="211"/>
        <w:gridCol w:w="781"/>
        <w:gridCol w:w="416"/>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92,112</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187,518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intersegment eliminations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Advantage 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Sterling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180"/>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180"/>
        <w:jc w:val="left"/>
        <w:rPr>
          <w:rFonts w:ascii="Times New Roman" w:hAnsi="Times New Roman"/>
          <w:color w:val="000000"/>
          <w:sz w:val="16"/>
        </w:rPr>
      </w:pPr>
      <w:r>
        <w:rPr>
          <w:rFonts w:ascii="Times New Roman" w:hAnsi="Times New Roman"/>
          <w:color w:val="000000"/>
          <w:sz w:val="16"/>
        </w:rPr>
        <w:t xml:space="preserve">See the reconciliation of net income (loss) to Adjusted EBITDA above. Segment Adjusted EBITDA margins are calculated using segment gross revenues and segment Adjusted EBITDA. Consolidated Adjusted EBITDA margin is calculated using consolidated revenues and consolidated Adjusted EBITDA.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(loss)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Net Income was $45.1 million for the three months ended March 31, 2026, compared to $30.5 million for the three months ended March 31, 2025. Adjusted Net Income for the three months ended March 31, 2026 increased by $14.6 million, or 48.0% compared to the three months ended March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was $0.26 for the three months ended March 31, 2026, compared to $0.17 for the three months ended March 31, 2025. Adjusted Diluted Earnings Per Share for the three months ended March 31, 2026 increased by $0.09, or 52.9% compared to the three months ended March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This growth was driven primarily by the same factors contributing to Adjusted EBITDA growth, though Adjusted Net Income and Adjusted Diluted Earnings Per Share are also impacted by changes in acquisition-related depreciation and amortization and changes in our capital structure that are captured in interest expense. The 2025 refinancing of the Company’s 2024 First Lien Credit Agreement, voluntary debt prepayments, and gains or losses on the Company’s interest rate swaps impact the comparability of Adjusted Net Income and Adjusted Diluted Earnings Per Share across historical periods.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Adjusted Diluted Earnings Per Share is further impacted by shares repurchased under the Company’s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a reconciliation of Adjusted Net Income for the periods presented.</w:t>
      </w:r>
    </w:p>
    <w:tbl>
      <w:tblPr>
        <w:tblW w:w="7107" w:type="dxa"/>
        <w:jc w:val="left"/>
        <w:tblInd w:w="0" w:type="dxa"/>
        <w:tblLayout w:type="fixed"/>
        <w:tblCellMar>
          <w:top w:w="28" w:type="dxa"/>
          <w:left w:w="28" w:type="dxa"/>
          <w:bottom w:w="28" w:type="dxa"/>
          <w:right w:w="28" w:type="dxa"/>
        </w:tblCellMar>
      </w:tblPr>
      <w:tblGrid>
        <w:gridCol w:w="4351"/>
        <w:gridCol w:w="146"/>
        <w:gridCol w:w="236"/>
        <w:gridCol w:w="756"/>
        <w:gridCol w:w="185"/>
        <w:gridCol w:w="163"/>
        <w:gridCol w:w="236"/>
        <w:gridCol w:w="823"/>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Adjusted income taxes</w:t>
            </w:r>
            <w:r>
              <w:rPr>
                <w:rFonts w:ascii="Times New Roman" w:hAnsi="Times New Roman"/>
                <w:color w:val="000000"/>
                <w:sz w:val="13"/>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45,119</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presents the calculation of Adjusted Diluted Earnings Per Share for the periods presented.</w:t>
      </w:r>
    </w:p>
    <w:tbl>
      <w:tblPr>
        <w:tblW w:w="10205" w:type="dxa"/>
        <w:jc w:val="left"/>
        <w:tblInd w:w="0" w:type="dxa"/>
        <w:tblLayout w:type="fixed"/>
        <w:tblCellMar>
          <w:top w:w="28" w:type="dxa"/>
          <w:left w:w="28" w:type="dxa"/>
          <w:bottom w:w="28" w:type="dxa"/>
          <w:right w:w="28" w:type="dxa"/>
        </w:tblCellMar>
      </w:tblPr>
      <w:tblGrid>
        <w:gridCol w:w="6032"/>
        <w:gridCol w:w="546"/>
        <w:gridCol w:w="211"/>
        <w:gridCol w:w="1141"/>
        <w:gridCol w:w="166"/>
        <w:gridCol w:w="146"/>
        <w:gridCol w:w="211"/>
        <w:gridCol w:w="1141"/>
        <w:gridCol w:w="611"/>
      </w:tblGrid>
      <w:tr>
        <w:trPr/>
        <w:tc>
          <w:tcPr>
            <w:tcW w:w="603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 (GAAP)</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Net Income adjustments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Debt-related charges</w:t>
            </w:r>
            <w:r>
              <w:rPr>
                <w:rFonts w:ascii="Times New Roman" w:hAnsi="Times New Roman"/>
                <w:color w:val="000000"/>
                <w:sz w:val="13"/>
              </w:rPr>
              <w:t>(a)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Acquisition-related depreciation and amortization</w:t>
            </w:r>
            <w:r>
              <w:rPr>
                <w:rFonts w:ascii="Times New Roman" w:hAnsi="Times New Roman"/>
                <w:color w:val="000000"/>
                <w:sz w:val="13"/>
              </w:rPr>
              <w:t>(b)</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w:t>
            </w:r>
            <w:r>
              <w:rPr>
                <w:rFonts w:ascii="Times New Roman" w:hAnsi="Times New Roman"/>
                <w:color w:val="000000"/>
                <w:sz w:val="13"/>
              </w:rPr>
              <w:t>(c)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Transaction and acquisition-related charges</w:t>
            </w:r>
            <w:r>
              <w:rPr>
                <w:rFonts w:ascii="Times New Roman" w:hAnsi="Times New Roman"/>
                <w:color w:val="000000"/>
                <w:sz w:val="13"/>
              </w:rPr>
              <w:t>(d)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Integration, restructuring, and other charges</w:t>
            </w:r>
            <w:r>
              <w:rPr>
                <w:rFonts w:ascii="Times New Roman" w:hAnsi="Times New Roman"/>
                <w:color w:val="000000"/>
                <w:sz w:val="13"/>
              </w:rPr>
              <w:t>(e)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Adjusted income taxes</w:t>
            </w:r>
            <w:r>
              <w:rPr>
                <w:rFonts w:ascii="Times New Roman" w:hAnsi="Times New Roman"/>
                <w:color w:val="000000"/>
                <w:sz w:val="13"/>
              </w:rPr>
              <w:t>(f)</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Diluted Earnings Per Share (Non-GAAP)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used in computation of Adjusted Diluted Earnings Per Share: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outstanding—diluted (GAAP)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172,756,497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and restricted stock not included in weighted average number of shares outstanding—diluted (GAAP) (using treasury stock method)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2,217,580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weighted average number of shares outstanding—diluted (Non-GAAP)</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174,922,780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174,974,077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5"/>
        </w:rPr>
      </w:pPr>
      <w:r>
        <w:rPr>
          <w:rFonts w:ascii="Times New Roman" w:hAnsi="Times New Roman"/>
          <w:color w:val="000000"/>
          <w:sz w:val="15"/>
        </w:rPr>
        <w:t>(a)</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Represents the loss on extinguishment and non-cash interest expense related to the amortization of debt issuance costs related to the refinancing of the Company’s First Lien Credit Facility. This adjustment also includes the impact of the change in fair value of interest rate swaps, which represents the difference between the fair value gains or losses and actual cash payments and receipts on the interest rate swaps.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(b)</w:t>
      </w:r>
    </w:p>
    <w:p>
      <w:pPr>
        <w:pStyle w:val="TextBody"/>
        <w:bidi w:val="0"/>
        <w:spacing w:before="0" w:after="0"/>
        <w:jc w:val="left"/>
        <w:rPr/>
      </w:pPr>
      <w:r>
        <w:rPr>
          <w:rFonts w:ascii="Times New Roman" w:hAnsi="Times New Roman"/>
          <w:color w:val="000000"/>
          <w:sz w:val="15"/>
        </w:rPr>
        <w:t xml:space="preserve">Represents the depreciation and amortization expense related to incremental intangible and developed technology assets recorded due to the application of ASC 805, </w:t>
      </w:r>
      <w:r>
        <w:rPr>
          <w:rFonts w:ascii="Times New Roman" w:hAnsi="Times New Roman"/>
          <w:i/>
          <w:color w:val="000000"/>
          <w:sz w:val="15"/>
        </w:rPr>
        <w:t xml:space="preserve">Business Combinations. </w:t>
      </w:r>
      <w:r>
        <w:rPr>
          <w:rFonts w:ascii="Times New Roman" w:hAnsi="Times New Roman"/>
          <w:color w:val="000000"/>
          <w:sz w:val="15"/>
        </w:rPr>
        <w:t>As a result, the purchase accounting related depreciation and amortization expense will recur in future periods until the related assets are fully depreciated or amortized, and the related purchase accounting assets may contribute to revenue generation.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(c)</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Share-based compensation for the three months ended March 31, 2026 and 2025 includes approximately $0.6 million and $1.9 million, respectively, of incrementally recognized expense associated with the May 2023 modification of the vesting terms of outstanding unvested and unearned performance-based options, restricted stock units, and restricted stock awards.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(d)</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 xml:space="preserve">Represents charges incurred related to acquisitions and similar transactions, primarily consisting of change in control-related costs, professional service fees, and other third-party costs. Transaction and acquisition related charges for the three months ended March 31, 2026 and 2025 include approximately $0.2 million and $3.8 million, respectively, of expense associated with the Sterling Acquisition. </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(e)</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2026 and 2025 include approximately $1.4 million and $7.8 million, respectively, of expense associated with the integration of Sterling.</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(f)</w:t>
      </w:r>
    </w:p>
    <w:p>
      <w:pPr>
        <w:pStyle w:val="TextBody"/>
        <w:bidi w:val="0"/>
        <w:jc w:val="left"/>
        <w:rPr>
          <w:rFonts w:ascii="Times New Roman" w:hAnsi="Times New Roman"/>
          <w:color w:val="000000"/>
          <w:sz w:val="15"/>
        </w:rPr>
      </w:pPr>
      <w:r>
        <w:rPr>
          <w:rFonts w:ascii="Times New Roman" w:hAnsi="Times New Roman"/>
          <w:color w:val="000000"/>
          <w:sz w:val="15"/>
        </w:rPr>
        <w:t>Effective tax rates of approximately 25.6% and 25.1% have been used to compute Adjusted Net Income and Adjusted Diluted Earnings Per Share for the three months ended March 31, 2026 and 2025, respectively.</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primary liquidity requirements are for working capital, debt service, ongoing investments in software development and other capital expenditures, as well as other strategic growth initiatives. In addition, income taxes represent, and are expected to continue to represent, a significant use of cash depending on future profitability and applicable tax rates. The Company’s liquidity needs are met primarily through existing balance sheet cash, cash flows from operations, as well as funds available under our revolving credit facility and proceeds from our term loan borrowings, including incremental term loan borrowings incurred to fund the Sterling Acquisition. Our cash flows from operations include cash received from customers, less cash costs to provide services to our customers, which includes general and administrative costs and interest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we had $225.9 million in cash and cash equivalents and $249.3 million available under our revolving credit facility. As of March 31, 2026, we had $2,089.5 million of total debt outstanding. We believe our cash on hand, together with amounts available under our revolving credit facility and cash provided by operating activities are and will continue to be adequate to meet our operational and business needs in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our 2025 Annual Report.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First Advantage Holdings, LLC, an indirect wholly-owned subsidiary of the Company, was a party to a First Lien Credit Agreement (as amended, “First Lien Credit Agreement”), which provided for a term loan of $766.6 million due January 31, 2027, carrying an interest rate prior to the effectiveness of the 2024 First Lien Credit Agreement of 2.75% to 3.00%, based on the first lien ratio, plus the Secured Overnight Financing Rate as administered by the Federal Reserve Bank of New York (“SOFR”) (subsequent to an amendment in June 2023 to transition the reference rate from LIBOR (the London Interbank Offer Rate)), and a $100.0 million revolving credit facility due July 31, 2026.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connection with the Sterling Acquisition, on October 31, 2024, the Company refinanced its existing First Lien Credit Agreement and all related Sterling debt (the “2024 First Lien Credit Agreement”). The 2024 First Lien Credit Agreement provided for a term loan of $2.185 billion due October 31, 2031, carrying an interest rate of 3.00% to 3.25%, based on the first lien ratio, plus SOFR and a $250.0 million revolving credit facility due October 31, 2029.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July 30, 2025, the Company amended its 2024 First Lien Credit Agreement (“2025 Amended First Lien Credit Agreement”) to reduce the interest rate on its term loan facility to a range of 2.50% to 2.75%, based on the first lien ratio, plus SOFR (“First Lien Credit Facility”). The amendment also reduced the interest rate on its revolving credit facility to a range of 2.25% to 2.75%, based on the first lien ratio, plus SOFR (“Amended Revolver”).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Borrowings under the 2025 Amended First Lien Credit Agreement bear interest at a rate per annum equal to an applicable margin plus, at our option, either (a) a base rate or (b) SOFR, which is subject to a floor of 0.00% per annum. The applicable margins under the agreement are subject to stepdowns based on our first lien net leverage ratio. In addition, the borrower, First Advantage Holdings, LLC is required to pay a commitment fee on any unutilized commitments under the revolving credit facility. The commitment fee rate ranges between 0.25% and 0.50% per annum based on our first lien net leverage ratio. The borrower is also required to pay customary letter of credit fees. The First Lien Credit Facility amortizes in equal quarterly installments in aggregate annual amounts equal to 1.00% of the principal amount. The Amended Revolver has no amortization.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2025 Amended First Lien Credit Agreement requires the borrower to prepay outstanding term loans, subject to certain exceptions, with certain proceeds from non-ordinary course asset sales, issuance of debt not permitted by the credit agreement to be incurred and annual excess cash flows. Voluntary prepayments made in connection with certain repricing transactions on or before January 30, 2026, were subject to a 1.00% prepayment premium. Otherwise, the borrower may voluntarily prepay outstanding loans without premium or penalty, other than customary “breakage” costs. Voluntary prepayments reduce the remaining scheduled principal repayment obligations under the term loan.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2025 First Lien Credit Agreement contains customary affirmative covenants, negative covenants and events of default (including upon a change of control). The 2025 First Lien Credit Agreement also includes a “springing” first lien net leverage ratio test, applicable only to the Amended Revolver, that requires such ratio to be no greater than 7.75:1.00 on the last day of any fiscal quarter if more than 40.0% of the Amended Revolver is utilized on such date. See Note 5, “Debt,” to the condensed consolidated financial statements included elsewhere in this Quarterly Report on Form 10-Q for further information.</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the repurchase of up to $100.0 million of the Company’s common stock (the “2026 Repurchase Program”) with no expiration date.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2026 Repurchase Program.</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Cash Flow Analysis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Comparison of Cash Flows for the three months ended March 31, 2026 compared to the three months ended March 31,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is a summary of our cash flow activity for the periods presented: </w:t>
      </w:r>
    </w:p>
    <w:tbl>
      <w:tblPr>
        <w:tblW w:w="6221" w:type="dxa"/>
        <w:jc w:val="left"/>
        <w:tblInd w:w="0" w:type="dxa"/>
        <w:tblLayout w:type="fixed"/>
        <w:tblCellMar>
          <w:top w:w="28" w:type="dxa"/>
          <w:left w:w="28" w:type="dxa"/>
          <w:bottom w:w="28" w:type="dxa"/>
          <w:right w:w="28" w:type="dxa"/>
        </w:tblCellMar>
      </w:tblPr>
      <w:tblGrid>
        <w:gridCol w:w="3466"/>
        <w:gridCol w:w="146"/>
        <w:gridCol w:w="229"/>
        <w:gridCol w:w="801"/>
        <w:gridCol w:w="180"/>
        <w:gridCol w:w="158"/>
        <w:gridCol w:w="229"/>
        <w:gridCol w:w="80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left"/>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provided by operating activities was $49.4 million for the three months ended March 31, 2026, compared to $19.5 million for the three months ended March 31, 2025. Net cash provided by operating activities for the three months ended March 31, 2026 increased by $30.0 million compared to the three months ended March 31, 2025. Cash flows provided by operating activities were positively impacted by revenue growth from existing customers, new customer go-lives, and lower interest payments on the Company’s term loan and revolving credit facility. These favorable impacts were partially offset by higher working capital requirements, largely attributable to revenue growth and compensation payments in the first quarter of 2026.</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Investing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investing activities was $14.0 million for the three months ended March 31, 2026, compared to $11.1 million for the three months ended March 31, 2025. Net cash used in investing activities for the three months ended March 31, 2026 increased by $2.9 million compared to the three months ended March 31, 2025. The increase in cash flows used in investing activities was primarily due to increased spend on software development related to the Company’s screening platforms, partially offset by $2.0 million of cash proceeds from the sale of assets related to an adjacent product.</w:t>
      </w:r>
    </w:p>
    <w:p>
      <w:pPr>
        <w:pStyle w:val="TextBody"/>
        <w:bidi w:val="0"/>
        <w:spacing w:before="0" w:after="180"/>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Net cash used in financing activities was $44.3 million for the three months ended March 31, 2026, compared to $6.0 million for the three months ended March 31, 2025. Net cash used in financing activities for the three months ended March 31, 2026 was primarily driven by principal repayments of $25.0 million on the Company’s term loan and shares repurchased under the Company’s Repurchase Program. During the three months ended March 31, 2026, 1,734,778 shares were repurchased under the Repurchase Program at a total cost of $19.5 million.</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Contractual Obligations, Commitments, and Other 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2026, there have been no significant changes to our contractual obligations, commitments, and other contingencies compared with those disclosed in Part II, Item 7, “Management’s Discussion and Analysis of Financial Condition and Results of Operations” included in our 2025 Annual Report.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the condensed consolidated financial statements for disclosure of the impact that recent accounting pronouncements may have on the condensed consolidated financial statements.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2026, there have been no significant changes to our critical accounting policies and estimates compared with those disclosed in Part II, Item 7, “Management’s Discussion and Analysis of Financial Condition and Results of Operations” included in our 2025 Annual Report.</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no material change had occurred in our market risks, compared with the disclosure in our 2025 Annual Report.</w:t>
      </w:r>
    </w:p>
    <w:p>
      <w:pPr>
        <w:pStyle w:val="TextBody"/>
        <w:bidi w:val="0"/>
        <w:spacing w:before="180" w:after="18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officer), has evaluated the effectiveness of the design and operation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Information in response to this Item is included in “Part I — Item 1. — Note 11 — Commitments and Contingencies” and is incorporated by reference into Part II of this Quarterly Report on Form 10-Q.</w:t>
      </w:r>
    </w:p>
    <w:p>
      <w:pPr>
        <w:pStyle w:val="TextBody"/>
        <w:bidi w:val="0"/>
        <w:spacing w:before="180" w:after="18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in our risk factors, compared with the disclosure in our 2025 Annual Report.</w:t>
      </w:r>
    </w:p>
    <w:p>
      <w:pPr>
        <w:pStyle w:val="TextBody"/>
        <w:bidi w:val="0"/>
        <w:spacing w:before="180" w:after="180"/>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the repurchase of up to $100.0 million of the Company’s common stock with no expiration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share repurchases were made under the Company's publicly announced program, and there are no other programs under which the Company repurchases shares. The following information relates to the Company’s purchase of its common stock during each month within the first quarter of 2026:</w:t>
      </w:r>
    </w:p>
    <w:tbl>
      <w:tblPr>
        <w:tblW w:w="10205" w:type="dxa"/>
        <w:jc w:val="left"/>
        <w:tblInd w:w="0" w:type="dxa"/>
        <w:tblLayout w:type="fixed"/>
        <w:tblCellMar>
          <w:top w:w="28" w:type="dxa"/>
          <w:left w:w="28" w:type="dxa"/>
          <w:bottom w:w="28" w:type="dxa"/>
          <w:right w:w="28" w:type="dxa"/>
        </w:tblCellMar>
      </w:tblPr>
      <w:tblGrid>
        <w:gridCol w:w="1552"/>
        <w:gridCol w:w="146"/>
        <w:gridCol w:w="198"/>
        <w:gridCol w:w="1264"/>
        <w:gridCol w:w="146"/>
        <w:gridCol w:w="146"/>
        <w:gridCol w:w="249"/>
        <w:gridCol w:w="676"/>
        <w:gridCol w:w="146"/>
        <w:gridCol w:w="146"/>
        <w:gridCol w:w="320"/>
        <w:gridCol w:w="2045"/>
        <w:gridCol w:w="146"/>
        <w:gridCol w:w="146"/>
        <w:gridCol w:w="418"/>
        <w:gridCol w:w="2265"/>
        <w:gridCol w:w="196"/>
      </w:tblGrid>
      <w:tr>
        <w:trPr/>
        <w:tc>
          <w:tcPr>
            <w:tcW w:w="1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w:t>
              <w:br/>
              <w:t xml:space="preserve">Paid 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Dollar Value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through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through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through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80,507,914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80,507,914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Average price paid per share for shares purchased as part of our Repurchase Program (includes brokerage commissions).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18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of the Exchange Act) adopted, terminated, or modified a Rule 10b5-1 trading arrangement or non-Rule 10b5-1 trading arrangement (as such terms are defined in Item 408 of Regulation S-K).</w:t>
      </w:r>
    </w:p>
    <w:p>
      <w:pPr>
        <w:pStyle w:val="TextBody"/>
        <w:bidi w:val="0"/>
        <w:jc w:val="left"/>
        <w:rPr>
          <w:rFonts w:ascii="Times New Roman" w:hAnsi="Times New Roman"/>
          <w:i/>
          <w:color w:val="000000"/>
          <w:sz w:val="20"/>
        </w:rPr>
      </w:pPr>
      <w:r>
        <w:rPr>
          <w:rFonts w:ascii="Times New Roman" w:hAnsi="Times New Roman"/>
          <w:i/>
          <w:color w:val="000000"/>
          <w:sz w:val="20"/>
        </w:rPr>
        <w:t>Amendment to Employment Letter Agreement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May 7, 2026, the Company entered into an amendment to the employment letter agreement, dated May 31, 2017, with Joelle M. Smith, the Company’s President, to extend her severance period from six months to twelve months following a termination without Cause or resignation for Good Reason (as such terms are defined in the employment letter agreement). The Company’s Board of Directors, upon recommendation of the Compensation Committee, approved the amendment. All other terms related to severance under the original employment letter agreement remain applicable, as set forth in such agreement, which was filed as Exhibit 10.2 to the Company’s Quarterly Report on Form 10-Q, filed on May 10, 2023.</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12"/>
        <w:gridCol w:w="146"/>
        <w:gridCol w:w="9247"/>
      </w:tblGrid>
      <w:tr>
        <w:trPr/>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7" w:type="dxa"/>
            <w:tcBorders/>
            <w:vAlign w:val="center"/>
          </w:tcPr>
          <w:p>
            <w:pPr>
              <w:pStyle w:val="TableContents"/>
              <w:bidi w:val="0"/>
              <w:spacing w:before="0" w:after="283"/>
              <w:jc w:val="left"/>
              <w:rPr>
                <w:sz w:val="4"/>
                <w:szCs w:val="4"/>
              </w:rPr>
            </w:pPr>
            <w:r>
              <w:rPr>
                <w:sz w:val="4"/>
                <w:szCs w:val="4"/>
              </w:rPr>
            </w:r>
          </w:p>
        </w:tc>
      </w:tr>
      <w:tr>
        <w:trPr/>
        <w:tc>
          <w:tcPr>
            <w:tcW w:w="81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First Advantage Corporation (incorporated herein by reference to Exhibit 3.1 of First Advantage Corporation’s Form 8-K filed on June 25, 2021).</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First Advantage Corporation (incorporated herein by reference to Exhibit 3.2 of First Advantage Corporation’s Form 8-K filed on June 25, 2021).</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1636"/>
        <w:gridCol w:w="109"/>
        <w:gridCol w:w="406"/>
        <w:gridCol w:w="52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ADVANTAGE CORPORATION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fa-ex31_1.htm"/>
      <w:bookmarkStart w:id="22" w:name="ksfa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Scott Staples,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642" w:type="dxa"/>
        <w:jc w:val="left"/>
        <w:tblInd w:w="0" w:type="dxa"/>
        <w:tblLayout w:type="fixed"/>
        <w:tblCellMar>
          <w:top w:w="28" w:type="dxa"/>
          <w:left w:w="28" w:type="dxa"/>
          <w:bottom w:w="28" w:type="dxa"/>
          <w:right w:w="28" w:type="dxa"/>
        </w:tblCellMar>
      </w:tblPr>
      <w:tblGrid>
        <w:gridCol w:w="1636"/>
        <w:gridCol w:w="109"/>
        <w:gridCol w:w="406"/>
        <w:gridCol w:w="249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fa-ex31_2.htm"/>
      <w:bookmarkStart w:id="24" w:name="ksfa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Steven Marks, certify that: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First Advantage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607" w:type="dxa"/>
        <w:jc w:val="left"/>
        <w:tblInd w:w="0" w:type="dxa"/>
        <w:tblLayout w:type="fixed"/>
        <w:tblCellMar>
          <w:top w:w="28" w:type="dxa"/>
          <w:left w:w="28" w:type="dxa"/>
          <w:bottom w:w="28" w:type="dxa"/>
          <w:right w:w="28" w:type="dxa"/>
        </w:tblCellMar>
      </w:tblPr>
      <w:tblGrid>
        <w:gridCol w:w="1636"/>
        <w:gridCol w:w="109"/>
        <w:gridCol w:w="406"/>
        <w:gridCol w:w="44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a-ex32_1.htm"/>
      <w:bookmarkStart w:id="26" w:name="ksfa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642" w:type="dxa"/>
        <w:jc w:val="left"/>
        <w:tblInd w:w="0" w:type="dxa"/>
        <w:tblLayout w:type="fixed"/>
        <w:tblCellMar>
          <w:top w:w="28" w:type="dxa"/>
          <w:left w:w="28" w:type="dxa"/>
          <w:bottom w:w="28" w:type="dxa"/>
          <w:right w:w="28" w:type="dxa"/>
        </w:tblCellMar>
      </w:tblPr>
      <w:tblGrid>
        <w:gridCol w:w="1636"/>
        <w:gridCol w:w="109"/>
        <w:gridCol w:w="406"/>
        <w:gridCol w:w="249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Scott Staples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TextBody"/>
        <w:bidi w:val="0"/>
        <w:jc w:val="center"/>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a-ex32_2.htm"/>
      <w:bookmarkStart w:id="28" w:name="ksfa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First Advantage Corporation (the “Company”) for the quarter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607" w:type="dxa"/>
        <w:jc w:val="left"/>
        <w:tblInd w:w="0" w:type="dxa"/>
        <w:tblLayout w:type="fixed"/>
        <w:tblCellMar>
          <w:top w:w="28" w:type="dxa"/>
          <w:left w:w="28" w:type="dxa"/>
          <w:bottom w:w="28" w:type="dxa"/>
          <w:right w:w="28" w:type="dxa"/>
        </w:tblCellMar>
      </w:tblPr>
      <w:tblGrid>
        <w:gridCol w:w="1636"/>
        <w:gridCol w:w="109"/>
        <w:gridCol w:w="406"/>
        <w:gridCol w:w="445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Marks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Executive Vice President &amp;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119312521200542/d12470dex31.htm" TargetMode="External"/><Relationship Id="rId3" Type="http://schemas.openxmlformats.org/officeDocument/2006/relationships/hyperlink" Target="https://www.sec.gov/Archives/edgar/data/1210677/000119312521200542/d12470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19245</Words>
  <Characters>109736</Characters>
  <CharactersWithSpaces>129587</CharactersWithSpaces>
  <Paragraphs>4824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