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78702ds3asr.htm"/>
        <w:bookmarkStart w:id="1" w:name="ksd178702ds3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August 10, 2026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FORM S-3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First Advantage Corporation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0"/>
        <w:gridCol w:w="3267"/>
        <w:gridCol w:w="100"/>
        <w:gridCol w:w="3267"/>
      </w:tblGrid>
      <w:tr>
        <w:trPr/>
        <w:tc>
          <w:tcPr>
            <w:tcW w:w="347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7374</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84-3884690</w:t>
            </w:r>
          </w:p>
        </w:tc>
      </w:tr>
      <w:tr>
        <w:trPr/>
        <w:tc>
          <w:tcPr>
            <w:tcW w:w="3471" w:type="dxa"/>
            <w:tcBorders/>
          </w:tcPr>
          <w:p>
            <w:pPr>
              <w:pStyle w:val="TableContents"/>
              <w:bidi w:val="0"/>
              <w:spacing w:before="0" w:after="283"/>
              <w:jc w:val="center"/>
              <w:rPr>
                <w:b/>
              </w:rPr>
            </w:pPr>
            <w:r>
              <w:rPr>
                <w:b/>
              </w:rPr>
              <w:t>(State or other jurisdiction of</w:t>
              <w:br/>
              <w:t>incorporation or organization)</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(Primary Standard Industrial</w:t>
            </w:r>
          </w:p>
          <w:p>
            <w:pPr>
              <w:pStyle w:val="TableContents"/>
              <w:bidi w:val="0"/>
              <w:spacing w:before="0" w:after="20"/>
              <w:jc w:val="center"/>
              <w:rPr>
                <w:rFonts w:ascii="Times New Roman" w:hAnsi="Times New Roman"/>
                <w:b/>
                <w:sz w:val="16"/>
              </w:rPr>
            </w:pPr>
            <w:r>
              <w:rPr>
                <w:rFonts w:ascii="Times New Roman" w:hAnsi="Times New Roman"/>
                <w:b/>
                <w:sz w:val="16"/>
              </w:rPr>
              <w:t>Classification Code Number)</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18"/>
        </w:rPr>
      </w:pPr>
      <w:r>
        <w:rPr>
          <w:rFonts w:ascii="Times New Roman" w:hAnsi="Times New Roman"/>
          <w:b/>
          <w:sz w:val="18"/>
        </w:rPr>
        <w:t xml:space="preserve">1 Concourse Parkway NE, Suite 200 </w:t>
      </w:r>
    </w:p>
    <w:p>
      <w:pPr>
        <w:pStyle w:val="TextBody"/>
        <w:bidi w:val="0"/>
        <w:spacing w:before="0" w:after="0"/>
        <w:jc w:val="center"/>
        <w:rPr>
          <w:rFonts w:ascii="Times New Roman" w:hAnsi="Times New Roman"/>
          <w:b/>
          <w:sz w:val="18"/>
        </w:rPr>
      </w:pPr>
      <w:r>
        <w:rPr>
          <w:rFonts w:ascii="Times New Roman" w:hAnsi="Times New Roman"/>
          <w:b/>
          <w:sz w:val="18"/>
        </w:rPr>
        <w:t xml:space="preserve">Atlanta, Georgia 30328 </w:t>
      </w:r>
    </w:p>
    <w:p>
      <w:pPr>
        <w:pStyle w:val="TextBody"/>
        <w:bidi w:val="0"/>
        <w:spacing w:before="0" w:after="0"/>
        <w:jc w:val="center"/>
        <w:rPr>
          <w:rFonts w:ascii="Times New Roman" w:hAnsi="Times New Roman"/>
          <w:b/>
          <w:sz w:val="18"/>
        </w:rPr>
      </w:pPr>
      <w:r>
        <w:rPr>
          <w:rFonts w:ascii="Times New Roman" w:hAnsi="Times New Roman"/>
          <w:b/>
          <w:sz w:val="18"/>
        </w:rPr>
        <w:t xml:space="preserve">(678) 868-4151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8"/>
        </w:rPr>
      </w:pPr>
      <w:r>
        <w:rPr>
          <w:rFonts w:ascii="Times New Roman" w:hAnsi="Times New Roman"/>
          <w:b/>
          <w:sz w:val="18"/>
        </w:rPr>
        <w:t xml:space="preserve">Bret T. Jardine </w:t>
      </w:r>
    </w:p>
    <w:p>
      <w:pPr>
        <w:pStyle w:val="TextBody"/>
        <w:bidi w:val="0"/>
        <w:spacing w:before="0" w:after="0"/>
        <w:jc w:val="center"/>
        <w:rPr>
          <w:rFonts w:ascii="Times New Roman" w:hAnsi="Times New Roman"/>
          <w:b/>
          <w:sz w:val="18"/>
        </w:rPr>
      </w:pPr>
      <w:r>
        <w:rPr>
          <w:rFonts w:ascii="Times New Roman" w:hAnsi="Times New Roman"/>
          <w:b/>
          <w:sz w:val="18"/>
        </w:rPr>
        <w:t xml:space="preserve">Chief Legal Officer and Corporate Secretary </w:t>
      </w:r>
    </w:p>
    <w:p>
      <w:pPr>
        <w:pStyle w:val="TextBody"/>
        <w:bidi w:val="0"/>
        <w:spacing w:before="0" w:after="0"/>
        <w:jc w:val="center"/>
        <w:rPr>
          <w:rFonts w:ascii="Times New Roman" w:hAnsi="Times New Roman"/>
          <w:b/>
          <w:sz w:val="18"/>
        </w:rPr>
      </w:pPr>
      <w:r>
        <w:rPr>
          <w:rFonts w:ascii="Times New Roman" w:hAnsi="Times New Roman"/>
          <w:b/>
          <w:sz w:val="18"/>
        </w:rPr>
        <w:t xml:space="preserve">First Advantage Corporation </w:t>
      </w:r>
    </w:p>
    <w:p>
      <w:pPr>
        <w:pStyle w:val="TextBody"/>
        <w:bidi w:val="0"/>
        <w:spacing w:before="0" w:after="0"/>
        <w:jc w:val="center"/>
        <w:rPr>
          <w:rFonts w:ascii="Times New Roman" w:hAnsi="Times New Roman"/>
          <w:b/>
          <w:sz w:val="18"/>
        </w:rPr>
      </w:pPr>
      <w:r>
        <w:rPr>
          <w:rFonts w:ascii="Times New Roman" w:hAnsi="Times New Roman"/>
          <w:b/>
          <w:sz w:val="18"/>
        </w:rPr>
        <w:t xml:space="preserve">1 Concourse Parkway NE, Suite 200 </w:t>
      </w:r>
    </w:p>
    <w:p>
      <w:pPr>
        <w:pStyle w:val="TextBody"/>
        <w:bidi w:val="0"/>
        <w:spacing w:before="0" w:after="0"/>
        <w:jc w:val="center"/>
        <w:rPr>
          <w:rFonts w:ascii="Times New Roman" w:hAnsi="Times New Roman"/>
          <w:b/>
          <w:sz w:val="18"/>
        </w:rPr>
      </w:pPr>
      <w:r>
        <w:rPr>
          <w:rFonts w:ascii="Times New Roman" w:hAnsi="Times New Roman"/>
          <w:b/>
          <w:sz w:val="18"/>
        </w:rPr>
        <w:t xml:space="preserve">Atlanta, Georgia 30328 </w:t>
      </w:r>
    </w:p>
    <w:p>
      <w:pPr>
        <w:pStyle w:val="TextBody"/>
        <w:bidi w:val="0"/>
        <w:spacing w:before="0" w:after="0"/>
        <w:jc w:val="center"/>
        <w:rPr>
          <w:rFonts w:ascii="Times New Roman" w:hAnsi="Times New Roman"/>
          <w:b/>
          <w:sz w:val="18"/>
        </w:rPr>
      </w:pPr>
      <w:r>
        <w:rPr>
          <w:rFonts w:ascii="Times New Roman" w:hAnsi="Times New Roman"/>
          <w:b/>
          <w:sz w:val="18"/>
        </w:rPr>
        <w:t xml:space="preserve">(678) 868-4151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registrant’s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18"/>
        </w:rPr>
      </w:pPr>
      <w:r>
        <w:rPr>
          <w:rFonts w:ascii="Times New Roman" w:hAnsi="Times New Roman"/>
          <w:b/>
          <w:i/>
          <w:sz w:val="18"/>
        </w:rPr>
        <w:t xml:space="preserve">With copies to: </w:t>
      </w:r>
    </w:p>
    <w:p>
      <w:pPr>
        <w:pStyle w:val="TextBody"/>
        <w:bidi w:val="0"/>
        <w:spacing w:before="120" w:after="0"/>
        <w:jc w:val="center"/>
        <w:rPr>
          <w:rFonts w:ascii="Times New Roman" w:hAnsi="Times New Roman"/>
          <w:b/>
          <w:sz w:val="18"/>
        </w:rPr>
      </w:pPr>
      <w:r>
        <w:rPr>
          <w:rFonts w:ascii="Times New Roman" w:hAnsi="Times New Roman"/>
          <w:b/>
          <w:sz w:val="18"/>
        </w:rPr>
        <w:t xml:space="preserve">Kenneth B. Wallach, Esq. </w:t>
      </w:r>
    </w:p>
    <w:p>
      <w:pPr>
        <w:pStyle w:val="TextBody"/>
        <w:bidi w:val="0"/>
        <w:spacing w:before="0" w:after="0"/>
        <w:jc w:val="center"/>
        <w:rPr>
          <w:rFonts w:ascii="Times New Roman" w:hAnsi="Times New Roman"/>
          <w:b/>
          <w:sz w:val="18"/>
        </w:rPr>
      </w:pPr>
      <w:r>
        <w:rPr>
          <w:rFonts w:ascii="Times New Roman" w:hAnsi="Times New Roman"/>
          <w:b/>
          <w:sz w:val="18"/>
        </w:rPr>
        <w:t xml:space="preserve">Xiaohui (Hui) Lin, Esq. </w:t>
      </w:r>
    </w:p>
    <w:p>
      <w:pPr>
        <w:pStyle w:val="TextBody"/>
        <w:bidi w:val="0"/>
        <w:spacing w:before="0" w:after="0"/>
        <w:jc w:val="center"/>
        <w:rPr>
          <w:rFonts w:ascii="Times New Roman" w:hAnsi="Times New Roman"/>
          <w:b/>
          <w:sz w:val="18"/>
        </w:rPr>
      </w:pPr>
      <w:r>
        <w:rPr>
          <w:rFonts w:ascii="Times New Roman" w:hAnsi="Times New Roman"/>
          <w:b/>
          <w:sz w:val="18"/>
        </w:rPr>
        <w:t xml:space="preserve">Simpson Thacher &amp; Bartlett LLP </w:t>
      </w:r>
    </w:p>
    <w:p>
      <w:pPr>
        <w:pStyle w:val="TextBody"/>
        <w:bidi w:val="0"/>
        <w:spacing w:before="0" w:after="0"/>
        <w:jc w:val="center"/>
        <w:rPr>
          <w:rFonts w:ascii="Times New Roman" w:hAnsi="Times New Roman"/>
          <w:b/>
          <w:sz w:val="18"/>
        </w:rPr>
      </w:pPr>
      <w:r>
        <w:rPr>
          <w:rFonts w:ascii="Times New Roman" w:hAnsi="Times New Roman"/>
          <w:b/>
          <w:sz w:val="18"/>
        </w:rPr>
        <w:t xml:space="preserve">425 Lexington Avenue </w:t>
      </w:r>
    </w:p>
    <w:p>
      <w:pPr>
        <w:pStyle w:val="TextBody"/>
        <w:bidi w:val="0"/>
        <w:spacing w:before="0" w:after="0"/>
        <w:jc w:val="center"/>
        <w:rPr>
          <w:rFonts w:ascii="Times New Roman" w:hAnsi="Times New Roman"/>
          <w:b/>
          <w:sz w:val="18"/>
        </w:rPr>
      </w:pPr>
      <w:r>
        <w:rPr>
          <w:rFonts w:ascii="Times New Roman" w:hAnsi="Times New Roman"/>
          <w:b/>
          <w:sz w:val="18"/>
        </w:rPr>
        <w:t xml:space="preserve">New York, New York 10017 </w:t>
      </w:r>
    </w:p>
    <w:p>
      <w:pPr>
        <w:pStyle w:val="TextBody"/>
        <w:bidi w:val="0"/>
        <w:spacing w:before="0" w:after="0"/>
        <w:jc w:val="center"/>
        <w:rPr>
          <w:rFonts w:ascii="Times New Roman" w:hAnsi="Times New Roman"/>
          <w:b/>
          <w:sz w:val="18"/>
        </w:rPr>
      </w:pPr>
      <w:r>
        <w:rPr>
          <w:rFonts w:ascii="Times New Roman" w:hAnsi="Times New Roman"/>
          <w:b/>
          <w:sz w:val="18"/>
        </w:rPr>
        <w:t xml:space="preserve">(212) 455-2000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8"/>
        </w:rPr>
      </w:pPr>
      <w:r>
        <w:rPr>
          <w:rFonts w:ascii="Times New Roman" w:hAnsi="Times New Roman"/>
          <w:sz w:val="18"/>
        </w:rPr>
        <w:t xml:space="preserve">Approximate date of commencement of proposed sale to the public: From time to time after the effective date of this Registration Statement. </w:t>
      </w:r>
    </w:p>
    <w:p>
      <w:pPr>
        <w:pStyle w:val="TextBody"/>
        <w:bidi w:val="0"/>
        <w:spacing w:before="24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24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24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24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24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57"/>
        <w:gridCol w:w="103"/>
        <w:gridCol w:w="4836"/>
        <w:gridCol w:w="120"/>
        <w:gridCol w:w="2645"/>
        <w:gridCol w:w="103"/>
        <w:gridCol w:w="241"/>
      </w:tblGrid>
      <w:tr>
        <w:trPr/>
        <w:tc>
          <w:tcPr>
            <w:tcW w:w="215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3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36"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645"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r>
        <w:trPr>
          <w:trHeight w:val="120" w:hRule="atLeast"/>
        </w:trPr>
        <w:tc>
          <w:tcPr>
            <w:tcW w:w="2157" w:type="dxa"/>
            <w:tcBorders/>
            <w:vAlign w:val="center"/>
          </w:tcPr>
          <w:p>
            <w:pPr>
              <w:pStyle w:val="TableContents"/>
              <w:bidi w:val="0"/>
              <w:spacing w:before="0" w:after="283"/>
              <w:jc w:val="left"/>
              <w:rPr>
                <w:sz w:val="4"/>
                <w:szCs w:val="4"/>
              </w:rPr>
            </w:pPr>
            <w:r>
              <w:rPr>
                <w:sz w:val="4"/>
                <w:szCs w:val="4"/>
              </w:rPr>
            </w:r>
          </w:p>
        </w:tc>
        <w:tc>
          <w:tcPr>
            <w:tcW w:w="4939" w:type="dxa"/>
            <w:gridSpan w:val="2"/>
            <w:tcBorders/>
            <w:vAlign w:val="center"/>
          </w:tcPr>
          <w:p>
            <w:pPr>
              <w:pStyle w:val="TableContents"/>
              <w:bidi w:val="0"/>
              <w:spacing w:before="0" w:after="283"/>
              <w:jc w:val="left"/>
              <w:rPr>
                <w:sz w:val="4"/>
                <w:szCs w:val="4"/>
              </w:rPr>
            </w:pPr>
            <w:r>
              <w:rPr>
                <w:sz w:val="4"/>
                <w:szCs w:val="4"/>
              </w:rPr>
            </w:r>
          </w:p>
        </w:tc>
        <w:tc>
          <w:tcPr>
            <w:tcW w:w="2765"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r>
      <w:tr>
        <w:trPr/>
        <w:tc>
          <w:tcPr>
            <w:tcW w:w="215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36"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645"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r>
        <w:trPr>
          <w:trHeight w:val="120" w:hRule="atLeast"/>
        </w:trPr>
        <w:tc>
          <w:tcPr>
            <w:tcW w:w="2157" w:type="dxa"/>
            <w:tcBorders/>
            <w:vAlign w:val="center"/>
          </w:tcPr>
          <w:p>
            <w:pPr>
              <w:pStyle w:val="TableContents"/>
              <w:bidi w:val="0"/>
              <w:spacing w:before="0" w:after="283"/>
              <w:jc w:val="left"/>
              <w:rPr>
                <w:sz w:val="4"/>
                <w:szCs w:val="4"/>
              </w:rPr>
            </w:pPr>
            <w:r>
              <w:rPr>
                <w:sz w:val="4"/>
                <w:szCs w:val="4"/>
              </w:rPr>
            </w:r>
          </w:p>
        </w:tc>
        <w:tc>
          <w:tcPr>
            <w:tcW w:w="4939" w:type="dxa"/>
            <w:gridSpan w:val="2"/>
            <w:tcBorders/>
            <w:vAlign w:val="center"/>
          </w:tcPr>
          <w:p>
            <w:pPr>
              <w:pStyle w:val="TableContents"/>
              <w:bidi w:val="0"/>
              <w:spacing w:before="0" w:after="283"/>
              <w:jc w:val="left"/>
              <w:rPr>
                <w:sz w:val="4"/>
                <w:szCs w:val="4"/>
              </w:rPr>
            </w:pPr>
            <w:r>
              <w:rPr>
                <w:sz w:val="4"/>
                <w:szCs w:val="4"/>
              </w:rPr>
            </w:r>
          </w:p>
        </w:tc>
        <w:tc>
          <w:tcPr>
            <w:tcW w:w="2765"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r>
      <w:tr>
        <w:trPr/>
        <w:tc>
          <w:tcPr>
            <w:tcW w:w="215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3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45"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36"/>
        </w:rPr>
      </w:pPr>
      <w:r>
        <w:rPr>
          <w:rFonts w:ascii="Times New Roman" w:hAnsi="Times New Roman"/>
          <w:b/>
          <w:sz w:val="36"/>
        </w:rPr>
        <w:t xml:space="preserve">87,450,000 Shares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5623560" cy="898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23560" cy="8985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FIRST ADVANTAGE CORPORATION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offer and sale from time to time of up to 87,450,000 shares of First Advantage Corporation common stock, par value $0.001 per share, by the selling stockholder identified in this prospectus or in supplements to this prospectus. See “Selling Stockholder.” The registration of the shares of common stock to which this prospectus relates does not require the selling stockholder to sell any of its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our common stock by the selling stockholder, but we have agreed to pay certain registration expenses, other than underwriting discounts and commissions. The selling stockholder may from time to time offer and sell the shares held by it directly or through underwriters, agents or broker-dealers on terms to be determined at the time of sale, as described in more detail in this prospectus. For more information,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(“Nasdaq”), under the symbol “FA.” On August 7, 2026, the closing sales price of our common stock as reported on Nasdaq was $24.01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risks. Before making a decision to invest in our common stock, you should refer to the risk factors included in our periodic reports, in any applicable prospectus supplements relating to specific offerings and in other information that we file with the Securities and Exchange Commission (the “SEC”) that are incorporated by reference herein or therein. See “</w:t>
      </w:r>
      <w:hyperlink w:anchor="tx178702_4">
        <w:r>
          <w:rPr>
            <w:rStyle w:val="InternetLink"/>
            <w:rFonts w:ascii="Times New Roman" w:hAnsi="Times New Roman"/>
            <w:b/>
            <w:sz w:val="24"/>
          </w:rPr>
          <w:t>Risk Factors</w:t>
        </w:r>
      </w:hyperlink>
      <w:r>
        <w:rPr>
          <w:rFonts w:ascii="Times New Roman" w:hAnsi="Times New Roman"/>
          <w:b/>
          <w:sz w:val="24"/>
        </w:rPr>
        <w:t xml:space="preserve">” beginning on page 7 of this 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10,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78702_1">
              <w:r>
                <w:rPr>
                  <w:rStyle w:val="InternetLink"/>
                  <w:rFonts w:ascii="Times New Roman" w:hAnsi="Times New Roman"/>
                  <w:sz w:val="20"/>
                </w:rPr>
                <w:t>INDUSTRY AND MARKET DATA</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iii</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78702_2">
              <w:r>
                <w:rPr>
                  <w:rStyle w:val="InternetLink"/>
                  <w:rFonts w:ascii="Times New Roman" w:hAnsi="Times New Roman"/>
                  <w:sz w:val="20"/>
                </w:rPr>
                <w:t>TRADEMARKS, SERVICE MARKS, AND TRADENAMES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iv</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78702_3">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78702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78702_5">
              <w:r>
                <w:rPr>
                  <w:rStyle w:val="InternetLink"/>
                  <w:rFonts w:ascii="Times New Roman" w:hAnsi="Times New Roman"/>
                  <w:sz w:val="20"/>
                </w:rPr>
                <w:t>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78702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78702_7">
              <w:r>
                <w:rPr>
                  <w:rStyle w:val="InternetLink"/>
                  <w:rFonts w:ascii="Times New Roman" w:hAnsi="Times New Roman"/>
                  <w:sz w:val="20"/>
                </w:rPr>
                <w:t>SELLING STOCKHOLDER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78702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78702_9">
              <w:r>
                <w:rPr>
                  <w:rStyle w:val="InternetLink"/>
                  <w:rFonts w:ascii="Times New Roman" w:hAnsi="Times New Roman"/>
                  <w:sz w:val="20"/>
                </w:rPr>
                <w:t>CERTAIN UNITED STATES FEDERAL INCOME TAX CONSEQUENCES TO NON-U.S. 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78702_1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78702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78702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78702_1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178702_14">
              <w:r>
                <w:rPr>
                  <w:rStyle w:val="InternetLink"/>
                  <w:rFonts w:ascii="Times New Roman" w:hAnsi="Times New Roman"/>
                  <w:sz w:val="20"/>
                </w:rPr>
                <w:t>INFORMATION INCORPORATED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any amendment or supplement to this prospectus, or any free writing prospectus we may authorize to be delivered or made available to you. Neither we nor the selling stockholder or the underwriters, if any, have authorized anyone to provide you with information or to make any representations different from those contained or incorporated by reference in this prospectus, any amendment or supplement to this prospectus, or any free writing prospectus prepared by us or on our behalf. Neither we nor the selling stockholder or the underwriters, if any, take any responsibility for, or can provide any assurance as to the reliability of, any information other than the information contained or incorporated by reference in this prospectus, any amendment or supplement to this prospectus, or any free writing prospectus prepared by us or on our behalf. This prospectus, any amendment or supplement to this prospectus, or any applicable free writing prospectus is an offer to sell only the shares of common stock offered hereby from time to time, but only under circumstances where it is lawful to do so. The selling stockholder is not offering to sell shares of our common stock in any jurisdiction where an offer or sale is not permitted. The information contained in or incorporated by reference in this prospectus is accurate only as of the date of this prospectus, regardless of the time of delivery of this prospectus, any amendment or supplement to this prospectus, or any applicable free writing prospectus, as the case may be, or any sale of shares of our common stock. Our business, results of operations, and financial condition may have changed since such date.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have filed with the SEC using a “shelf” registration process. Under the shelf registration process, the selling stockholder may, from time to time, offer and sell the shares of common stock described in this prospectus and in any accompanying prospectus supplement in one or more transactions. This prospectus provides you with a general description of the shares of common stock the selling stockholder may offer. Each time the selling stockholder sells shares of our common stock using this prospectus, to the extent necessary, we will provide a prospectus supplement that will contain specific information about the terms of that offering, including the number of shares being offered, the manner of distribution, the identity of any underwriters or other counterparties, and other specific terms related to the offering. We may also authorize one or more free writing prospectuses to be provided to you that may contain material information relating to these offerings. The prospectus supplement may also add, update, or change information contained or incorporated by reference in this prospectus. To the extent that any statement made in an accompanying prospectus supplement or free writing prospectus is inconsistent with statements made in this prospectus, the statements made in this prospectus will be deemed modified or superseded by those made in the accompanying prospectus supplement or free writing prospectus, as the case may be. You should read both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prospectus and any prospectus supplement together, along with the information incorporated by reference herein or therein and any free writing prospectus prepared by us or on our behalf.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of the United States, neither we nor the selling stockholder or the underwriters, if any, have done anything that would permit an offering of shares of our common stock or the possession or distribution of this prospectus, any amendment or supplement to this prospectus, or any applicable free writing prospectus, in any jurisdiction where action for that purpose is required, other than in the United States. You are required to inform yourselves about and to observe any restrictions relating to an offering of shares of common stock and the possession or distribution of this prospectus, any amendment or supplement to this prospectus, or any applicable free writing prospectus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78702_1"/>
      <w:bookmarkEnd w:id="3"/>
      <w:r>
        <w:rPr>
          <w:rFonts w:ascii="Times New Roman" w:hAnsi="Times New Roman"/>
          <w:b/>
          <w:sz w:val="20"/>
        </w:rPr>
        <w:t xml:space="preserve">INDUSTRY AND MARKET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and any prospectus supplement or free writing prospectus may contain information and statistics that we have obtained from various independent third- party sources, including independent industry publications, reports by market research firms, and other independent sources. Certain data and other information contained or incorporated by reference in this prospectus, any prospectus supplement or applicable free writing prospectus, including information with respect to our market position, are also based on management’s estimates and calculations, which are derived from our review and interpretation of internal surveys and third-party sources. Data regarding the industries in which we compete and our market position and market share within these industries are inherently imprecise, require the making of certain assumptions and are subject to significant business, economic and competitive uncertainties beyond our control, but we believe they generally indicate size, position and market share within these industries. Statements regarding the Company’s leading position are based on market share as calculated by revenue. While we believe such information is reliable, we have not independently verified any third-party information and our internal data has not been verified by any independent source. While we believe our internal company research and estimates are reliable, such research and estimates have not been verified by any independent source. In addition, assumptions and estimates of our and our industry’s future performance are necessarily subject to a high degree of uncertainty and risk due to a variety of factors, including those described in “Risk Factors” in this prospectus, and under similar headings in other documents that are incorporated by reference herein. These and other factors could cause our future performance to differ materially from our assumptions and estimates. See “Forward-Looking Statements.” As a result, you should be aware that market, ranking, and other similar industry data included in this prospectus, and estimates and beliefs based on that data may not be reliable. None of us, the selling stockholder and any underwriters can guarantee the accuracy or completeness of any such information contained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78702_2"/>
      <w:bookmarkEnd w:id="4"/>
      <w:r>
        <w:rPr>
          <w:rFonts w:ascii="Times New Roman" w:hAnsi="Times New Roman"/>
          <w:b/>
          <w:sz w:val="20"/>
        </w:rPr>
        <w:t xml:space="preserve">TRADEMARKS, SERVICE MARKS, AND TRADENAMES </w:t>
      </w:r>
    </w:p>
    <w:p>
      <w:pPr>
        <w:pStyle w:val="TextBody"/>
        <w:bidi w:val="0"/>
        <w:spacing w:before="240" w:after="0"/>
        <w:jc w:val="left"/>
        <w:rPr>
          <w:rFonts w:ascii="Times New Roman" w:hAnsi="Times New Roman"/>
          <w:sz w:val="20"/>
        </w:rPr>
      </w:pPr>
      <w:r>
        <w:rPr>
          <w:rFonts w:ascii="Times New Roman" w:hAnsi="Times New Roman"/>
          <w:sz w:val="20"/>
        </w:rPr>
        <w:t xml:space="preserve">We own a number of registered and common law trademarks and pending applications for trademark registrations in the United States and other countries, including, for example: First Advantage, Profile Advantage, Enterprise Advantage, Insight Advantage, Verified!, Roadready, Sterling, Corporate Screening, among others. Unless otherwise indicated, all trademarks, tradenames, and service marks appearing in this prospectus or incorporated by reference herein are proprietary to us, our affiliates, and/or licensors. This prospectus and the documents incorporated by reference herein also contain trademarks, tradenames, and service marks of other companies, which are the property of their respective owners. Solely for convenience, the trademarks, tradenames, and service marks referred to in this prospectus and in the information incorporated by reference herein may appear without the ® and  symbols, but such references are not intended to indicate, in any way, that we will not assert, to the fullest extent under applicable law, our rights or the rights of the applicable licensors to these trademarks, tradenames, and service marks. We do not intend our use or display of other parties’ trademarks, tradenames, or service marks to imply, and such use or display should not be construed to imply, a relationship with, or endorsement or sponsorship of us by, these other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x178702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selected information contained elsewhere or incorporated by reference in this prospectus or any prospectus supplement and does not contain all of the information that you should consider before deciding to invest in our common stock. You should read the entire prospectus, any applicable prospectus supplement, and the documents incorporated herein or therein carefully, including “Risk Factors” and our consolidated financial statements and related notes incorporated by reference into this prospectus, before making an investment decision. This summary contains forward-looking statements that involve risks and uncertainties.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or the context otherwise requires, references in this prospectus to the “Company,” “First Advantage,” “we,” “us,” and “our” means the business of First Advantage Corporation and its subsidiaries.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First Advantage Corporation (“First Advantage” or the “Company”) is a global software and data company. We provide comprehensive, end-to-end identity solutions, criminal background screening, credential verifications, drug and health screening, and continuous risk monitoring. Combining AI-powered proprietary technology platforms with proprietary data, primary source data, and third-party data, we help organizations hire with confidence and manage risk across the entire employee lifecycle.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transform screening data into actionable intelligence—with benchmarking, insights, and continuous monitoring that help organizations make smarter workforce decisions.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With over 80,000 customers worldwide—including approximately two-thirds of the Fortune 100—we deliver fast, comprehensive, and reliable identity verification, screening, and monitoring solutions for employers, their candidates, and their employees. We conduct more than 200 million screens annually across over 200 countries and territories, supported by decades of experience and proprietary databases containing over 1 billion records.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Identity, trust, and the way people work are shifting faster than ever. Organizations face unprecedented challenges: generative artificial intelligence (“AI”) and deepfake enabled identity-fraud, increasing regulatory complexity, borderless, distributed workforces, gig-based employment models, high churn and rapid role-switching, hybrid hiring, and social media risks. In this environment, identity can no longer be verified once; it must be actively understood, verified at multiple points in the employee lifecycle, and intelligently managed. First Advantage is well positioned to be a leader in this transformation, advancing the industry from fragmented, point-in-time checks to regular and persistent identity and background checks across the full employee lifecycle.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expertise and resources position us to grow market share by focusing on strategic industries and companies, increasing our share with existing customers, upselling and cross-selling products and solutions, and winning new customers. We engage multiple stakeholders within customer organizations, including Executive Management, Human Resources, Talent Acquisition, Compliance, Risk, Legal, Safety, and Vendor Management, who rely on our products and solutions.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verticalized go-to-market strategy delivers highly relevant products and solutions for targeted industry sectors, enabling us to build a diversified customer portfolio and effectively serve many of the largest, most sophisticated, and fastest-growing companies in the world. We have built a powerful, efficient customer-centric sales model, fueled by frequent customer engagement and deep subject-matter expertise in industry-specific compliance and regulatory requirements, which enables us to create meaningful, scalable products and solutions and drive consistent new business, upsell and cross-sell opportunities.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combination of our deep market expertise from our sales and support teams with the flexibility of our proprietary technology platforms enables us to deliver industry-relevant, highly specialized solutions to our customers in a scalable manner, driving growth and differentiating us from our competitors. This has allowed us to develop a highly trusted brand and long-standing relationships with our customers, as evidenced by our high customer satisfaction scores, average over 13-year tenure of our top 100 customers, and gross retention rate of approximately 96% as of December 31,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technology is highly configurable, scalable, and extensible, integrating with more than 100 third-party Human Capital Management (“HCM”) software platforms and Applicant Tracking Systems (“ATS”) to provide visibility and input into our customers’ human resources processes which informs our development of products and services for them. Our AI-powered platforms deliver automated process outputs including anomaly detection, analytical insights, and continuous monitoring reports, transforming screening data into actionable insights and benchmarking capabilities. We leverage our proprietary internal databases, which include over 1 billion US criminal, education, and work history records as of December 31, 2025, and an extensive, highly curated network of thousands of automated, integrated primary source and third-party data providers. With approximately 90% of U.S. criminal record screenings completed in one day, we deliver fast turnaround times without sacrificing quality or compliance.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remain focused on leveraging our deep industry expertise with advanced technologies to deliver comprehensive identity solutions, while driving exceptional customer value through continuous product innovation. Our roadmap is defined by perpetual evolution: introducing frequent updates and new features that anticipate and respond to customer needs and industry trends. Recent advancements include digital biometric identity verification with liveness detection, synthetic identity and deepfake detection, continuous criminal monitoring, mobile-first AI-enabled candidate experiences, AI-powered employment verifications (SmartHub), continuous driver monitoring (RoadReady), and instant oral drug testing. We combine cutting-edge technology with deep human insight to help organizations navigate an increasingly complex landscape. We are defining the future of identity at work and delivering the data, technology, and innovation that enable organizations to hire with confidence and manage risk at scale.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Related to Our Business and this Offering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Investing in our stock involves a high degree of risk. You should carefully consider the risks described in “Risk Factors” elsewhere in this prospectus, in our Annual Report on Form 10-K for the fiscal year ended December 31, 2025 (“Annual Report on Form 10-K”), and our subsequent Quarterly Reports on Form 10-Q, which are incorporated by reference herein, before making a decision to invest in our common stock. If any of these risks actually occurs, our business, results of operations, and financial condition may be materially adversely affected. In such case, the trading price of our common stock may decline and you may lose part or all of your investment. Below is a summary of some of the principal risks we face: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Macroeconomic factors beyond our control, including the state of the economy, could impact demand and the fulfillment costs for our products and solutions.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highly regulated industry and are subject to numerous and evolving laws and regulations.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scrutiny of collection, use, and processing of personal data and data security could lead to increased restrictions, loss of revenue opportunity, greater costs of compliance, and lost efficiency.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identify and successfully implement our growth strategies on a timely basis or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Social, ethical, and legal issues relating to the use of new and evolving technologies, such as artificial intelligence and machine learning, in our offerings may result in reputational harm and liability.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damage to our reputation or our brand could adversely affect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our customers reduce their operations, downsize their screening programs, or otherwise demand fewer of our products and solutions, our business could be adversely impacted.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penetrated and competitive market.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third-party data and service providers. If they are unable to deliver or perform as expected, our ability to operate effectively may be impaired, and our business may be materially and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to government entities and higher-tier contractors to governmental customers involve unique competitive, procurement, budget, administrative and contractual risks, any of which could materially adversely impact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to the sensitive and privacy-driven nature of our products and solutions, we could face liability and legal or regulatory proceedings, which could be costly and time-consuming to defend and may not be fully covered by insurance.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brand, and reputation may be harmed as a result of security breaches, cyber-attacks, employee or other internal misconduct, computer viruses, or the mishandling of personal data.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international business exposes us to a number of risks.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or perceived errors, failures, or bugs in our products could adversely affect our business, results of operations, financial condition, and growth prospects.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realize the expected benefits of our acquisition of Sterling Check Corp. (“Sterling”) could adversely affect our business and the value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identify attractive acquisition targets and strategic partnerships or successfully complete such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anti-corruption, economic and trade sanctions, and anti-money laundering laws and regulations could have an adverse effect on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at our Operation Centers of Excellence and other operational sites could adversely impact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not guaranteed exclusivity or volumes in all of our contracts with our customers and our customers may experience major business changes that impact our current or future revenue streams.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with our technology and network infrastructure, including our data centers, servers, and third-party cloud and internet providers, and our migration to the cloud, could have an adverse impact on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continue to integrate our platforms and solutions with that of human resource software providers or if our relationships with human resource software providers deteriorate, our business could be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risks relating to public opinion, which may be magnified by incidents or adverse publicity concerning our industry or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third-party vendors to carry out certain portions of our operations. If they cannot deliver or perform as expected or if our relationships with them are terminated or otherwise change, our business operations and results of operations could be materially and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continued success depends in large part on the service of our key executives and our ability to find and retain qualified employees.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obtain, maintain, protect and enforce our intellectual property and other proprietary information, or if we infringe, misappropriate or violate the intellectual property rights of others, the value of our brands and other intangible assets may be diminished, and our business may be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maintain, protect and enforce the confidentiality of our trade secrets, our business and competitive position would be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use of open-source software in our applications may expose us to additional risks and harm our intellectual property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Seasonality may cause our operating results to fluctuate from quarter to quarter.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the agreements relating to our outstanding indebtedness, including as a result of events beyond our control, could result in an event of default that could materially adversely affect our business, results of operations, and financial condition.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Silver Lake controls us and its interests may conflict with yours in the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stock price may be highly volatile or may decline regardless of our operating performance, and you may not be able to resell shares of our common stock at or above the price you paid or at all, and you could lose all or part of your investment as a result.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intend to pay dividends for the foreseeable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interpretation of tax laws may have a material adverse effect on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implementation cycles can be lengthy and variable, depend upon factors outside our control, and could cause us unexpected delays in generating revenues or result in lower than anticipated revenues.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could adversely affect our ability to raise additional capital to fund our operations, limit our ability to react to changes in the economy or our industry, and prevent us from meeting our obligations.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require a significant amount of cash to service our debt, and our ability to generate cash depends on many factors beyond our control, and any failure to meet our debt service obligations could materially adversely affect our business, results of operations, and financial condition.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debt instruments restrict our current and future operations, particularly our ability to respond to changes or take certain 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Advantage Corporation is a holding company with no operations of its own and, as such, it depends on its subsidiaries for cash to fund all of its operations and expenses, including future dividend payments, if any.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Sponsor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Silver Lake (“Silver Lake” or the “Sponsor”) is a global technology investment firm, with more than $110 billion in combined assets under management and committed capital and a team of professionals based in North America, Europe and Asia. Silver Lake’s portfolio companies collectively generate approximately $307 billion of revenue annually and employ approximately 433,000 people globally.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common stock began trading on Nasdaq under the symbol “FA” on June 23, 2021 and we consummated the IPO on June 25,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began our operations in 2003. First Advantage Corporation was incorporated in Delaware on November 15, 2019 in connection with the Silver Lake Transaction. Our principal offices are located at 1 Concourse Parkway NE, Suite 200, Atlanta, Georgia 30328. Our telephone number is (678) 868-4151. We maintain a website at www.fadv.com. The reference to our website is intended to be an inactive textual reference only. The information contained on, or that can be accessed through, our website is not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Issuer </w:t>
            </w:r>
          </w:p>
        </w:tc>
        <w:tc>
          <w:tcPr>
            <w:tcW w:w="6329" w:type="dxa"/>
            <w:tcBorders/>
          </w:tcPr>
          <w:p>
            <w:pPr>
              <w:pStyle w:val="TableContents"/>
              <w:bidi w:val="0"/>
              <w:spacing w:before="0" w:after="283"/>
              <w:jc w:val="left"/>
              <w:rPr/>
            </w:pPr>
            <w:r>
              <w:rPr/>
              <w:t xml:space="preserve">First Advantage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the selling stockholder </w:t>
            </w:r>
          </w:p>
        </w:tc>
        <w:tc>
          <w:tcPr>
            <w:tcW w:w="6327" w:type="dxa"/>
            <w:tcBorders/>
          </w:tcPr>
          <w:p>
            <w:pPr>
              <w:pStyle w:val="TableContents"/>
              <w:bidi w:val="0"/>
              <w:spacing w:before="0" w:after="283"/>
              <w:jc w:val="left"/>
              <w:rPr/>
            </w:pPr>
            <w:r>
              <w:rPr/>
              <w:t xml:space="preserve">Up to 87,450,000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outstanding </w:t>
            </w:r>
          </w:p>
        </w:tc>
        <w:tc>
          <w:tcPr>
            <w:tcW w:w="6327" w:type="dxa"/>
            <w:tcBorders/>
          </w:tcPr>
          <w:p>
            <w:pPr>
              <w:pStyle w:val="TableContents"/>
              <w:bidi w:val="0"/>
              <w:spacing w:before="0" w:after="283"/>
              <w:jc w:val="left"/>
              <w:rPr/>
            </w:pPr>
            <w:r>
              <w:rPr/>
              <w:t xml:space="preserve">171,753,691 shares as of July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8" w:type="dxa"/>
            <w:tcBorders/>
          </w:tcPr>
          <w:p>
            <w:pPr>
              <w:pStyle w:val="TableContents"/>
              <w:bidi w:val="0"/>
              <w:spacing w:before="0" w:after="283"/>
              <w:jc w:val="left"/>
              <w:rPr/>
            </w:pPr>
            <w:r>
              <w:rPr/>
              <w:t xml:space="preserve">We will not receive any proceeds from the sale of shares of common stock offered from time to time pursuant to this prospectus. The selling stockholder will receive all of the net proceeds of the sale of shares of common stock offered from time to time pursuant to this prospectus and bear all commissions and discounts from the sale of our common stock by the selling stockholder. See “Principal and Selling Stockholder.”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8" w:type="dxa"/>
            <w:tcBorders/>
          </w:tcPr>
          <w:p>
            <w:pPr>
              <w:pStyle w:val="TableContents"/>
              <w:bidi w:val="0"/>
              <w:spacing w:before="0" w:after="283"/>
              <w:jc w:val="left"/>
              <w:rPr/>
            </w:pPr>
            <w:r>
              <w:rPr/>
              <w:t xml:space="preserve">Investing in shares of our common stock involves a high degree of risk. Before making a decision to invest in our common stock, you should refer to the risk factors contained in or incorporated by reference under “Risk Factors” on page 7 of this prospectus and under similar headings in other documents that are incorporated by reference 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Trading symbol </w:t>
            </w:r>
          </w:p>
        </w:tc>
        <w:tc>
          <w:tcPr>
            <w:tcW w:w="6330" w:type="dxa"/>
            <w:tcBorders/>
          </w:tcPr>
          <w:p>
            <w:pPr>
              <w:pStyle w:val="TableContents"/>
              <w:bidi w:val="0"/>
              <w:spacing w:before="0" w:after="283"/>
              <w:jc w:val="left"/>
              <w:rPr/>
            </w:pPr>
            <w:r>
              <w:rPr/>
              <w:t>“</w:t>
            </w:r>
            <w:r>
              <w:rPr/>
              <w:t xml:space="preserve">FA”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78702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risks. You should carefully consider the risks and uncertainties described in our most recent Annual Report on Form 10-K and our subsequent Quarterly Reports on Form 10-Q, which are incorporated by reference herein, as the same may be updated from time to time by our subsequent filings under the Securities Exchange Act of 1934, as amended (the “Exchange Act”). You should also carefully consider the other information contained in this prospectus, as updated by our subsequent filings under the Exchange Act, and the risk factors and other information contained in any applicable prospectus supplement or free writing prospectus, before acquiring any shares of our common stock. These risks reflect our beliefs and opinions as to factors that could materially affect our business, results of operations, or financial condition, and cause the value of our common stock to decline, and are not the only risks and uncertainties facing us or related to an investment in our Company. The occurrence of any of the events described below could harm our business, financial condition, results of operations and growth prospects. Additional risks and uncertainties not currently known to us or that we currently deem immaterial also may impair our financial condition and business operations. References to past events are provided only as an example and are not intended to be a complete representation as to whether such factors have occurred in the past or their likelihood of occurring in the future. You should also carefully review the cautionary statements referred to under the section titled “Special Note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78702_5"/>
      <w:bookmarkEnd w:id="7"/>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and incorporates by reference forward-looking statements, within the meaning of the Private Securities Litigation Reform Act of 1995, that reflect our current views with respect to, among other things, our operations and financial performance. Forward-looking statements include all statements that are not historical facts. These forward-looking statements are included in or incorporated by reference into this prospectus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 looking statements by the use of words such as “anticipate,” “assume,” “believe,” “continue,” “could,” “estimate,” “expect,” “intend,” “may,” “plan,” “potential,” “predict,” “project,” “future,” “will,” “seek,” “foreseeable,” the negative version of these words, or similar terms and phrases.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subject to various risks, uncertainties, assumptions or changes in circumstances that are difficult to predict or quantify. Such risks and uncertainties include, but are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Macroeconomic factors beyond our control, including the state of the economy, could impact demand and the fulfillment costs for our products and 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highly regulated industry and are subject to numerous and evolving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scrutiny of collection, use, and processing of personal data and data security could lead to increased restrictions, loss of revenue opportunity, greater costs of compliance, and lost efficiency.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identify and successfully implement our growth strategies on a timely basis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Social, ethical, and legal issues relating to the use of new and evolving technologies, such as artificial intelligence and machine learning, in our offerings may result in reputational harm and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damage to our reputation or our brand could adversely affect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our customers reduce their operations, downsize their screening programs, or otherwise demand fewer of our products and solutions, our business could be adversely impacted.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penetrated and competitive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third-party data and service providers. If they are unable to deliver or perform as expected, our ability to operate effectively may be impaired, and our business may be materially and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to government entities and higher-tier contractors to governmental customers involve unique competitive, procurement, budget, administrative and contractual risks, any of which could materially adversely impact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to the sensitive and privacy-driven nature of our products and solutions, we could face liability and legal or regulatory proceedings, which could be costly and time-consuming to defend and may not be fully covered by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brand, and reputation may be harmed as a result of security breaches, cyber-attacks, employee or other internal misconduct, computer viruses, or the mishandling of personal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international business exposes us to a number of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or perceived errors, failures, or bugs in our products could adversely affect our business, results of operations, financial condition, and growth prospects.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realize the expected benefits of our acquisition of Sterling Check Corp. (“Sterling”) could adversely affect our business and the value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identify attractive acquisition targets and strategic partnerships or successfully complete such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anti-corruption, economic and trade sanctions, and anti-money laundering laws and regulations could have an adverse effect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at our Operation Centers of Excellence and other operational sites could adversely impact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not guaranteed exclusivity or volumes in all of our contracts with our customers and our customers may experience major business changes that impact our current or future revenue streams.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with our technology and network infrastructure, including our data centers, servers, and third-party cloud and internet providers, and our migration to the cloud, could have an adverse impact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continue to integrate our platforms and solutions with that of human resource software providers or if our relationships with human resource software providers deteriorate, our business could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risks relating to public opinion, which may be magnified by incidents or adverse publicity concerning our industry or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third-party vendors to carry out certain portions of our operations. If they cannot deliver or perform as expected or if our relationships with them are terminated or otherwise change, our business operations and results of operations could be materially and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continued success depends in large part on the service of our key executives and our ability to find and retain qualified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obtain, maintain, protect and enforce our intellectual property and other proprietary information, or if we infringe, misappropriate or violate the intellectual property rights of others, the value of our brands and other intangible assets may be diminished, and our business may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maintain, protect and enforce the confidentiality of our trade secrets, our business and competitive position would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use of open-source software in our applications may expose us to additional risks and harm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Seasonality may cause our operating results to fluctuate from quarter to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the agreements relating to our outstanding indebtedness, including as a result of events beyond our control, could result in an event of default that could materially adversely affect our business,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Silver Lake controls us and its interests may conflict with yours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stock price may be highly volatile or may decline regardless of our operating performance, and you may not be able to resell shares of our common stock at or above the price you paid or at all, and you could lose all or part of your investment as a result.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intend to pay dividends for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manner and volume of repurchases of common stock pursuant to our share repurchase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interpretation of tax laws may have a material adverse effect on our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implementation cycles can be lengthy and variable, depend upon factors outside our control, and could cause us unexpected delays in generating revenues or result in lower than anticipated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could adversely affect our ability to raise additional capital to fund our operations, limit our ability to react to changes in the economy or our industry, and prevent us from meeting our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require a significant amount of cash to service our debt, and our ability to generate cash depends on many factors beyond our control, and any failure to meet our debt service obligations could materially adversely affect our business,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debt instruments restrict our current and future operations, particularly our ability to respond to changes or take certain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Advantage Corporation is a holding company with no operations of its own and, as such, it depends on its subsidiaries for cash to fund all of its operations and expenses, including future dividend payments,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disclosed or incorporated by reference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factors should not be construed as exhaustive and should be read in conjunction with the other cautionary statements that are included in or incorporated by reference into this prospectus. Should one or more of these risks or uncertainties materialize, or should any of our assumptions prove incorrect, our actual results may vary in material respects from those projected in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made by us in this prospectus or incorporated by reference herein speaks only as of the date of this prospectus or the document incorporated or deemed incorporated by reference herein and are expressly qualified in their entirety by the cautionary statements included in or incorporated by reference into this prospectus. Factors or events that could cause our actual results to differ may emerge from time to time, and it is not possible for us to predict all of them. We may not actually achieve the plans, intentions or expectations disclosed in our forward- looking statements and you should not place undue reliance on our forward-looking statements. Our forward- 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Investors and others should note that we routinely announce financial and other material information using our Investor Relations website (investors.fadv.com), SEC filings, press releases, public conference calls, and webcasts. We use these channels of distribution to communicate with our investors and members of the public about our company, our services, and other items of interest. Information contained on our website is not part of this prospectus or our other filings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78702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will receive all of the net proceeds from the sale of shares of our common stock offered from time to time pursuant to this prospectus. We will not receive any proceeds from the sale of shares being sold from time to time pursuant to this prospectus. The selling stockholder will bear the underwriting commissions and discounts attributable to its sale of our common stock, and expenses incurred by the selling stockholder for brokerage, accounting, tax services, or any other expenses incurred by the selling stockholder, except we will bear the fees and expenses of one counsel for the selling stockholder. We will bear all other costs, fees, and expenses incurred in effecting the registration of the shares covered by this prospectus, including, without limitation, all registration and filing fees, and fees and expenses of our counsel and one counsel for the selling stockholder and our independent registered public accountants.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78702_7"/>
      <w:bookmarkEnd w:id="9"/>
      <w:r>
        <w:rPr>
          <w:rFonts w:ascii="Times New Roman" w:hAnsi="Times New Roman"/>
          <w:b/>
          <w:sz w:val="20"/>
        </w:rPr>
        <w:t xml:space="preserve">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covers 87,450,000 shares of our common stock that may be offered for resale by the selling stockholder. For more information about our relationship with the selling stockholder and its affiliates, see the section entitled “Transactions Related to Directors, Equity Holders, and Executive Officers” in our Definitive Proxy Statement on Schedule 14A filed on April 24, 2026, which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contains information about the beneficial ownership of our common stock as of July 31, 2026, with respect to the selling stockholder and the shares of our common stock beneficially owned by the selling stockholder that may from time to time be offered or sold pursuant to this prospectus. Beneficial ownership and percentage ownership are determined in accordance with the rules and regulations of the SEC.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 Except as indicated in the footnotes to the following table or pursuant to applicable community property laws, we believe, based on information furnished to us, that each stockholder named in the table has sole voting and investment power with respect to the shares set forth opposite such stockholder’s name. </w:t>
      </w:r>
    </w:p>
    <w:p>
      <w:pPr>
        <w:pStyle w:val="TextBody"/>
        <w:bidi w:val="0"/>
        <w:spacing w:before="240" w:after="0"/>
        <w:jc w:val="left"/>
        <w:rPr>
          <w:rFonts w:ascii="Times New Roman" w:hAnsi="Times New Roman"/>
          <w:sz w:val="20"/>
        </w:rPr>
      </w:pPr>
      <w:r>
        <w:rPr>
          <w:rFonts w:ascii="Times New Roman" w:hAnsi="Times New Roman"/>
          <w:sz w:val="20"/>
        </w:rPr>
        <w:t xml:space="preserve">Information concerning the selling stockholder may change from time to time, and any such changed information will be set forth in supplements to this prospectus or a post-effective amendment to the registration statement to which this prospectus is a part, as may be appropriate. The selling stockholder may offer all, some or none of its shares of common stock. We cannot advise you as to whether the selling stockholder will in fact sell any or all of such shares of common stock. In addition, the selling stockholder may have sold or transferred, in transactions pursuant to this prospectus or otherwise, some or all of its shares since the date as of which the information is presented in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Our calculation of the percentage of beneficial ownership prior to and after the offering is based on 171,753,691 shares of common stock outstanding as of July 31, 2026. </w:t>
      </w:r>
    </w:p>
    <w:p>
      <w:pPr>
        <w:pStyle w:val="TextBody"/>
        <w:bidi w:val="0"/>
        <w:spacing w:before="0" w:after="0"/>
        <w:jc w:val="left"/>
        <w:rPr/>
      </w:pPr>
      <w:r>
        <w:rPr/>
        <w:t> </w:t>
      </w:r>
    </w:p>
    <w:tbl>
      <w:tblPr>
        <w:tblW w:w="13340" w:type="dxa"/>
        <w:jc w:val="center"/>
        <w:tblInd w:w="0" w:type="dxa"/>
        <w:tblLayout w:type="fixed"/>
        <w:tblCellMar>
          <w:top w:w="0" w:type="dxa"/>
          <w:left w:w="0" w:type="dxa"/>
          <w:bottom w:w="0" w:type="dxa"/>
          <w:right w:w="0" w:type="dxa"/>
        </w:tblCellMar>
      </w:tblPr>
      <w:tblGrid>
        <w:gridCol w:w="2045"/>
        <w:gridCol w:w="60"/>
        <w:gridCol w:w="123"/>
        <w:gridCol w:w="2255"/>
        <w:gridCol w:w="123"/>
        <w:gridCol w:w="123"/>
        <w:gridCol w:w="230"/>
        <w:gridCol w:w="1695"/>
        <w:gridCol w:w="275"/>
        <w:gridCol w:w="60"/>
        <w:gridCol w:w="95"/>
        <w:gridCol w:w="1755"/>
        <w:gridCol w:w="60"/>
        <w:gridCol w:w="60"/>
        <w:gridCol w:w="134"/>
        <w:gridCol w:w="2199"/>
        <w:gridCol w:w="134"/>
        <w:gridCol w:w="134"/>
        <w:gridCol w:w="179"/>
        <w:gridCol w:w="1326"/>
        <w:gridCol w:w="275"/>
      </w:tblGrid>
      <w:tr>
        <w:trPr/>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49" w:type="dxa"/>
            <w:gridSpan w:val="6"/>
            <w:tcBorders>
              <w:bottom w:val="single" w:sz="8" w:space="0" w:color="000000"/>
            </w:tcBorders>
            <w:tcMar>
              <w:bottom w:w="28" w:type="dxa"/>
            </w:tcMar>
            <w:vAlign w:val="bottom"/>
          </w:tcPr>
          <w:p>
            <w:pPr>
              <w:pStyle w:val="TableContents"/>
              <w:bidi w:val="0"/>
              <w:spacing w:before="0" w:after="283"/>
              <w:jc w:val="center"/>
              <w:rPr/>
            </w:pPr>
            <w:r>
              <w:rPr/>
              <w:t>Shares of Common Stock Beneficially</w:t>
              <w:br/>
              <w:t>Owned</w:t>
            </w:r>
          </w:p>
        </w:tc>
        <w:tc>
          <w:tcPr>
            <w:tcW w:w="27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85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t>Shares of Common</w:t>
              <w:br/>
              <w:t>Stock that May be</w:t>
              <w:br/>
              <w:t>Offered for Resale</w:t>
            </w:r>
          </w:p>
        </w:tc>
        <w:tc>
          <w:tcPr>
            <w:tcW w:w="6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6" w:type="dxa"/>
            <w:gridSpan w:val="6"/>
            <w:tcBorders>
              <w:bottom w:val="single" w:sz="8" w:space="0" w:color="000000"/>
            </w:tcBorders>
            <w:tcMar>
              <w:bottom w:w="28" w:type="dxa"/>
            </w:tcMar>
            <w:vAlign w:val="bottom"/>
          </w:tcPr>
          <w:p>
            <w:pPr>
              <w:pStyle w:val="TableContents"/>
              <w:bidi w:val="0"/>
              <w:spacing w:before="0" w:after="283"/>
              <w:jc w:val="center"/>
              <w:rPr/>
            </w:pPr>
            <w:r>
              <w:rPr/>
              <w:t>Shares of Common Stock Beneficially</w:t>
              <w:br/>
              <w:t>Owned After the Sale of the Maximum</w:t>
              <w:br/>
              <w:t>Number of Shares of Common Stock</w:t>
            </w:r>
          </w:p>
        </w:tc>
        <w:tc>
          <w:tcPr>
            <w:tcW w:w="275"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Name</w:t>
            </w:r>
          </w:p>
        </w:tc>
        <w:tc>
          <w:tcPr>
            <w:tcW w:w="60" w:type="dxa"/>
            <w:tcBorders/>
            <w:vAlign w:val="bottom"/>
          </w:tcPr>
          <w:p>
            <w:pPr>
              <w:pStyle w:val="TableContents"/>
              <w:bidi w:val="0"/>
              <w:spacing w:before="0" w:after="283"/>
              <w:jc w:val="left"/>
              <w:rPr/>
            </w:pPr>
            <w:r>
              <w:rPr/>
              <w:t> </w:t>
            </w:r>
          </w:p>
        </w:tc>
        <w:tc>
          <w:tcPr>
            <w:tcW w:w="2378" w:type="dxa"/>
            <w:gridSpan w:val="2"/>
            <w:tcBorders>
              <w:bottom w:val="single" w:sz="8" w:space="0" w:color="000000"/>
            </w:tcBorders>
            <w:tcMar>
              <w:bottom w:w="28" w:type="dxa"/>
            </w:tcMar>
            <w:vAlign w:val="bottom"/>
          </w:tcPr>
          <w:p>
            <w:pPr>
              <w:pStyle w:val="TableContents"/>
              <w:bidi w:val="0"/>
              <w:spacing w:before="0" w:after="283"/>
              <w:jc w:val="center"/>
              <w:rPr/>
            </w:pPr>
            <w:r>
              <w:rPr/>
              <w:t>Number of</w:t>
              <w:br/>
              <w:t>Shares</w:t>
            </w:r>
          </w:p>
        </w:tc>
        <w:tc>
          <w:tcPr>
            <w:tcW w:w="12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pPr>
            <w:r>
              <w:rPr/>
              <w:t>Percent of Common</w:t>
              <w:br/>
              <w:t>Stock Outstanding</w:t>
            </w:r>
          </w:p>
        </w:tc>
        <w:tc>
          <w:tcPr>
            <w:tcW w:w="27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85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333" w:type="dxa"/>
            <w:gridSpan w:val="2"/>
            <w:tcBorders>
              <w:bottom w:val="single" w:sz="8" w:space="0" w:color="000000"/>
            </w:tcBorders>
            <w:tcMar>
              <w:bottom w:w="28" w:type="dxa"/>
            </w:tcMar>
            <w:vAlign w:val="bottom"/>
          </w:tcPr>
          <w:p>
            <w:pPr>
              <w:pStyle w:val="TableContents"/>
              <w:bidi w:val="0"/>
              <w:spacing w:before="0" w:after="283"/>
              <w:jc w:val="center"/>
              <w:rPr/>
            </w:pPr>
            <w:r>
              <w:rPr/>
              <w:t>Number of Shares</w:t>
            </w:r>
          </w:p>
        </w:tc>
        <w:tc>
          <w:tcPr>
            <w:tcW w:w="134"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pPr>
            <w:r>
              <w:rPr/>
              <w:t>Percent of</w:t>
              <w:br/>
              <w:t>Common Stock</w:t>
              <w:br/>
              <w:t>Outstanding</w:t>
            </w:r>
          </w:p>
        </w:tc>
        <w:tc>
          <w:tcPr>
            <w:tcW w:w="275" w:type="dxa"/>
            <w:tcBorders/>
            <w:vAlign w:val="bottom"/>
          </w:tcPr>
          <w:p>
            <w:pPr>
              <w:pStyle w:val="TableContents"/>
              <w:bidi w:val="0"/>
              <w:spacing w:before="0" w:after="283"/>
              <w:jc w:val="left"/>
              <w:rPr/>
            </w:pPr>
            <w:r>
              <w:rPr/>
              <w:t> </w:t>
            </w:r>
          </w:p>
        </w:tc>
      </w:tr>
      <w:tr>
        <w:trPr/>
        <w:tc>
          <w:tcPr>
            <w:tcW w:w="20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SLP Fastball Aggregator, L.P.(1)</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255" w:type="dxa"/>
            <w:tcBorders/>
            <w:shd w:fill="CCEEFF" w:val="clear"/>
            <w:vAlign w:val="bottom"/>
          </w:tcPr>
          <w:p>
            <w:pPr>
              <w:pStyle w:val="TableContents"/>
              <w:bidi w:val="0"/>
              <w:spacing w:before="0" w:after="283"/>
              <w:jc w:val="right"/>
              <w:rPr/>
            </w:pPr>
            <w:r>
              <w:rPr/>
              <w:t>89,557,840</w:t>
            </w:r>
          </w:p>
        </w:tc>
        <w:tc>
          <w:tcPr>
            <w:tcW w:w="12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695" w:type="dxa"/>
            <w:tcBorders/>
            <w:shd w:fill="CCEEFF" w:val="clear"/>
            <w:vAlign w:val="bottom"/>
          </w:tcPr>
          <w:p>
            <w:pPr>
              <w:pStyle w:val="TableContents"/>
              <w:bidi w:val="0"/>
              <w:spacing w:before="0" w:after="283"/>
              <w:jc w:val="right"/>
              <w:rPr/>
            </w:pPr>
            <w:r>
              <w:rPr/>
              <w:t>52.1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55" w:type="dxa"/>
            <w:tcBorders/>
            <w:shd w:fill="CCEEFF" w:val="clear"/>
            <w:vAlign w:val="bottom"/>
          </w:tcPr>
          <w:p>
            <w:pPr>
              <w:pStyle w:val="TableContents"/>
              <w:bidi w:val="0"/>
              <w:spacing w:before="0" w:after="283"/>
              <w:jc w:val="right"/>
              <w:rPr/>
            </w:pPr>
            <w:r>
              <w:rPr/>
              <w:t>87,450,000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right"/>
              <w:rPr/>
            </w:pPr>
            <w:r>
              <w:rPr/>
              <w:t>2,107,840</w:t>
            </w:r>
          </w:p>
        </w:tc>
        <w:tc>
          <w:tcPr>
            <w:tcW w:w="134"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283"/>
              <w:jc w:val="right"/>
              <w:rPr/>
            </w:pPr>
            <w:r>
              <w:rPr/>
              <w:t>1.23</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held of record by SLP Fastball Aggregator, L.P. SLP V Aggregator GP, L.L.C. is the general partner of SLP Fastball Aggregator, L.P. Silver Lake Technology Associates V, L.P. is the managing member of SLP V Aggregator GP, L.L.C. SLTA V (GP), L.L.C. is the general partner of Silver Lake Technology Associates V, L.P. Silver Lake Group, L.L.C., is the managing member of SLTA V (GP), L.L.C. The managing members of Silver Lake Group, L.L.C. are Egon Durban, Kenneth Hao, Christian Lucas, Gregory Mondre, Joseph Osnoss, and Lee Wittlinger. The principal business address for each of the entities identified in this paragraph is c/o Silver Lake Group, L.L.C., 2775 Sand Hill Road, Suite 100 Menlo Park, CA 94025.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78702_8"/>
      <w:bookmarkEnd w:id="10"/>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description of the material terms of, and is qualified in its entirety by, our amended and restated certificate of incorporation and amended and restated bylaws, which are filed as exhibits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Our purpose is to engage in any lawful act or activity for which corporations may now or hereafter be organized under the DGCL. Our authorized capital stock consists of 1,000,000,000 shares of common stock, par value $0.001 per share, and 250,000,000 shares of preferred stock, par value $0.001 per share. No shares of preferred stock are outstanding and no shares of preferred stock will be issued or outstanding immediately after the offering contemplated by this prospectus. Unless our board of directors determines otherwise, we will issue all shares of our capital stock in uncertificated form.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of record on all matters on which stockholders are entitled to vote generally, including the election or removal of directors, subject to certain limitations. The holders of our common stock do not have cumulative voting rights in the election of directors. Upon our liquidation, dissolution or winding up and after payment in full of all amounts required to be paid to creditors and to the holders of preferred stock having liquidation preferences, if any, the holders of our common stock will be entitled to receive our remaining assets available for distribution on a pro rata basis. Holders of our common stock do not have preemptive, subscription, redemption or conversion rights. The common stock will not be subject to further calls or assessment by us. There will be no redemption or sinking fund provisions applicable to the common stock. All shares of our common stock that will be outstanding at the time of the completion of the offering will be fully paid and non-assessable. The rights, powers, preferences and privileges of holders of our common stock will be subject to those of the holders of any shares of our preferred stock we may authorize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authorizes our board of directors to establish one or more series of preferred stock (including convertible preferred stock). Unless required by law or by Nasdaq, the authorized shares of preferred stock are available for issuance without further action by you. Our board of directors will be able to determine, with respect to any series of preferred stock, the terms and rights of that series,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series, which our board of directors may, except where otherwise provided in the preferred stock designation, increase (but not above the total number of authorized shares of the class) or decrease (but not below the number of shares then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if any, will be cumulative or non-cumulative and the dividend rate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at which dividends, if any,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5)</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rights and price or prices, if any, for shares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6)</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amounts of any sinking fund provided for the purchase or redemption of shares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7)</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payable on shares of the series in the event of any voluntary or involuntary liquidation, dissolution or winding-up of the affairs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8)</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shares of the series will be convertible into shares of any other class or series, or any other security, of the Company or any other corporation and, if so, the specification of the other class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series or other security, the conversion price or prices or rate or rates, any rate adjustments, the date or dates as of which the shares will be convertible and all other terms and conditions upon which the conversion may be made;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9)</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issuance of shares of the same series or of any other class or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10)</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if any, of the holders of the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may have an adverse impact on the market price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 </w:t>
      </w:r>
    </w:p>
    <w:p>
      <w:pPr>
        <w:pStyle w:val="TextBody"/>
        <w:bidi w:val="0"/>
        <w:spacing w:before="240" w:after="0"/>
        <w:jc w:val="left"/>
        <w:rPr>
          <w:rFonts w:ascii="Times New Roman" w:hAnsi="Times New Roman"/>
          <w:sz w:val="20"/>
        </w:rPr>
      </w:pPr>
      <w:r>
        <w:rPr>
          <w:rFonts w:ascii="Times New Roman" w:hAnsi="Times New Roman"/>
          <w:sz w:val="20"/>
        </w:rPr>
        <w:t xml:space="preserve">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Our Amended and Restated Certificate of Incorporation and Amended and Restated Bylaws and Certain Provisions of Delaware Law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 These additional shares may be used for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variety of corporate purposes, including future public offerings to raise additional capital or to facilitate acquisitions.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Combinations </w:t>
      </w:r>
    </w:p>
    <w:p>
      <w:pPr>
        <w:pStyle w:val="TextBody"/>
        <w:bidi w:val="0"/>
        <w:spacing w:before="120" w:after="0"/>
        <w:jc w:val="left"/>
        <w:rPr>
          <w:rFonts w:ascii="Times New Roman" w:hAnsi="Times New Roman"/>
          <w:sz w:val="20"/>
        </w:rPr>
      </w:pPr>
      <w:r>
        <w:rPr>
          <w:rFonts w:ascii="Times New Roman" w:hAnsi="Times New Roman"/>
          <w:sz w:val="20"/>
        </w:rPr>
        <w:t xml:space="preserve">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such time, our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stockholder becoming an interested stockholder, the interested stockholder owned at least 85% of our voting stock outstanding at the time the transaction commenced, excluding certain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that time, the business combination is approved by our board of directors and authorized at an annual or special meeting of stockholders, and not by written consent, by the affirmative vote of holders of at least 66 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this provision makes it more difficult for a person who would be an “interested stockholder” to effect various business combinations with a corporation for a three-year period. This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that the Sponsor and its affiliates and any of their respective direct or indirect transferees and any group as to which such persons are a party do not constitute “interested stockholders” for purposes of this provision.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Vacancies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 that directors may be removed with or without cause upon the affirmative vote of a majority in voting power of all outstanding shares of stock entitled to vote generally in the election of directors, voting together as a single class;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at any time when the Sponsor and its affiliates beneficially own, in the aggregate, less than 50% of the voting power of then outstanding shares of stock entitled to vote generally in the election of directors, directors may only be removed for cause and only by the affirmative vote of holders of at least 66 2⁄3% in voting power of all the then-outstanding shares of stock entitled to vote generally in the election of directors,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and our amended and restated bylaws also provide that, subject to the rights granted to one or more series of preferred stock then outstanding or the rights granted to the Sponsor under the stockholders’ agreement, any vacancies on our board of directors will be filled only by the affirmative vote of a majority of the remaining directors, even if less than a quorum, by a sole remaining director or by the stockholders;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at any time when the Sponsor and its affiliates beneficially own, in the aggregate, less than 50% of the voting power of then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special meetings of our stockholders may be called at any time only by or at the direction of the board of directors or the chairman of the board of directors;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Sponsor and its affiliates are permitted to call special meetings of our stockholders for so long as they hold, in the aggregate, at least 50% of the voting power of then outstanding shares of stock entitled to vote generally in the election of directors. In addition, the notice procedures with respect to special stockholder meetings do not apply to our Sponsor while the stockholders’ agreement is in effect. Our amended and restated bylaws prohibit the conduct of any business at a special meeting other than as specified in the notice for such meeting. These provisions may have the effect of deferring, delaying or discouraging hostile takeovers, or changes in control or management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Requirements for Advance Notification of Director Nominations and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establishes advance notice procedures with respect to stockholder proposals and the nomination of candidates for election as directors, other than nominations made as provided in the stockholders’ agreement nor by or at the direction of the board of directors or a committee of the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 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notice requirements do not apply to the Sponsor and its affiliates for as long as the stockholders’ agreement remains in effect. These provisions may defer, delay or discourage a potential acquiror from conducting a solicitation of proxies to elect the acquiror’s own slate of directors or otherwise attempting to influence or obtain control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 once the Sponsor and its affiliates beneficially own, in the aggregate, less than 50% of the voting power of all outstanding shares of stock entitled to vote generally in the election of directors;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Supermajority Provisions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the board of directors is expressly authorized to make, alter, amend, rescind or repeal, in whole or in part, our amended and restated bylaws without a stockholder vote in any matter not inconsistent with the laws of the State of Delaware or our amended and restated certificate of incorporation. For as long as the Sponsor and its affiliates beneficially own, in the aggregate, at least 50% of the voting power of then outstanding shares of stock entitled to vote generally in the election of directors, any amendment, alteration, rescission or repeal of our amended and restated bylaws by our stockholders will require the affirmative vote of a majority in voting power of the outstanding shares of our stock entitled to vote on such amendment, alteration, change, addition, rescission or repeal and voting together as a single class. At any time when the Sponsor and its affiliates beneficially own, in the aggregate, less than 50% of the voting power of all outstanding shares of stock entitled to vote generally in the election of directors, any amendment, alteration, rescission or repeal of our amended and restated bylaws by our stockholders will require the affirmative vote of the holders of at least 66 2⁄3% in voting power of all the then-outstanding shares of stock entitled to vote generally in the election of directors,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amended and restated certificate of incorporation provides that once the Sponsor and its affiliates beneficially own, in the aggregate, less than 50% of the voting power of all outstanding shares of stock entitled to vote generally in the election of directors, the following provisions in our amended and restated certificate of incorporation may be amended, altered, repealed or rescinded only by the affirmative vote of the holders of at least 66 2⁄3% in the voting power of all outstanding shares of stock entitled to vote generally in the election of directors, voting together as a single class: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requiring a 66 2⁄3% supermajority vote for stockholders to amend our amended and restated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providing for a classified board of directors (the election and term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resignation and removal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competition and corporate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entering into business combinations with interested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stockholder action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calling special meetings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filling vacancies on our board of directors and newly created directorships;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eliminating monetary damages for breaches of fiduciary duty by a director;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amendment provision requiring that the above provisions be amended only with a 66 2⁄3% supermajority vote.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may have the effect of deterring hostile takeovers, delaying or preventing changes in control of our management or the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Dissenters’ Rights of Appraisal and Payment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with certain exceptions, our stockholders have appraisal rights in connection with a merger or consolidation of us. Pursuant to the DGCL, stockholders who properly request and perfect appraisal rights in connection with such merger or consolidation have the right to receive payment of the fair value of their shares as determined by the Delaware Court of Chancery.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Derivative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subject to limited exceptions, that unless we consent to the selection of an alternative forum, the state or federal courts (as appropriate) located within the State of Delaware shall, to the fullest extent permitted by law, be the sole and exclusive forum for any (1) derivative action or proceeding brought on behalf of the Company, (2) action asserting a claim of breach of a fiduciary duty owed by any director, officer or other employee or stockholder of the Company to the Company or our stockholders, creditors or other constituents, (3)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(4) action asserting a claim against the Company or any director or officer of the Company governed by the internal affairs doctrine, in each such case subject to said courts having personal jurisdiction over the indispensable parties named as defendants therein. This provision, however, does not apply to claims brought under the Securities Act or the Exchange Act, and nothing in our amended and restated certificate of incorporation or amended and restated bylaws will preclude stockholders that assert claims under the Securities Act or the Exchange Act, from bringing such claims in state or federal court, subject to applicable law. Any person or entity purchasing or otherwise acquiring any interest in shares of capital stock of the Company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 Our exclusive forum provision shall not relieve the Company of its duties to comply with the federal securities laws and the rules and regulations thereunder, and our stockholders will not be deemed to have waived our compliance with these laws, rules and regulations. Further, stockholders may not waive their rights under the Exchange Act, including their right to bring suit.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any director who is not employed by us (including any non-employee director who serves as one of our officers in both his or her director and officer capacities) or his or her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non-employee director acquires knowledge of a potential transaction or other business opportunity which may be a corporate opportunity for himself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DGCL authorizes corporations to limit or eliminate the personal liability of directors to corporations and their stockholders for monetary damages for breaches of directors’ fiduciary duties, subject to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will be to eliminate the rights of us and our stockholders, through stockholders’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will be useful to attract and retain qualified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There is currently no pending material litigation or proceeding involving any of our directors, officers or employees for which indemnification is sought.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“FA”.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78702_9"/>
      <w:bookmarkEnd w:id="11"/>
      <w:r>
        <w:rPr>
          <w:rFonts w:ascii="Times New Roman" w:hAnsi="Times New Roman"/>
          <w:b/>
          <w:sz w:val="20"/>
        </w:rPr>
        <w:t xml:space="preserve">CERTAIN UNITED STATES FEDERAL INCOME TAX CONSEQUENCES TO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United States federal income tax consequences of the ownership and disposition of our common stock. This summary deals only with common stock that is held as a capital asset by a non-U.S. holder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means a beneficial owner of our common stock (other than an entity or arrangement treated as a partnership for United States federal income tax purposes) that is not, for United States federal income tax purposes,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other entity treated as a corporation for United States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summary is based upon provisions of the Internal Revenue Code of 1986, as amended (the “Code”), and regulations, rulings and judicial decisions as of the date hereof. Those authorities may be changed, perhaps retroactively, so as to result in United States federal income tax consequences different from those summarized below. This summary does not address all of the United States federal income tax consequences that may be relevant to you in light of your particular circumstances, nor does it address the Medicare tax on net investment income, United States federal estate and gift taxes or the effects of any state, local or non-United States tax laws. In addition, it does not represent a detailed description of the United States federal income tax consequences applicable to you if you are subject to special treatment under the United States federal income tax laws (including if you are a United States expatriate, foreign pension fund, “controlled foreign corporation,” “passive foreign investment company” or a partnership or other pass-through entity for United States federal income tax purposes). We cannot assure you that a change in law will not alter significantly the tax considerations that we describe in this summary.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or arrangement treated as a partnership for United States federal income tax purposes) holds our common stock, the tax treatment of a partner generally will depend upon the status of the partner and the activities of the partnership. If you are a partnership or a partner of a partnership considering an investment in our common stock, you should consult your tax advisors. </w:t>
      </w:r>
    </w:p>
    <w:p>
      <w:pPr>
        <w:pStyle w:val="TextBody"/>
        <w:bidi w:val="0"/>
        <w:spacing w:before="240" w:after="0"/>
        <w:jc w:val="left"/>
        <w:rPr>
          <w:rFonts w:ascii="Times New Roman" w:hAnsi="Times New Roman"/>
          <w:b/>
          <w:sz w:val="20"/>
        </w:rPr>
      </w:pPr>
      <w:r>
        <w:rPr>
          <w:rFonts w:ascii="Times New Roman" w:hAnsi="Times New Roman"/>
          <w:b/>
          <w:sz w:val="20"/>
        </w:rPr>
        <w:t xml:space="preserve">If you are considering the purchase of our common stock, you should consult your own tax advisors concerning the particular United States federal income tax consequences to you of the ownership and disposition of our common stock, as well as the consequences to you arising under other United States federal tax laws and the laws of any other taxing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we make a distribution of cash or other property (other than certain pro rata distributions of our stock) in respect of our common stock, the distribution generally will be treated as a dividend for United States federal income tax purposes to the extent it is paid from our current or accumulated earnings and profits, as determined under United States federal income tax principles. Any portion of a distribution that exceeds our current and accumulated earnings and profits generally will be treated first as a tax-free return of capital, causing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reduction in the adjusted tax basis of a non-U.S. holder’s common stock, and to the extent the amount of the distribution exceeds a non-U.S. holder’s adjusted tax basis in our common stock, the excess will be treated as gain from the disposition of our common stock (the tax treatment of which is discussed below under “—Gain on Disposition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Instead, such dividends are subject to United States federal income tax on a net income basis generally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who wishes to claim the benefit of an applicable treaty rate and avoid backup withholding, as discussed below, for dividends will be required (a) to provide the applicable withholding agent with a properly executed Internal Revenue Service (“IRS”) Form W-BEN or Form W-8BEN-E (or other applicable form) certifying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eligible for a reduced rate of United States federal withholding tax pursuant to an income tax treaty may obtain a refund of any excess amounts withheld by timely filing an appropriate claim for refund with the IRS.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of backup withholding below, any gain realized by a non-U.S. holder on the sale or other disposition of our common stock generally will not be subject to United States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trade or business of the non-U.S. holder in the United States (and, if required by an applicable income tax treaty, is attributable to a United States permanent establishment of the non-U.S.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in the taxable year of that disposition, and certain other conditions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 “United States real property holding corporation” for United States federal income tax purposes and certain other conditions are met.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first bullet point immediately above will be subject to tax on the gain derived from the sale or other disposition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United States source capital losses even though the individual is not considered a resident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 federal income tax purposes). We believe we are not and do not anticipate becoming a “United States real property holding corporation” for United States federal income tax purposes. If we are or become a “United States real property holding corporation,” however, so long as our common stock is regularly traded on an established securities market during the calendar year in which the sale or other disposition occurs, only a non-U.S. holder who holds or held (at any time during the shorter of the five year period preceding the date of disposition or the holder’s holding period) more than 5% of our common stock will be subject to United States federal income tax on the sale or other disposition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will not be subject to backup withholding on distributions received if such holder certifies under penalty of perjury that it is a non-U.S. holder (and the payor does not have actual knowledge or reason to know that such holder is a United States person as defined under the Code), or such holder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depending on the circumstances, backup withholding will apply to the proceeds of a sale or other disposition of our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amounts withheld under the backup withholding rules will be allowed as a refund or a credit against a non-U.S. holder’s United States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Under Sections 1471 through 1474 of the Code (such Sections commonly referred to as “FATCA”), a 30% United States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United States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78702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and its pledgees, donees, transferees or other successors in interest, may from time to time offer and sell, separately or together, shares of common stock covered by this prospectus. Registration of the shares of common stock covered by this prospectus does not mean, however, that those shares of common stock necessarily will be offered or sold.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covered by this prospectus may be sold in one or more transactions from time to time, at market prices prevailing at the time of sale, at prices related to market prices, at a fixed price or prices subject to change or at negotiated prices, by a variety of methods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Nasdaq or any other national securities exchange or U.S. inter-dealer system of a registered national securities association (including through at-the-market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broker-dealers, who may act as agents or principals;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one or more underwriters on a firm commitment or best-efforts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 block trade in which a broker-dealer will attempt to sell a block of shares of common stock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put or call option transactions relating to the shares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combination of the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effecting sales, brokers, or dealers engaged by us and/or the selling stockholder may arrange for other brokers or dealers to participate. Broker-dealer transactions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of the shares of common stock by a broker-dealer as principal and resales of the shares of common stock by the broker-dealer for its account pursuant to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in which the broker-dealer solicits purchasers on a best efforts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the selling stockholder has not entered into any agreements, understandings, or arrangements with any underwriters or broker-dealers regarding the sale of the common stock covered by this prospectus. At any time a particular offer of the shares of common stock covered by this prospectus is made, a revised prospectus or prospectus supplement, if required, will set forth the aggregate amount of shares of common stock covered by this prospectus being offered and the terms of the offering, including the name or names of any underwriters, dealers, brokers, or agents. In addition, to the extent required, any discounts, commissions, concessions, and other items constituting underwriters’ or agents’ compensation, as well as any discounts, commissions, or concessions allowed or reallowed or paid to dealers, will be set forth in such prospectus supplement. To the extent required, any such prospectus supplement, and, if necessary, a post-effective amendment to the registration statement of which this prospectus is a part, will be filed with the SEC to reflect the disclosure of additional information with respect to the distribution of the shares of common stock covered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applicable prospectus supplement will set forth whether or not underwriters may over-allot or effect transactions that stabilize, maintain, or otherwise affect the market price of the common stock at levels above those that might otherwise prevail in the open market, including, for example, by entering stabilizing bids, effecting syndicate covering transactions or imposing penalty bids.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selling stockholder utilizes a dealer in the sale of the securities being offered pursuant to this prospectus, the selling stockholder will sell the securities to the dealer, as principal. The dealer may then resell the securities to the public at varying prices to be determined by the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also authorize agents or underwriters to solicit offers by certain types of institutional investors to purchase securities at the public offering price set forth in the revised prospectus or prospectus supplement pursuant to delayed delivery contracts providing for payment and delivery on a specified date in the future. The conditions to these contracts and the commission that the selling stockholder must pay for solicitation of these contracts will be described in a revised prospectus or prospectus supplement, to the extent such revised prospectus or prospectus supplement is required.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the shares of common stock covered by this prospectus through underwriters, underwriters may receive compensation in the form of underwriting discounts or commissions and may also receive commissions from purchasers of shares of common stock for whom they may act as agent. Underwriters may sell to or through dealers, and such dealers may receive compensation in the form of discounts, concessions, or commissions from the underwriters and/or commissions from the purchasers for whom they may act as agent.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broker-dealers, or agents participating in the distribution of the shares of common stock covered by this prospectus may be deemed to be “underwriters” within the meaning of the Securities Act, and any commissions received by any of those underwriters, broker-dealers, or agents may be deemed to be underwriting commissions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 may agree to indemnify underwriters, broker-dealers, or agents against certain liabilities, including liabilities under the Securities Act, and may also agree to contribute to payments which the underwriters, broker-dealers, or agents may be required to make.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broker-dealers, or agents who may become involved in the sale of the shares of common stock may engage in transactions with and perform other services for us in the ordinary course of their business for which they receive customary compensation. </w:t>
      </w:r>
    </w:p>
    <w:p>
      <w:pPr>
        <w:pStyle w:val="TextBody"/>
        <w:bidi w:val="0"/>
        <w:spacing w:before="240" w:after="0"/>
        <w:jc w:val="left"/>
        <w:rPr>
          <w:rFonts w:ascii="Times New Roman" w:hAnsi="Times New Roman"/>
          <w:sz w:val="20"/>
        </w:rPr>
      </w:pPr>
      <w:r>
        <w:rPr>
          <w:rFonts w:ascii="Times New Roman" w:hAnsi="Times New Roman"/>
          <w:sz w:val="20"/>
        </w:rPr>
        <w:t xml:space="preserve">Some of the shares of common stock covered by this prospectus may be sold by the selling stockholder in private transactions or under Rule 144 under the Securities Act rather than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78702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by this prospectus will be passed upon for us by Simpson Thacher &amp; Bartlett LLP, New York, New York. An investment vehicle comprised of several partners of Simpson Thacher &amp; Bartlett LLP, members of their families, related persons and others own interests representing less than 1% of the capital commitments of funds affiliated with Silver Lake. Legal matters may be passed upon for us, the selling stockholder,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14" w:name="tx178702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First Advantage Corporation and subsidiaries incorporated by reference in this Prospectus, and the effectiveness of First Advantage Corporation’s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78702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on Form S-3 under the Securities Act with respect to the common stock offered by this prospectus with the SEC.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contained in this prospectus regarding the contents of any contract or other document referred to in those documents are not necessarily complete, and in each instance we refer you to the copy of the contract or other document filed as an exhibit to the registration statement or other document. Each of these statements is qualified in all respects by this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reporting requirements of the Exchange Act and, in accordance with the Exchange Act, we file annual, quarterly and current reports, proxy statements and other information with the SEC. Our filings with the SEC are available to the public on the SEC’s website at http://www.sec.gov. Those filings are also available to the public on, or accessible through, our website (www.fadv.com). The information we file with the SEC or contained on or accessible through our corporate website or any other website that we may maintain is not part of this prospectus or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We intend to make available to our common stockholders annual reports containing consolidated financial statements audited by an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78702_14"/>
      <w:bookmarkEnd w:id="16"/>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information we file with the SEC. This means that we are disclosing important information to you by referring to other documents. The information incorporated by reference is considered to be part of this prospectus. To the extent there are inconsistencies between the information contained in this prospectus and the information contained in the documents filed with the SEC prior to the date of this prospectus and incorporated by reference, the information in this prospectus shall be deemed to supersede the information in such incorporated documents. We incorporate by reference the documents listed below (other than any portions thereof, which under the Exchange Act, and applicable SEC rules, are not deemed “filed” under the Exchange Act, unless expressly stated otherwise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for the quarterly periods ended </w:t>
            </w:r>
            <w:hyperlink r:id="rId4">
              <w:r>
                <w:rPr>
                  <w:rStyle w:val="InternetLink"/>
                  <w:rFonts w:ascii="Times New Roman" w:hAnsi="Times New Roman"/>
                  <w:sz w:val="20"/>
                </w:rPr>
                <w:t>March 31, 2026</w:t>
              </w:r>
            </w:hyperlink>
            <w:r>
              <w:rPr>
                <w:rFonts w:ascii="Times New Roman" w:hAnsi="Times New Roman"/>
                <w:sz w:val="20"/>
              </w:rPr>
              <w:t xml:space="preserve"> and </w:t>
            </w:r>
            <w:hyperlink r:id="rId5">
              <w:r>
                <w:rPr>
                  <w:rStyle w:val="InternetLink"/>
                  <w:rFonts w:ascii="Times New Roman" w:hAnsi="Times New Roman"/>
                  <w:sz w:val="20"/>
                </w:rPr>
                <w:t>June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6">
              <w:r>
                <w:rPr>
                  <w:rStyle w:val="InternetLink"/>
                  <w:rFonts w:ascii="Times New Roman" w:hAnsi="Times New Roman"/>
                  <w:sz w:val="20"/>
                </w:rPr>
                <w:t>Form 10-K</w:t>
              </w:r>
            </w:hyperlink>
            <w:r>
              <w:rPr>
                <w:rFonts w:ascii="Times New Roman" w:hAnsi="Times New Roman"/>
                <w:sz w:val="20"/>
              </w:rPr>
              <w:t xml:space="preserve"> for the fiscal year ended December 31, 2025 from our Definitive Proxy Statement on </w:t>
            </w:r>
            <w:hyperlink r:id="rId7">
              <w:r>
                <w:rPr>
                  <w:rStyle w:val="InternetLink"/>
                  <w:rFonts w:ascii="Times New Roman" w:hAnsi="Times New Roman"/>
                  <w:sz w:val="20"/>
                </w:rPr>
                <w:t>Schedule 14A</w:t>
              </w:r>
            </w:hyperlink>
            <w:r>
              <w:rPr>
                <w:rFonts w:ascii="Times New Roman" w:hAnsi="Times New Roman"/>
                <w:sz w:val="20"/>
              </w:rPr>
              <w:t xml:space="preserve"> filed on April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8">
              <w:r>
                <w:rPr>
                  <w:rStyle w:val="InternetLink"/>
                  <w:rFonts w:ascii="Times New Roman" w:hAnsi="Times New Roman"/>
                  <w:sz w:val="20"/>
                </w:rPr>
                <w:t>January 30, 2026</w:t>
              </w:r>
            </w:hyperlink>
            <w:r>
              <w:rPr>
                <w:rFonts w:ascii="Times New Roman" w:hAnsi="Times New Roman"/>
                <w:sz w:val="20"/>
              </w:rPr>
              <w:t xml:space="preserve">, </w:t>
            </w:r>
            <w:hyperlink r:id="rId9">
              <w:r>
                <w:rPr>
                  <w:rStyle w:val="InternetLink"/>
                  <w:rFonts w:ascii="Times New Roman" w:hAnsi="Times New Roman"/>
                  <w:sz w:val="20"/>
                </w:rPr>
                <w:t>and June 8,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documents filed by us under Sections 13(a), 13(c), 14 or 15(d) of the Exchange Act after the date of this prospectus and before the termination of the offerings to which this prospectus relates.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to whom a copy of this prospectus has been delivered, a copy of any and all of these filings. You may request a copy of these filings by calling us at 678-868-4151 or writing to us at: </w:t>
      </w:r>
    </w:p>
    <w:p>
      <w:pPr>
        <w:pStyle w:val="TextBody"/>
        <w:bidi w:val="0"/>
        <w:spacing w:before="240" w:after="0"/>
        <w:jc w:val="center"/>
        <w:rPr>
          <w:rFonts w:ascii="Times New Roman" w:hAnsi="Times New Roman"/>
          <w:sz w:val="20"/>
        </w:rPr>
      </w:pPr>
      <w:r>
        <w:rPr>
          <w:rFonts w:ascii="Times New Roman" w:hAnsi="Times New Roman"/>
          <w:sz w:val="20"/>
        </w:rPr>
        <w:t xml:space="preserve">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First Advantage Corporation </w:t>
      </w:r>
    </w:p>
    <w:p>
      <w:pPr>
        <w:pStyle w:val="TextBody"/>
        <w:bidi w:val="0"/>
        <w:spacing w:before="0" w:after="0"/>
        <w:jc w:val="center"/>
        <w:rPr>
          <w:rFonts w:ascii="Times New Roman" w:hAnsi="Times New Roman"/>
          <w:sz w:val="20"/>
        </w:rPr>
      </w:pPr>
      <w:r>
        <w:rPr>
          <w:rFonts w:ascii="Times New Roman" w:hAnsi="Times New Roman"/>
          <w:sz w:val="20"/>
        </w:rPr>
        <w:t xml:space="preserve">1 Concourse Parkway NE, Suite 200 </w:t>
      </w:r>
    </w:p>
    <w:p>
      <w:pPr>
        <w:pStyle w:val="TextBody"/>
        <w:bidi w:val="0"/>
        <w:spacing w:before="0" w:after="0"/>
        <w:jc w:val="center"/>
        <w:rPr>
          <w:rFonts w:ascii="Times New Roman" w:hAnsi="Times New Roman"/>
          <w:sz w:val="20"/>
        </w:rPr>
      </w:pPr>
      <w:r>
        <w:rPr>
          <w:rFonts w:ascii="Times New Roman" w:hAnsi="Times New Roman"/>
          <w:sz w:val="20"/>
        </w:rPr>
        <w:t xml:space="preserve">Atlanta, GA 30328 </w:t>
      </w:r>
    </w:p>
    <w:p>
      <w:pPr>
        <w:pStyle w:val="TextBody"/>
        <w:bidi w:val="0"/>
        <w:spacing w:before="0" w:after="0"/>
        <w:jc w:val="center"/>
        <w:rPr>
          <w:rFonts w:ascii="Times New Roman" w:hAnsi="Times New Roman"/>
          <w:sz w:val="20"/>
        </w:rPr>
      </w:pPr>
      <w:r>
        <w:rPr>
          <w:rFonts w:ascii="Times New Roman" w:hAnsi="Times New Roman"/>
          <w:sz w:val="20"/>
        </w:rPr>
        <w:t xml:space="preserve">e-mail: investors@fadv.com </w:t>
      </w:r>
    </w:p>
    <w:p>
      <w:pPr>
        <w:pStyle w:val="TextBody"/>
        <w:bidi w:val="0"/>
        <w:spacing w:before="240" w:after="0"/>
        <w:jc w:val="left"/>
        <w:rPr>
          <w:rFonts w:ascii="Times New Roman" w:hAnsi="Times New Roman"/>
          <w:sz w:val="20"/>
        </w:rPr>
      </w:pPr>
      <w:r>
        <w:rPr>
          <w:rFonts w:ascii="Times New Roman" w:hAnsi="Times New Roman"/>
          <w:sz w:val="20"/>
        </w:rPr>
        <w:t xml:space="preserve">Exhibits to any documents incorporated by reference in this prospectus will not be sent, however, unless those exhibits have been specifically referenced in this 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960" w:after="0"/>
        <w:jc w:val="center"/>
        <w:rPr>
          <w:rFonts w:ascii="Times New Roman" w:hAnsi="Times New Roman"/>
          <w:b/>
          <w:sz w:val="32"/>
        </w:rPr>
      </w:pPr>
      <w:r>
        <w:rPr>
          <w:rFonts w:ascii="Times New Roman" w:hAnsi="Times New Roman"/>
          <w:b/>
          <w:sz w:val="32"/>
        </w:rPr>
        <w:t xml:space="preserve">87,450,000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5623560" cy="898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5623560" cy="898525"/>
                    </a:xfrm>
                    <a:prstGeom prst="rect">
                      <a:avLst/>
                    </a:prstGeom>
                  </pic:spPr>
                </pic:pic>
              </a:graphicData>
            </a:graphic>
          </wp:inline>
        </w:drawing>
      </w:r>
      <w:r>
        <w:rPr/>
        <w:t xml:space="preserve"> </w:t>
      </w:r>
    </w:p>
    <w:p>
      <w:pPr>
        <w:pStyle w:val="TextBody"/>
        <w:bidi w:val="0"/>
        <w:spacing w:before="360" w:after="0"/>
        <w:jc w:val="center"/>
        <w:rPr>
          <w:rFonts w:ascii="Times New Roman" w:hAnsi="Times New Roman"/>
          <w:b/>
          <w:sz w:val="48"/>
        </w:rPr>
      </w:pPr>
      <w:r>
        <w:rPr>
          <w:rFonts w:ascii="Times New Roman" w:hAnsi="Times New Roman"/>
          <w:b/>
          <w:sz w:val="48"/>
        </w:rPr>
        <w:t xml:space="preserve">First Advantage Corporation </w:t>
      </w:r>
    </w:p>
    <w:p>
      <w:pPr>
        <w:pStyle w:val="TextBody"/>
        <w:bidi w:val="0"/>
        <w:spacing w:before="36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5200" w:after="0"/>
        <w:jc w:val="center"/>
        <w:rPr>
          <w:rFonts w:ascii="Times New Roman" w:hAnsi="Times New Roman"/>
          <w:b/>
          <w:sz w:val="20"/>
        </w:rPr>
      </w:pPr>
      <w:r>
        <w:rPr>
          <w:rFonts w:ascii="Times New Roman" w:hAnsi="Times New Roman"/>
          <w:b/>
          <w:sz w:val="20"/>
        </w:rPr>
        <w:t xml:space="preserve">August 10,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expenses payable by the Registrant expected to be incurred in connection with the issuance and distribution of shares of common stock being registered hereby (other than the underwriting discounts and commissions). All of such expenses are estimates, except for the Securities and Exchange Commission, or the SEC, registration fee and the Financial Industry Regulatory Authority Inc., or FINRA, filing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68"/>
        <w:gridCol w:w="344"/>
        <w:gridCol w:w="1227"/>
      </w:tblGrid>
      <w:tr>
        <w:trPr/>
        <w:tc>
          <w:tcPr>
            <w:tcW w:w="5368"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5368" w:type="dxa"/>
            <w:tcBorders/>
            <w:vAlign w:val="bottom"/>
          </w:tcPr>
          <w:p>
            <w:pPr>
              <w:pStyle w:val="TableContents"/>
              <w:bidi w:val="0"/>
              <w:spacing w:before="0" w:after="283"/>
              <w:jc w:val="left"/>
              <w:rPr>
                <w:b/>
              </w:rPr>
            </w:pPr>
            <w:r>
              <w:rPr>
                <w:b/>
              </w:rPr>
              <w:t>(dollars in thousands)</w:t>
            </w:r>
          </w:p>
        </w:tc>
        <w:tc>
          <w:tcPr>
            <w:tcW w:w="344"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left"/>
              <w:rPr/>
            </w:pPr>
            <w:r>
              <w:rPr/>
              <w:t> </w:t>
            </w:r>
          </w:p>
        </w:tc>
      </w:tr>
      <w:tr>
        <w:trPr/>
        <w:tc>
          <w:tcPr>
            <w:tcW w:w="53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344"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left"/>
              <w:rPr/>
            </w:pPr>
            <w:r>
              <w:rPr/>
              <w:t>$245,884.56</w:t>
            </w:r>
          </w:p>
        </w:tc>
      </w:tr>
      <w:tr>
        <w:trPr/>
        <w:tc>
          <w:tcPr>
            <w:tcW w:w="5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344"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left"/>
              <w:rPr/>
            </w:pPr>
            <w:r>
              <w:rPr/>
              <w:t>   </w:t>
            </w:r>
            <w:r>
              <w:rPr/>
              <w:t>*</w:t>
            </w:r>
          </w:p>
        </w:tc>
      </w:tr>
      <w:tr>
        <w:trPr/>
        <w:tc>
          <w:tcPr>
            <w:tcW w:w="53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Printing fees and expenses</w:t>
            </w:r>
          </w:p>
        </w:tc>
        <w:tc>
          <w:tcPr>
            <w:tcW w:w="344"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left"/>
              <w:rPr/>
            </w:pPr>
            <w:r>
              <w:rPr/>
              <w:t>   </w:t>
            </w:r>
            <w:r>
              <w:rPr/>
              <w:t>*</w:t>
            </w:r>
          </w:p>
        </w:tc>
      </w:tr>
      <w:tr>
        <w:trPr/>
        <w:tc>
          <w:tcPr>
            <w:tcW w:w="5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344"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left"/>
              <w:rPr/>
            </w:pPr>
            <w:r>
              <w:rPr/>
              <w:t>   </w:t>
            </w:r>
            <w:r>
              <w:rPr/>
              <w:t>*</w:t>
            </w:r>
          </w:p>
        </w:tc>
      </w:tr>
      <w:tr>
        <w:trPr/>
        <w:tc>
          <w:tcPr>
            <w:tcW w:w="53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344"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left"/>
              <w:rPr/>
            </w:pPr>
            <w:r>
              <w:rPr/>
              <w:t>   </w:t>
            </w:r>
            <w:r>
              <w:rPr/>
              <w:t>*</w:t>
            </w:r>
          </w:p>
        </w:tc>
      </w:tr>
      <w:tr>
        <w:trPr/>
        <w:tc>
          <w:tcPr>
            <w:tcW w:w="5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Blue Sky fees and expenses (including legal fees)</w:t>
            </w:r>
          </w:p>
        </w:tc>
        <w:tc>
          <w:tcPr>
            <w:tcW w:w="344"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left"/>
              <w:rPr/>
            </w:pPr>
            <w:r>
              <w:rPr/>
              <w:t>   </w:t>
            </w:r>
            <w:r>
              <w:rPr/>
              <w:t>*</w:t>
            </w:r>
          </w:p>
        </w:tc>
      </w:tr>
      <w:tr>
        <w:trPr/>
        <w:tc>
          <w:tcPr>
            <w:tcW w:w="53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 and expenses</w:t>
            </w:r>
          </w:p>
        </w:tc>
        <w:tc>
          <w:tcPr>
            <w:tcW w:w="344"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left"/>
              <w:rPr/>
            </w:pPr>
            <w:r>
              <w:rPr/>
              <w:t>   </w:t>
            </w:r>
            <w:r>
              <w:rPr/>
              <w:t>*</w:t>
            </w:r>
          </w:p>
        </w:tc>
      </w:tr>
      <w:tr>
        <w:trPr/>
        <w:tc>
          <w:tcPr>
            <w:tcW w:w="53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344"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left"/>
              <w:rPr/>
            </w:pPr>
            <w:r>
              <w:rPr/>
              <w:t>   </w:t>
            </w:r>
            <w:r>
              <w:rPr/>
              <w:t>*</w:t>
            </w:r>
          </w:p>
        </w:tc>
      </w:tr>
      <w:tr>
        <w:trPr/>
        <w:tc>
          <w:tcPr>
            <w:tcW w:w="5368"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r>
      <w:tr>
        <w:trPr/>
        <w:tc>
          <w:tcPr>
            <w:tcW w:w="53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44"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left"/>
              <w:rPr/>
            </w:pPr>
            <w:r>
              <w:rPr/>
              <w:t>$   *</w:t>
            </w:r>
          </w:p>
        </w:tc>
      </w:tr>
      <w:tr>
        <w:trPr/>
        <w:tc>
          <w:tcPr>
            <w:tcW w:w="5368"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required, any applicable prospectus supplement will set forth the estimated aggregate amount of expenses payable in respect of any offering of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102(b)(7) of the Delaware General Corporation Law, or the DGCL, allows a corporation to provide in its certificate of incorporation that a director or officer of the corporation will not be personally liable to the corporation or its stockholders for monetary damages for breach of fiduciary duty as a director or officer, as applicable, except where the director or officer breached the duty of loyalty, failed to act in good faith, engaged in intentional misconduct or knowingly violated a law, or obtained an improper personal benefit, or where the director authorized the payment of a dividend or approved a stock repurchase in violation of Delaware corporate law. In addition, any such provision may not limit or eliminate the liability of any officer in any action by or in the right of the corporation, including any derivative claims. Our amended and restated certificate of incorporation provides for this limitation of liability.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 </w:t>
      </w:r>
    </w:p>
    <w:p>
      <w:pPr>
        <w:pStyle w:val="TextBody"/>
        <w:bidi w:val="0"/>
        <w:spacing w:before="240" w:after="0"/>
        <w:jc w:val="left"/>
        <w:rPr>
          <w:rFonts w:ascii="Times New Roman" w:hAnsi="Times New Roman"/>
          <w:sz w:val="20"/>
        </w:rPr>
      </w:pPr>
      <w:r>
        <w:rPr>
          <w:rFonts w:ascii="Times New Roman" w:hAnsi="Times New Roman"/>
          <w:sz w:val="20"/>
        </w:rPr>
        <w:t xml:space="preserve">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bylaws provide that we must indemnify, and advance expenses to, our directors and officers to the full extent authorized by the DGCL.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t>
      </w:r>
    </w:p>
    <w:p>
      <w:pPr>
        <w:pStyle w:val="TextBody"/>
        <w:bidi w:val="0"/>
        <w:spacing w:before="240" w:after="0"/>
        <w:jc w:val="left"/>
        <w:rPr>
          <w:rFonts w:ascii="Times New Roman" w:hAnsi="Times New Roman"/>
          <w:sz w:val="20"/>
        </w:rPr>
      </w:pPr>
      <w:r>
        <w:rPr>
          <w:rFonts w:ascii="Times New Roman" w:hAnsi="Times New Roman"/>
          <w:sz w:val="20"/>
        </w:rPr>
        <w:t xml:space="preserve">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 Notwithstanding the foregoing, we shall not be obligated to indemnify a director or officer in respect of a proceeding (or part thereof) instituted by such director or officer, unless such proceeding (or part thereof) has been authorized by our board of directors pursuant to the applicable procedure outlined in the amended and restated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 </w:t>
      </w:r>
    </w:p>
    <w:p>
      <w:pPr>
        <w:pStyle w:val="TextBody"/>
        <w:bidi w:val="0"/>
        <w:spacing w:before="240" w:after="0"/>
        <w:jc w:val="left"/>
        <w:rPr>
          <w:rFonts w:ascii="Times New Roman" w:hAnsi="Times New Roman"/>
          <w:sz w:val="20"/>
        </w:rPr>
      </w:pPr>
      <w:r>
        <w:rPr>
          <w:rFonts w:ascii="Times New Roman" w:hAnsi="Times New Roman"/>
          <w:sz w:val="20"/>
        </w:rPr>
        <w:t xml:space="preserve">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applicable underwriting agreement with respect to an offering will provide for indemnification by the underwriters of us and our officers and directors, and by us of the underwriters, for certain liabilities arising under the Securities Act or otherwise in connection with an offering of common stock pursuant to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us under any of the foregoing provisions, in the opinion of the SEC, such indemnification is against public policy as expressed in the Securities Act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i/>
                <w:sz w:val="20"/>
              </w:rPr>
              <w:t>Exhibits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the Exhibit Index immediately preceding the signature pages hereto, which is incorporated by reference as if fully set forth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Financial Statement Schedules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24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(A)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(B)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(C) To include any material information with respect to the plan of distribution not previously disclosed in the registration statement or any material change to such information in the registration statement.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the undertakings set forth in paragraphs (A), (B) and (C) above do not apply if the information required to be included in a post-effective amendment by those paragraphs is contained in reports filed with or furnished to the SEC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(A)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hAnsi="Times New Roman"/>
          <w:i/>
          <w:sz w:val="20"/>
        </w:rPr>
        <w:t>Provided,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(A) Any preliminary prospectus or prospectus of the undersigned registrant relating to the offering required to be filed pursuant to Rule 424; </w:t>
      </w:r>
    </w:p>
    <w:p>
      <w:pPr>
        <w:pStyle w:val="TextBody"/>
        <w:bidi w:val="0"/>
        <w:spacing w:before="120" w:after="0"/>
        <w:jc w:val="left"/>
        <w:rPr>
          <w:rFonts w:ascii="Times New Roman" w:hAnsi="Times New Roman"/>
          <w:sz w:val="20"/>
        </w:rPr>
      </w:pPr>
      <w:r>
        <w:rPr>
          <w:rFonts w:ascii="Times New Roman" w:hAnsi="Times New Roman"/>
          <w:sz w:val="20"/>
        </w:rPr>
        <w:t xml:space="preserve">(B)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(C)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0"/>
        <w:jc w:val="left"/>
        <w:rPr>
          <w:rFonts w:ascii="Times New Roman" w:hAnsi="Times New Roman"/>
          <w:sz w:val="20"/>
        </w:rPr>
      </w:pPr>
      <w:r>
        <w:rPr>
          <w:rFonts w:ascii="Times New Roman" w:hAnsi="Times New Roman"/>
          <w:sz w:val="20"/>
        </w:rPr>
        <w:t xml:space="preserve">(D) Any other communication that is an offer in the offering made by the undersigned registrant to the purchaser. </w:t>
      </w:r>
    </w:p>
    <w:p>
      <w:pPr>
        <w:pStyle w:val="TextBody"/>
        <w:bidi w:val="0"/>
        <w:spacing w:before="120" w:after="0"/>
        <w:jc w:val="left"/>
        <w:rPr>
          <w:rFonts w:ascii="Times New Roman" w:hAnsi="Times New Roman"/>
          <w:sz w:val="20"/>
        </w:rPr>
      </w:pPr>
      <w:r>
        <w:rPr>
          <w:rFonts w:ascii="Times New Roman" w:hAnsi="Times New Roman"/>
          <w:sz w:val="20"/>
        </w:rPr>
        <w:t xml:space="preserve">The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(6)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3"/>
        <w:gridCol w:w="582"/>
        <w:gridCol w:w="8730"/>
      </w:tblGrid>
      <w:tr>
        <w:trPr/>
        <w:tc>
          <w:tcPr>
            <w:tcW w:w="893" w:type="dxa"/>
            <w:tcBorders/>
            <w:vAlign w:val="center"/>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8730" w:type="dxa"/>
            <w:tcBorders/>
            <w:vAlign w:val="center"/>
          </w:tcPr>
          <w:p>
            <w:pPr>
              <w:pStyle w:val="TableContents"/>
              <w:bidi w:val="0"/>
              <w:spacing w:before="0" w:after="283"/>
              <w:jc w:val="left"/>
              <w:rPr>
                <w:sz w:val="4"/>
                <w:szCs w:val="4"/>
              </w:rPr>
            </w:pPr>
            <w:r>
              <w:rPr>
                <w:sz w:val="4"/>
                <w:szCs w:val="4"/>
              </w:rPr>
            </w:r>
          </w:p>
        </w:tc>
      </w:tr>
      <w:tr>
        <w:trPr/>
        <w:tc>
          <w:tcPr>
            <w:tcW w:w="893"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582" w:type="dxa"/>
            <w:tcBorders/>
            <w:vAlign w:val="bottom"/>
          </w:tcPr>
          <w:p>
            <w:pPr>
              <w:pStyle w:val="TableContents"/>
              <w:bidi w:val="0"/>
              <w:spacing w:before="0" w:after="283"/>
              <w:jc w:val="left"/>
              <w:rPr/>
            </w:pPr>
            <w:r>
              <w:rPr/>
              <w:t>  </w:t>
            </w:r>
          </w:p>
        </w:tc>
        <w:tc>
          <w:tcPr>
            <w:tcW w:w="87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1.1*</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r>
              <w:rPr/>
              <w:t>Form of Underwriting Agreement.</w:t>
            </w:r>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3.1</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r:id="rId11">
              <w:r>
                <w:rPr>
                  <w:rStyle w:val="InternetLink"/>
                </w:rPr>
                <w:t xml:space="preserve">Amended and Restated Certificate of Incorporation of First Advantage Corporation (incorporated herein by reference to Exhibit 3.1 of First Advantage’s Form 8-K filed on June 25, 2021).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3.2</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r:id="rId12">
              <w:r>
                <w:rPr>
                  <w:rStyle w:val="InternetLink"/>
                </w:rPr>
                <w:t xml:space="preserve">Amended and Restated Bylaws of First Advantage Corporation (incorporated herein by reference to Exhibit 3.2 of First Advantage’s Form 8-K filed on June 25, 2021).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5.1</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w:anchor="d178702dex51.htm">
              <w:r>
                <w:rPr>
                  <w:rStyle w:val="InternetLink"/>
                </w:rPr>
                <w:t xml:space="preserve">Opinion of Simpson Thacher &amp; Bartlett LLP regarding validity of the shares of common stock registered.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23.1</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w:anchor="d178702dex231.htm">
              <w:r>
                <w:rPr>
                  <w:rStyle w:val="InternetLink"/>
                </w:rPr>
                <w:t xml:space="preserve">Consent of Deloitte &amp; Touche LLP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23.2</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w:anchor="d178702dex51.htm">
              <w:r>
                <w:rPr>
                  <w:rStyle w:val="InternetLink"/>
                </w:rPr>
                <w:t xml:space="preserve">Consent of Simpson Thacher &amp; Bartlett LLP (included as part of Exhibit 5.1).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24.1</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w:anchor="sig">
              <w:r>
                <w:rPr>
                  <w:rStyle w:val="InternetLink"/>
                </w:rPr>
                <w:t xml:space="preserve">Power of Attorney (included on signature pages to this Registration Statement).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107</w:t>
            </w:r>
          </w:p>
        </w:tc>
        <w:tc>
          <w:tcPr>
            <w:tcW w:w="582" w:type="dxa"/>
            <w:tcBorders/>
            <w:vAlign w:val="bottom"/>
          </w:tcPr>
          <w:p>
            <w:pPr>
              <w:pStyle w:val="TableContents"/>
              <w:bidi w:val="0"/>
              <w:spacing w:before="0" w:after="283"/>
              <w:jc w:val="left"/>
              <w:rPr/>
            </w:pPr>
            <w:r>
              <w:rPr/>
              <w:t>  </w:t>
            </w:r>
          </w:p>
        </w:tc>
        <w:tc>
          <w:tcPr>
            <w:tcW w:w="8730" w:type="dxa"/>
            <w:tcBorders/>
          </w:tcPr>
          <w:p>
            <w:pPr>
              <w:pStyle w:val="TableContents"/>
              <w:bidi w:val="0"/>
              <w:spacing w:before="0" w:after="283"/>
              <w:jc w:val="left"/>
              <w:rPr/>
            </w:pPr>
            <w:hyperlink w:anchor="d178702dexfilingfees.htm">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or as an exhibit to a document incorporated by reference into this registration statement at a later date, in connection with a specific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ig"/>
      <w:bookmarkEnd w:id="17"/>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has duly caused this registration statement to be signed on its behalf by the undersigned, thereunto duly authorized, in the City of Atlanta, Georgia, on August 10,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FIRST ADVANTAGE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Scott Staples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Scott Staples</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MEN BY THESE PRESENTS, that each person whose signature appears below hereby constitutes and appoints Steven Marks and Bret T. Jardine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of First Advantage Corporation, including any filings pursuant to Rule 462(b) under the Securities Act of 1933, as amended,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enable First Advantage Corporation to comply with the provisions of the Securities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 in the capacities indicated on August 10,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6"/>
        <w:gridCol w:w="207"/>
        <w:gridCol w:w="5312"/>
      </w:tblGrid>
      <w:tr>
        <w:trPr/>
        <w:tc>
          <w:tcPr>
            <w:tcW w:w="4686"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5312" w:type="dxa"/>
            <w:tcBorders/>
            <w:vAlign w:val="center"/>
          </w:tcPr>
          <w:p>
            <w:pPr>
              <w:pStyle w:val="TableContents"/>
              <w:bidi w:val="0"/>
              <w:spacing w:before="0" w:after="283"/>
              <w:jc w:val="left"/>
              <w:rPr>
                <w:sz w:val="4"/>
                <w:szCs w:val="4"/>
              </w:rPr>
            </w:pPr>
            <w:r>
              <w:rPr>
                <w:sz w:val="4"/>
                <w:szCs w:val="4"/>
              </w:rPr>
            </w:r>
          </w:p>
        </w:tc>
      </w:tr>
      <w:tr>
        <w:trPr/>
        <w:tc>
          <w:tcPr>
            <w:tcW w:w="46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207" w:type="dxa"/>
            <w:tcBorders/>
            <w:vAlign w:val="bottom"/>
          </w:tcPr>
          <w:p>
            <w:pPr>
              <w:pStyle w:val="TableContents"/>
              <w:bidi w:val="0"/>
              <w:spacing w:before="0" w:after="283"/>
              <w:jc w:val="left"/>
              <w:rPr/>
            </w:pPr>
            <w:r>
              <w:rPr/>
              <w:t>  </w:t>
            </w:r>
          </w:p>
        </w:tc>
        <w:tc>
          <w:tcPr>
            <w:tcW w:w="53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Scott Staples</w:t>
            </w:r>
          </w:p>
          <w:p>
            <w:pPr>
              <w:pStyle w:val="TableContents"/>
              <w:bidi w:val="0"/>
              <w:spacing w:before="0" w:after="20"/>
              <w:jc w:val="center"/>
              <w:rPr>
                <w:rFonts w:ascii="Times New Roman" w:hAnsi="Times New Roman"/>
                <w:sz w:val="20"/>
              </w:rPr>
            </w:pPr>
            <w:r>
              <w:rPr>
                <w:rFonts w:ascii="Times New Roman" w:hAnsi="Times New Roman"/>
                <w:sz w:val="20"/>
              </w:rPr>
              <w:t>SCOTT STAPLES</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&amp;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Steven Marks</w:t>
            </w:r>
          </w:p>
          <w:p>
            <w:pPr>
              <w:pStyle w:val="TableContents"/>
              <w:bidi w:val="0"/>
              <w:spacing w:before="0" w:after="20"/>
              <w:jc w:val="center"/>
              <w:rPr>
                <w:rFonts w:ascii="Times New Roman" w:hAnsi="Times New Roman"/>
                <w:sz w:val="20"/>
              </w:rPr>
            </w:pPr>
            <w:r>
              <w:rPr>
                <w:rFonts w:ascii="Times New Roman" w:hAnsi="Times New Roman"/>
                <w:sz w:val="20"/>
              </w:rPr>
              <w:t>STEVEN MARKS</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Executive Vice President &amp; 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 and principal accounting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Joseph Osnoss</w:t>
            </w:r>
          </w:p>
          <w:p>
            <w:pPr>
              <w:pStyle w:val="TableContents"/>
              <w:bidi w:val="0"/>
              <w:spacing w:before="0" w:after="20"/>
              <w:jc w:val="center"/>
              <w:rPr>
                <w:rFonts w:ascii="Times New Roman" w:hAnsi="Times New Roman"/>
                <w:sz w:val="20"/>
              </w:rPr>
            </w:pPr>
            <w:r>
              <w:rPr>
                <w:rFonts w:ascii="Times New Roman" w:hAnsi="Times New Roman"/>
                <w:sz w:val="20"/>
              </w:rPr>
              <w:t>JOSEPH OSNOSS</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Susan R. Bell</w:t>
            </w:r>
          </w:p>
          <w:p>
            <w:pPr>
              <w:pStyle w:val="TableContents"/>
              <w:bidi w:val="0"/>
              <w:spacing w:before="0" w:after="20"/>
              <w:jc w:val="center"/>
              <w:rPr>
                <w:rFonts w:ascii="Times New Roman" w:hAnsi="Times New Roman"/>
                <w:sz w:val="20"/>
              </w:rPr>
            </w:pPr>
            <w:r>
              <w:rPr>
                <w:rFonts w:ascii="Times New Roman" w:hAnsi="Times New Roman"/>
                <w:sz w:val="20"/>
              </w:rPr>
              <w:t>SUSAN R. BELL</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Sharon Binger</w:t>
            </w:r>
          </w:p>
          <w:p>
            <w:pPr>
              <w:pStyle w:val="TableContents"/>
              <w:bidi w:val="0"/>
              <w:spacing w:before="0" w:after="20"/>
              <w:jc w:val="center"/>
              <w:rPr>
                <w:rFonts w:ascii="Times New Roman" w:hAnsi="Times New Roman"/>
                <w:sz w:val="20"/>
              </w:rPr>
            </w:pPr>
            <w:r>
              <w:rPr>
                <w:rFonts w:ascii="Times New Roman" w:hAnsi="Times New Roman"/>
                <w:sz w:val="20"/>
              </w:rPr>
              <w:t>SHARON BINGER</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James L. Clark</w:t>
            </w:r>
          </w:p>
          <w:p>
            <w:pPr>
              <w:pStyle w:val="TableContents"/>
              <w:bidi w:val="0"/>
              <w:spacing w:before="0" w:after="20"/>
              <w:jc w:val="center"/>
              <w:rPr>
                <w:rFonts w:ascii="Times New Roman" w:hAnsi="Times New Roman"/>
                <w:sz w:val="20"/>
              </w:rPr>
            </w:pPr>
            <w:r>
              <w:rPr>
                <w:rFonts w:ascii="Times New Roman" w:hAnsi="Times New Roman"/>
                <w:sz w:val="20"/>
              </w:rPr>
              <w:t>JAMES L. CLARK</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687"/>
        <w:gridCol w:w="207"/>
        <w:gridCol w:w="5311"/>
      </w:tblGrid>
      <w:tr>
        <w:trPr/>
        <w:tc>
          <w:tcPr>
            <w:tcW w:w="4687"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468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207" w:type="dxa"/>
            <w:tcBorders/>
            <w:vAlign w:val="bottom"/>
          </w:tcPr>
          <w:p>
            <w:pPr>
              <w:pStyle w:val="TableContents"/>
              <w:bidi w:val="0"/>
              <w:spacing w:before="0" w:after="283"/>
              <w:jc w:val="left"/>
              <w:rPr/>
            </w:pPr>
            <w:r>
              <w:rPr/>
              <w:t>  </w:t>
            </w:r>
          </w:p>
        </w:tc>
        <w:tc>
          <w:tcPr>
            <w:tcW w:w="53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Mark Gillett</w:t>
            </w:r>
          </w:p>
          <w:p>
            <w:pPr>
              <w:pStyle w:val="TableContents"/>
              <w:bidi w:val="0"/>
              <w:spacing w:before="0" w:after="20"/>
              <w:jc w:val="center"/>
              <w:rPr>
                <w:rFonts w:ascii="Times New Roman" w:hAnsi="Times New Roman"/>
                <w:sz w:val="20"/>
              </w:rPr>
            </w:pPr>
            <w:r>
              <w:rPr>
                <w:rFonts w:ascii="Times New Roman" w:hAnsi="Times New Roman"/>
                <w:sz w:val="20"/>
              </w:rPr>
              <w:t>MARK GILLETT</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Bridgett Price</w:t>
            </w:r>
          </w:p>
          <w:p>
            <w:pPr>
              <w:pStyle w:val="TableContents"/>
              <w:bidi w:val="0"/>
              <w:spacing w:before="0" w:after="20"/>
              <w:jc w:val="center"/>
              <w:rPr>
                <w:rFonts w:ascii="Times New Roman" w:hAnsi="Times New Roman"/>
                <w:sz w:val="20"/>
              </w:rPr>
            </w:pPr>
            <w:r>
              <w:rPr>
                <w:rFonts w:ascii="Times New Roman" w:hAnsi="Times New Roman"/>
                <w:sz w:val="20"/>
              </w:rPr>
              <w:t>BRIDGETT PRICE</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John Rudella</w:t>
            </w:r>
          </w:p>
          <w:p>
            <w:pPr>
              <w:pStyle w:val="TableContents"/>
              <w:bidi w:val="0"/>
              <w:spacing w:before="0" w:after="20"/>
              <w:jc w:val="center"/>
              <w:rPr>
                <w:rFonts w:ascii="Times New Roman" w:hAnsi="Times New Roman"/>
                <w:sz w:val="20"/>
              </w:rPr>
            </w:pPr>
            <w:r>
              <w:rPr>
                <w:rFonts w:ascii="Times New Roman" w:hAnsi="Times New Roman"/>
                <w:sz w:val="20"/>
              </w:rPr>
              <w:t>JOHN RUDELLA</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Judith Sim</w:t>
            </w:r>
          </w:p>
          <w:p>
            <w:pPr>
              <w:pStyle w:val="TableContents"/>
              <w:bidi w:val="0"/>
              <w:spacing w:before="0" w:after="20"/>
              <w:jc w:val="center"/>
              <w:rPr>
                <w:rFonts w:ascii="Times New Roman" w:hAnsi="Times New Roman"/>
                <w:sz w:val="20"/>
              </w:rPr>
            </w:pPr>
            <w:r>
              <w:rPr>
                <w:rFonts w:ascii="Times New Roman" w:hAnsi="Times New Roman"/>
                <w:sz w:val="20"/>
              </w:rPr>
              <w:t>JUDITH SIM</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bl>
    <w:p>
      <w:pPr>
        <w:pStyle w:val="TextBody"/>
        <w:bidi w:val="0"/>
        <w:spacing w:before="0" w:after="0"/>
        <w:jc w:val="right"/>
        <w:rPr>
          <w:rFonts w:ascii="Times New Roman" w:hAnsi="Times New Roman"/>
          <w:b/>
          <w:sz w:val="20"/>
        </w:rPr>
      </w:pPr>
      <w:bookmarkStart w:id="18" w:name="d178702dex51.htm"/>
      <w:bookmarkStart w:id="19" w:name="ksd178702dex51"/>
      <w:bookmarkEnd w:id="18"/>
      <w:bookmarkEnd w:id="19"/>
      <w:r>
        <w:rPr>
          <w:rFonts w:ascii="Times New Roman" w:hAnsi="Times New Roman"/>
          <w:b/>
          <w:sz w:val="20"/>
        </w:rPr>
        <w:t xml:space="preserve">Exhibit 5.1 </w:t>
      </w:r>
      <w:r>
        <w:br w:type="page"/>
      </w:r>
    </w:p>
    <w:p>
      <w:pPr>
        <w:pStyle w:val="TextBody"/>
        <w:bidi w:val="0"/>
        <w:spacing w:before="480" w:after="0"/>
        <w:jc w:val="center"/>
        <w:rPr>
          <w:rFonts w:ascii="Times New Roman" w:hAnsi="Times New Roman"/>
          <w:sz w:val="20"/>
        </w:rPr>
      </w:pPr>
      <w:r>
        <w:rPr>
          <w:rFonts w:ascii="Times New Roman" w:hAnsi="Times New Roman"/>
          <w:sz w:val="20"/>
        </w:rPr>
        <w:t xml:space="preserve">Simpson Thacher &amp; Bartlett LLP </w:t>
      </w:r>
    </w:p>
    <w:p>
      <w:pPr>
        <w:pStyle w:val="TextBody"/>
        <w:bidi w:val="0"/>
        <w:spacing w:before="120" w:after="0"/>
        <w:jc w:val="center"/>
        <w:rPr>
          <w:rFonts w:ascii="Times New Roman" w:hAnsi="Times New Roman"/>
          <w:sz w:val="16"/>
        </w:rPr>
      </w:pPr>
      <w:r>
        <w:rPr>
          <w:rFonts w:ascii="Times New Roman" w:hAnsi="Times New Roman"/>
          <w:sz w:val="16"/>
        </w:rPr>
        <w:t xml:space="preserve">425 </w:t>
      </w:r>
      <w:r>
        <w:rPr>
          <w:rFonts w:ascii="Times New Roman" w:hAnsi="Times New Roman"/>
          <w:sz w:val="20"/>
        </w:rPr>
        <w:t>LEXINGTON</w:t>
      </w:r>
      <w:r>
        <w:rPr>
          <w:rFonts w:ascii="Times New Roman" w:hAnsi="Times New Roman"/>
          <w:sz w:val="16"/>
        </w:rPr>
        <w:t xml:space="preserve"> </w:t>
      </w:r>
      <w:r>
        <w:rPr>
          <w:rFonts w:ascii="Times New Roman" w:hAnsi="Times New Roman"/>
          <w:sz w:val="20"/>
        </w:rPr>
        <w:t>AVENUE</w:t>
      </w:r>
      <w:r>
        <w:rPr>
          <w:rFonts w:ascii="Times New Roman" w:hAnsi="Times New Roman"/>
          <w:sz w:val="16"/>
        </w:rPr>
        <w:t xml:space="preserve"> </w:t>
      </w:r>
    </w:p>
    <w:p>
      <w:pPr>
        <w:pStyle w:val="TextBody"/>
        <w:bidi w:val="0"/>
        <w:spacing w:before="0" w:after="0"/>
        <w:jc w:val="center"/>
        <w:rPr>
          <w:rFonts w:ascii="Times New Roman" w:hAnsi="Times New Roman"/>
          <w:sz w:val="16"/>
        </w:rPr>
      </w:pPr>
      <w:r>
        <w:rPr>
          <w:rFonts w:ascii="Times New Roman" w:hAnsi="Times New Roman"/>
          <w:sz w:val="20"/>
        </w:rPr>
        <w:t>NEW</w:t>
      </w:r>
      <w:r>
        <w:rPr>
          <w:rFonts w:ascii="Times New Roman" w:hAnsi="Times New Roman"/>
          <w:sz w:val="16"/>
        </w:rPr>
        <w:t xml:space="preserve"> </w:t>
      </w:r>
      <w:r>
        <w:rPr>
          <w:rFonts w:ascii="Times New Roman" w:hAnsi="Times New Roman"/>
          <w:sz w:val="20"/>
        </w:rPr>
        <w:t>YORK</w:t>
      </w:r>
      <w:r>
        <w:rPr>
          <w:rFonts w:ascii="Times New Roman" w:hAnsi="Times New Roman"/>
          <w:sz w:val="16"/>
        </w:rPr>
        <w:t xml:space="preserve">, </w:t>
      </w:r>
      <w:r>
        <w:rPr>
          <w:rFonts w:ascii="Times New Roman" w:hAnsi="Times New Roman"/>
          <w:sz w:val="20"/>
        </w:rPr>
        <w:t>NY</w:t>
      </w:r>
      <w:r>
        <w:rPr>
          <w:rFonts w:ascii="Times New Roman" w:hAnsi="Times New Roman"/>
          <w:sz w:val="16"/>
        </w:rPr>
        <w:t xml:space="preserve"> 10017-3954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16"/>
        </w:rPr>
      </w:pPr>
      <w:r>
        <w:rPr>
          <w:rFonts w:ascii="Times New Roman" w:hAnsi="Times New Roman"/>
          <w:sz w:val="20"/>
        </w:rPr>
        <w:t>TELEPHONE</w:t>
      </w:r>
      <w:r>
        <w:rPr>
          <w:rFonts w:ascii="Times New Roman" w:hAnsi="Times New Roman"/>
          <w:sz w:val="16"/>
        </w:rPr>
        <w:t xml:space="preserve">: +1-212-455-2000 </w:t>
      </w:r>
    </w:p>
    <w:p>
      <w:pPr>
        <w:pStyle w:val="TextBody"/>
        <w:bidi w:val="0"/>
        <w:spacing w:before="0" w:after="0"/>
        <w:jc w:val="center"/>
        <w:rPr>
          <w:rFonts w:ascii="Times New Roman" w:hAnsi="Times New Roman"/>
          <w:sz w:val="16"/>
        </w:rPr>
      </w:pPr>
      <w:r>
        <w:rPr>
          <w:rFonts w:ascii="Times New Roman" w:hAnsi="Times New Roman"/>
          <w:sz w:val="20"/>
        </w:rPr>
        <w:t>FACSIMILE</w:t>
      </w:r>
      <w:r>
        <w:rPr>
          <w:rFonts w:ascii="Times New Roman" w:hAnsi="Times New Roman"/>
          <w:sz w:val="16"/>
        </w:rPr>
        <w:t xml:space="preserve">: +1-212-455-2502 </w:t>
      </w:r>
    </w:p>
    <w:p>
      <w:pPr>
        <w:pStyle w:val="TextBody"/>
        <w:bidi w:val="0"/>
        <w:spacing w:before="240" w:after="0"/>
        <w:jc w:val="right"/>
        <w:rPr>
          <w:rFonts w:ascii="Times New Roman" w:hAnsi="Times New Roman"/>
          <w:sz w:val="20"/>
        </w:rPr>
      </w:pPr>
      <w:r>
        <w:rPr>
          <w:rFonts w:ascii="Times New Roman" w:hAnsi="Times New Roman"/>
          <w:sz w:val="20"/>
        </w:rPr>
        <w:t xml:space="preserve">August 10, 2026 </w:t>
      </w:r>
    </w:p>
    <w:p>
      <w:pPr>
        <w:pStyle w:val="TextBody"/>
        <w:bidi w:val="0"/>
        <w:spacing w:before="360" w:after="0"/>
        <w:jc w:val="left"/>
        <w:rPr>
          <w:rFonts w:ascii="Times New Roman" w:hAnsi="Times New Roman"/>
          <w:sz w:val="20"/>
        </w:rPr>
      </w:pPr>
      <w:r>
        <w:rPr>
          <w:rFonts w:ascii="Times New Roman" w:hAnsi="Times New Roman"/>
          <w:sz w:val="20"/>
        </w:rPr>
        <w:t xml:space="preserve">First Advantage Corporation </w:t>
      </w:r>
    </w:p>
    <w:p>
      <w:pPr>
        <w:pStyle w:val="TextBody"/>
        <w:bidi w:val="0"/>
        <w:spacing w:before="0" w:after="0"/>
        <w:jc w:val="left"/>
        <w:rPr>
          <w:rFonts w:ascii="Times New Roman" w:hAnsi="Times New Roman"/>
          <w:sz w:val="20"/>
        </w:rPr>
      </w:pPr>
      <w:r>
        <w:rPr>
          <w:rFonts w:ascii="Times New Roman" w:hAnsi="Times New Roman"/>
          <w:sz w:val="20"/>
        </w:rPr>
        <w:t xml:space="preserve">1 Concourse Parkway NE, Suite 200 </w:t>
      </w:r>
    </w:p>
    <w:p>
      <w:pPr>
        <w:pStyle w:val="TextBody"/>
        <w:bidi w:val="0"/>
        <w:spacing w:before="0" w:after="0"/>
        <w:jc w:val="left"/>
        <w:rPr>
          <w:rFonts w:ascii="Times New Roman" w:hAnsi="Times New Roman"/>
          <w:sz w:val="20"/>
        </w:rPr>
      </w:pPr>
      <w:r>
        <w:rPr>
          <w:rFonts w:ascii="Times New Roman" w:hAnsi="Times New Roman"/>
          <w:sz w:val="20"/>
        </w:rPr>
        <w:t xml:space="preserve">Atlanta, Georgia 30328 </w:t>
      </w:r>
    </w:p>
    <w:p>
      <w:pPr>
        <w:pStyle w:val="TextBody"/>
        <w:bidi w:val="0"/>
        <w:spacing w:before="240" w:after="0"/>
        <w:jc w:val="left"/>
        <w:rPr>
          <w:rFonts w:ascii="Times New Roman" w:hAnsi="Times New Roman"/>
          <w:sz w:val="20"/>
        </w:rPr>
      </w:pPr>
      <w:r>
        <w:rPr>
          <w:rFonts w:ascii="Times New Roman" w:hAnsi="Times New Roman"/>
          <w:sz w:val="20"/>
        </w:rPr>
        <w:t xml:space="preserve">To the Addressee Stated Above: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counsel to First Advantage Corporation, a Delaware corporation (the “Company”), in connection with the Registration Statement on Form S-3 (the “Registration Statement”) filed by the Company with the Securities and Exchange Commission (the “Commission”) under the Securities Act of 1933, as amended (the “Act”), relating to the sale of up to 87,450,000 shares of common stock, par value $0.001 per share (the “Common Stock”), of the Company that may be sold from time to time by the selling stockholder identified in the Registration Statement (the “Selling Stockholder Shares”). The Selling Stockholder Shares may be sold or delivered from time to time as set forth in the Registration Statement, any amendment thereto, the prospectus contained therein (the “Prospectus”) and any supplements to the Prospectus pursuant to Rule 415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the Registration Statement and the Amended and Restated Certificate of Incorporation of the Company included as Exhibit 3.1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 hereinafter set forth. </w:t>
      </w:r>
    </w:p>
    <w:p>
      <w:pPr>
        <w:pStyle w:val="TextBody"/>
        <w:bidi w:val="0"/>
        <w:spacing w:before="0" w:after="0"/>
        <w:jc w:val="left"/>
        <w:rPr/>
      </w:pPr>
      <w:r>
        <w:rPr/>
        <w:t> </w:t>
      </w:r>
    </w:p>
    <w:p>
      <w:pPr>
        <w:pStyle w:val="TextBody"/>
        <w:bidi w:val="0"/>
        <w:spacing w:before="0" w:after="0"/>
        <w:jc w:val="left"/>
        <w:rPr/>
      </w:pPr>
      <w:r>
        <w:rPr/>
        <w:t> </w:t>
      </w:r>
    </w:p>
    <w:tbl>
      <w:tblPr>
        <w:tblW w:w="20080" w:type="dxa"/>
        <w:jc w:val="center"/>
        <w:tblInd w:w="0" w:type="dxa"/>
        <w:tblLayout w:type="fixed"/>
        <w:tblCellMar>
          <w:top w:w="0" w:type="dxa"/>
          <w:left w:w="0" w:type="dxa"/>
          <w:bottom w:w="0" w:type="dxa"/>
          <w:right w:w="0" w:type="dxa"/>
        </w:tblCellMar>
      </w:tblPr>
      <w:tblGrid>
        <w:gridCol w:w="935"/>
        <w:gridCol w:w="60"/>
        <w:gridCol w:w="1010"/>
        <w:gridCol w:w="60"/>
        <w:gridCol w:w="1235"/>
        <w:gridCol w:w="60"/>
        <w:gridCol w:w="995"/>
        <w:gridCol w:w="60"/>
        <w:gridCol w:w="1520"/>
        <w:gridCol w:w="60"/>
        <w:gridCol w:w="1205"/>
        <w:gridCol w:w="60"/>
        <w:gridCol w:w="1070"/>
        <w:gridCol w:w="60"/>
        <w:gridCol w:w="1670"/>
        <w:gridCol w:w="60"/>
        <w:gridCol w:w="1760"/>
        <w:gridCol w:w="60"/>
        <w:gridCol w:w="1385"/>
        <w:gridCol w:w="60"/>
        <w:gridCol w:w="1955"/>
        <w:gridCol w:w="60"/>
        <w:gridCol w:w="1400"/>
        <w:gridCol w:w="60"/>
        <w:gridCol w:w="890"/>
        <w:gridCol w:w="60"/>
        <w:gridCol w:w="2270"/>
      </w:tblGrid>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bottom"/>
          </w:tcPr>
          <w:p>
            <w:pPr>
              <w:pStyle w:val="TableContents"/>
              <w:bidi w:val="0"/>
              <w:spacing w:before="0" w:after="283"/>
              <w:jc w:val="center"/>
              <w:rPr/>
            </w:pPr>
            <w:r>
              <w:rPr/>
              <w:t>BEIJING</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center"/>
              <w:rPr/>
            </w:pPr>
            <w:r>
              <w:rPr/>
              <w:t>BOSTON</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center"/>
              <w:rPr/>
            </w:pPr>
            <w:r>
              <w:rPr/>
              <w:t>BRUSSELS</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DALLAS</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HONG KONG</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center"/>
              <w:rPr/>
            </w:pPr>
            <w:r>
              <w:rPr/>
              <w:t>HOUSTON</w:t>
            </w:r>
          </w:p>
        </w:tc>
        <w:tc>
          <w:tcPr>
            <w:tcW w:w="6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LONDON</w:t>
            </w:r>
          </w:p>
        </w:tc>
        <w:tc>
          <w:tcPr>
            <w:tcW w:w="60"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center"/>
              <w:rPr/>
            </w:pPr>
            <w:r>
              <w:rPr/>
              <w:t>LOS ANGELES</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center"/>
              <w:rPr/>
            </w:pPr>
            <w:r>
              <w:rPr/>
              <w:t>LUXEMBOURG</w:t>
            </w:r>
          </w:p>
        </w:tc>
        <w:tc>
          <w:tcPr>
            <w:tcW w:w="60"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center"/>
              <w:rPr/>
            </w:pPr>
            <w:r>
              <w:rPr/>
              <w:t>PALO ALTO</w:t>
            </w:r>
          </w:p>
        </w:tc>
        <w:tc>
          <w:tcPr>
            <w:tcW w:w="60" w:type="dxa"/>
            <w:tcBorders/>
            <w:vAlign w:val="bottom"/>
          </w:tcPr>
          <w:p>
            <w:pPr>
              <w:pStyle w:val="TableContents"/>
              <w:bidi w:val="0"/>
              <w:spacing w:before="0" w:after="283"/>
              <w:jc w:val="left"/>
              <w:rPr/>
            </w:pPr>
            <w:r>
              <w:rPr/>
              <w:t> </w:t>
            </w:r>
          </w:p>
        </w:tc>
        <w:tc>
          <w:tcPr>
            <w:tcW w:w="1955" w:type="dxa"/>
            <w:tcBorders/>
            <w:vAlign w:val="bottom"/>
          </w:tcPr>
          <w:p>
            <w:pPr>
              <w:pStyle w:val="TableContents"/>
              <w:bidi w:val="0"/>
              <w:spacing w:before="0" w:after="283"/>
              <w:jc w:val="center"/>
              <w:rPr/>
            </w:pPr>
            <w:r>
              <w:rPr/>
              <w:t>SAN FRANCISCO</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pPr>
            <w:r>
              <w:rPr/>
              <w:t>SÃO PAULO</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center"/>
              <w:rPr/>
            </w:pPr>
            <w:r>
              <w:rPr/>
              <w:t>TOKYO</w:t>
            </w:r>
          </w:p>
        </w:tc>
        <w:tc>
          <w:tcPr>
            <w:tcW w:w="60" w:type="dxa"/>
            <w:tcBorders/>
            <w:vAlign w:val="bottom"/>
          </w:tcPr>
          <w:p>
            <w:pPr>
              <w:pStyle w:val="TableContents"/>
              <w:bidi w:val="0"/>
              <w:spacing w:before="0" w:after="283"/>
              <w:jc w:val="left"/>
              <w:rPr/>
            </w:pPr>
            <w:r>
              <w:rPr/>
              <w:t> </w:t>
            </w:r>
          </w:p>
        </w:tc>
        <w:tc>
          <w:tcPr>
            <w:tcW w:w="2270" w:type="dxa"/>
            <w:tcBorders/>
            <w:vAlign w:val="bottom"/>
          </w:tcPr>
          <w:p>
            <w:pPr>
              <w:pStyle w:val="TableContents"/>
              <w:bidi w:val="0"/>
              <w:spacing w:before="0" w:after="283"/>
              <w:jc w:val="center"/>
              <w:rPr/>
            </w:pPr>
            <w:r>
              <w:rPr/>
              <w:t>WASHINGTON, D.C.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68"/>
        <w:gridCol w:w="101"/>
        <w:gridCol w:w="3368"/>
        <w:gridCol w:w="102"/>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right"/>
              <w:rPr/>
            </w:pPr>
            <w:r>
              <w:rPr/>
              <w:t xml:space="preserve">Simpson Thacher &amp; Bartlett </w:t>
            </w:r>
            <w:r>
              <w:rPr>
                <w:sz w:val="20"/>
              </w:rPr>
              <w:t>LLP</w:t>
            </w:r>
          </w:p>
        </w:tc>
      </w:tr>
      <w:tr>
        <w:trPr/>
        <w:tc>
          <w:tcPr>
            <w:tcW w:w="3368" w:type="dxa"/>
            <w:tcBorders/>
          </w:tcPr>
          <w:p>
            <w:pPr>
              <w:pStyle w:val="TableContents"/>
              <w:bidi w:val="0"/>
              <w:spacing w:before="0" w:after="283"/>
              <w:jc w:val="left"/>
              <w:rPr/>
            </w:pPr>
            <w:r>
              <w:rPr/>
              <w:t>First Advantage Corporation</w:t>
            </w:r>
          </w:p>
        </w:tc>
        <w:tc>
          <w:tcPr>
            <w:tcW w:w="101"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center"/>
              <w:rPr/>
            </w:pPr>
            <w:r>
              <w:rPr/>
              <w:t>- 2 -</w:t>
            </w:r>
          </w:p>
        </w:tc>
        <w:tc>
          <w:tcPr>
            <w:tcW w:w="102"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right"/>
              <w:rPr/>
            </w:pPr>
            <w:r>
              <w:rPr/>
              <w:t>August 10, 2026  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rendering the opinion set forth below, we have assumed the genuineness of all signatures, including electronic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qualifications, assumptions and limitations stated herein, we are of the opinion that the Selling Stockholder Shares are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do not express any opinion herein concerning any law other than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Exhibit 5.1 to the Registration Statement and to the use of our name under the caption “Legal Matters” in the Prospectus included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SIMPSON THACHER &amp; BARTLETT LLP </w:t>
      </w:r>
    </w:p>
    <w:p>
      <w:pPr>
        <w:pStyle w:val="TextBody"/>
        <w:bidi w:val="0"/>
        <w:spacing w:before="0" w:after="0"/>
        <w:jc w:val="right"/>
        <w:rPr>
          <w:rFonts w:ascii="Times New Roman" w:hAnsi="Times New Roman"/>
          <w:b/>
          <w:sz w:val="20"/>
        </w:rPr>
      </w:pPr>
      <w:bookmarkStart w:id="20" w:name="d178702dex231.htm"/>
      <w:bookmarkStart w:id="21" w:name="ksd178702dex231"/>
      <w:bookmarkEnd w:id="20"/>
      <w:bookmarkEnd w:id="21"/>
      <w:r>
        <w:rPr>
          <w:rFonts w:ascii="Times New Roman" w:hAnsi="Times New Roman"/>
          <w:b/>
          <w:sz w:val="20"/>
        </w:rPr>
        <w:t xml:space="preserve">Exhibit 23.1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our reports dated February 26, 2026, relating to the financial statements of First Advantage Corporation and subsidiaries and the effectiveness of First Advantage Corporation’s internal control over financial reporting, appearing in the Annual Report on Form 10-K of First Advantage Corporation for the year ended December 31, 2025.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120" w:after="0"/>
        <w:jc w:val="left"/>
        <w:rPr>
          <w:rFonts w:ascii="Times New Roman" w:hAnsi="Times New Roman"/>
          <w:sz w:val="20"/>
        </w:rPr>
      </w:pPr>
      <w:r>
        <w:rPr>
          <w:rFonts w:ascii="Times New Roman" w:hAnsi="Times New Roman"/>
          <w:sz w:val="20"/>
        </w:rPr>
        <w:t xml:space="preserve">Atlanta, Georgia </w:t>
      </w:r>
    </w:p>
    <w:p>
      <w:pPr>
        <w:pStyle w:val="TextBody"/>
        <w:bidi w:val="0"/>
        <w:spacing w:before="120" w:after="0"/>
        <w:jc w:val="left"/>
        <w:rPr>
          <w:rFonts w:ascii="Times New Roman" w:hAnsi="Times New Roman"/>
          <w:sz w:val="20"/>
        </w:rPr>
      </w:pPr>
      <w:r>
        <w:rPr>
          <w:rFonts w:ascii="Times New Roman" w:hAnsi="Times New Roman"/>
          <w:sz w:val="20"/>
        </w:rPr>
        <w:t xml:space="preserve">August 10, 2026 </w:t>
      </w:r>
    </w:p>
    <w:p>
      <w:pPr>
        <w:pStyle w:val="Normal"/>
        <w:bidi w:val="0"/>
        <w:spacing w:before="0" w:after="0"/>
        <w:jc w:val="left"/>
        <w:rPr>
          <w:sz w:val="4"/>
          <w:szCs w:val="4"/>
        </w:rPr>
      </w:pPr>
      <w:r>
        <w:rPr>
          <w:sz w:val="4"/>
          <w:szCs w:val="4"/>
        </w:rPr>
      </w:r>
      <w:bookmarkStart w:id="22" w:name="d178702dexfilingfees.htm"/>
      <w:bookmarkStart w:id="23" w:name="ksd178702dexfilingfees"/>
      <w:bookmarkStart w:id="24" w:name="d178702dexfilingfees.htm"/>
      <w:bookmarkStart w:id="25" w:name="ksd178702dexfilingfees"/>
      <w:bookmarkEnd w:id="24"/>
      <w:bookmarkEnd w:id="25"/>
      <w:r>
        <w:br w:type="page"/>
      </w:r>
    </w:p>
    <w:tbl>
      <w:tblPr>
        <w:tblW w:w="3581" w:type="dxa"/>
        <w:jc w:val="left"/>
        <w:tblInd w:w="0" w:type="dxa"/>
        <w:tblLayout w:type="fixed"/>
        <w:tblCellMar>
          <w:top w:w="28" w:type="dxa"/>
          <w:left w:w="28" w:type="dxa"/>
          <w:bottom w:w="28" w:type="dxa"/>
          <w:right w:w="28" w:type="dxa"/>
        </w:tblCellMar>
      </w:tblPr>
      <w:tblGrid>
        <w:gridCol w:w="3427"/>
        <w:gridCol w:w="154"/>
      </w:tblGrid>
      <w:tr>
        <w:trPr/>
        <w:tc>
          <w:tcPr>
            <w:tcW w:w="358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7"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7" w:type="dxa"/>
            <w:tcBorders/>
            <w:vAlign w:val="center"/>
          </w:tcPr>
          <w:p>
            <w:pPr>
              <w:pStyle w:val="TableContents"/>
              <w:bidi w:val="0"/>
              <w:spacing w:before="0" w:after="283"/>
              <w:jc w:val="left"/>
              <w:rPr>
                <w:b/>
              </w:rPr>
            </w:pPr>
            <w:r>
              <w:rPr>
                <w:b/>
              </w:rPr>
              <w:t xml:space="preserve">FIRST ADVANTAGE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49"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4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$0.001 par value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87,450,000 </w:t>
            </w:r>
          </w:p>
        </w:tc>
        <w:tc>
          <w:tcPr>
            <w:tcW w:w="1156" w:type="dxa"/>
            <w:tcBorders/>
            <w:shd w:fill="E7E7E2" w:val="clear"/>
            <w:vAlign w:val="center"/>
          </w:tcPr>
          <w:p>
            <w:pPr>
              <w:pStyle w:val="TableContents"/>
              <w:bidi w:val="0"/>
              <w:spacing w:before="0" w:after="283"/>
              <w:jc w:val="right"/>
              <w:rPr/>
            </w:pPr>
            <w:r>
              <w:rPr/>
              <w:t xml:space="preserve">$ 20.36 </w:t>
            </w:r>
          </w:p>
        </w:tc>
        <w:tc>
          <w:tcPr>
            <w:tcW w:w="1966" w:type="dxa"/>
            <w:tcBorders/>
            <w:shd w:fill="E7E7E2" w:val="clear"/>
            <w:vAlign w:val="center"/>
          </w:tcPr>
          <w:p>
            <w:pPr>
              <w:pStyle w:val="TableContents"/>
              <w:bidi w:val="0"/>
              <w:spacing w:before="0" w:after="283"/>
              <w:jc w:val="right"/>
              <w:rPr/>
            </w:pPr>
            <w:r>
              <w:rPr/>
              <w:t xml:space="preserve">$ 1,780,482,000.00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$ 245,884.56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4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26" w:name="MaxAggtOfferingPrice"/>
            <w:bookmarkEnd w:id="26"/>
            <w:r>
              <w:rPr/>
              <w:t xml:space="preserve">$ 1,780,482,000.00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7" w:name="TotalFeeAmt"/>
            <w:bookmarkEnd w:id="27"/>
            <w:r>
              <w:rPr/>
              <w:t xml:space="preserve">$ 245,884.56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28" w:name="TotalPreviouslyPaid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29" w:name="TotalOffset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0" w:name="NetFeeAmt"/>
            <w:bookmarkEnd w:id="30"/>
            <w:r>
              <w:rPr/>
              <w:t xml:space="preserve">$ 245,884.56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7"/>
        <w:gridCol w:w="8706"/>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(1) This Registration Statement registers 87,450,000 shares of common stock. This Registration Statement also covers, pursuant to Rule 416 under the Securities Act of 1933, as amended (the "Securities Act"), an indeterminate number of shares of common stock as may be issuable with respect to the shares being registered hereunder as a result of stock splits, stock dividends or similar transactions. (2) Estimated solely for the purpose of calculating the amount of the registration fee pursuant to Rule 457(c) under the Securities Act, the maximum offering price per share and maximum aggregate offering price are based on the average of the $20.67 (high) and $20.05 (low) sale price of the registrant's common stock as reported on The Nasdaq Global Select Market on August 4, 2026, which date is within five business days prior to the filing of this Registration Statement.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210677/000119312526076740/fa-20251231.htm" TargetMode="External"/><Relationship Id="rId4" Type="http://schemas.openxmlformats.org/officeDocument/2006/relationships/hyperlink" Target="http://www.sec.gov/Archives/edgar/data/1210677/000119312526211985/fa-20260331.htm" TargetMode="External"/><Relationship Id="rId5" Type="http://schemas.openxmlformats.org/officeDocument/2006/relationships/hyperlink" Target="http://www.sec.gov/Archives/edgar/data/../../../ix?doc=/Archives/edgar/data/1210677/000119312526338063/fa-20260630.htm" TargetMode="External"/><Relationship Id="rId6" Type="http://schemas.openxmlformats.org/officeDocument/2006/relationships/hyperlink" Target="http://www.sec.gov/Archives/edgar/data/1210677/000119312526076740/fa-20251231.htm" TargetMode="External"/><Relationship Id="rId7" Type="http://schemas.openxmlformats.org/officeDocument/2006/relationships/hyperlink" Target="http://www.sec.gov/Archives/edgar/data/1210677/000119312526177294/fa-20260424.htm" TargetMode="External"/><Relationship Id="rId8" Type="http://schemas.openxmlformats.org/officeDocument/2006/relationships/hyperlink" Target="http://www.sec.gov/Archives/edgar/data/1210677/000119312526031830/fa-20260129.htm" TargetMode="External"/><Relationship Id="rId9" Type="http://schemas.openxmlformats.org/officeDocument/2006/relationships/hyperlink" Target="http://www.sec.gov/Archives/edgar/data/1210677/000119312526261766/fa-20260605.htm" TargetMode="External"/><Relationship Id="rId10" Type="http://schemas.openxmlformats.org/officeDocument/2006/relationships/image" Target="media/image1.jpeg"/><Relationship Id="rId11" Type="http://schemas.openxmlformats.org/officeDocument/2006/relationships/hyperlink" Target="http://www.sec.gov/Archives/edgar/data/1210677/000119312521200542/d12470dex31.htm" TargetMode="External"/><Relationship Id="rId12" Type="http://schemas.openxmlformats.org/officeDocument/2006/relationships/hyperlink" Target="http://www.sec.gov/Archives/edgar/data/1210677/000119312521200542/d12470dex32.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20214</Words>
  <Characters>108761</Characters>
  <CharactersWithSpaces>129335</CharactersWithSpaces>
  <Paragraphs>1472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