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SLTA V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FIRST ADVANTAGE CORP</w:t>
              </w:r>
            </w:hyperlink>
            <w:r>
              <w:rPr/>
              <w:t xml:space="preserve"> [ </w:t>
            </w:r>
            <w:r>
              <w:rPr>
                <w:rFonts w:ascii="Times;serif" w:hAnsi="Times;serif"/>
                <w:color w:val="0000FF"/>
                <w:sz w:val="24"/>
                <w:shd w:fill="FFFFFF" w:val="clear"/>
              </w:rPr>
              <w:t>FA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563"/>
        <w:gridCol w:w="912"/>
        <w:gridCol w:w="786"/>
        <w:gridCol w:w="605"/>
        <w:gridCol w:w="323"/>
        <w:gridCol w:w="1246"/>
        <w:gridCol w:w="377"/>
        <w:gridCol w:w="884"/>
        <w:gridCol w:w="1297"/>
        <w:gridCol w:w="909"/>
        <w:gridCol w:w="130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5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2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50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5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12,500,000</w:t>
            </w:r>
          </w:p>
        </w:tc>
        <w:tc>
          <w:tcPr>
            <w:tcW w:w="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22.015</w:t>
            </w:r>
            <w:r>
              <w:rPr>
                <w:rFonts w:ascii="Times;serif" w:hAnsi="Times;serif"/>
                <w:color w:val="008000"/>
                <w:position w:val="7"/>
                <w:sz w:val="16"/>
                <w:sz w:val="20"/>
                <w:shd w:fill="FFFFFF" w:val="clear"/>
              </w:rPr>
              <w:t>(1)</w:t>
            </w:r>
          </w:p>
        </w:tc>
        <w:tc>
          <w:tcPr>
            <w:tcW w:w="12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77,057,840</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SLP Fastball Aggregator, L.P.</w:t>
            </w:r>
            <w:r>
              <w:rPr>
                <w:rFonts w:ascii="Times;serif" w:hAnsi="Times;serif"/>
                <w:color w:val="008000"/>
                <w:position w:val="7"/>
                <w:sz w:val="16"/>
                <w:sz w:val="20"/>
                <w:shd w:fill="FFFFFF" w:val="clear"/>
              </w:rPr>
              <w:t>(2)</w:t>
            </w:r>
          </w:p>
        </w:tc>
      </w:tr>
      <w:tr>
        <w:trPr/>
        <w:tc>
          <w:tcPr>
            <w:tcW w:w="15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(3)</w:t>
            </w:r>
          </w:p>
        </w:tc>
        <w:tc>
          <w:tcPr>
            <w:tcW w:w="3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4,028,842</w:t>
            </w:r>
          </w:p>
        </w:tc>
        <w:tc>
          <w:tcPr>
            <w:tcW w:w="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rFonts w:ascii="Times;serif" w:hAnsi="Times;serif"/>
                <w:color w:val="008000"/>
                <w:position w:val="7"/>
                <w:sz w:val="16"/>
                <w:sz w:val="20"/>
                <w:shd w:fill="FFFFFF" w:val="clear"/>
              </w:rPr>
              <w:t>(3)</w:t>
            </w:r>
          </w:p>
        </w:tc>
        <w:tc>
          <w:tcPr>
            <w:tcW w:w="12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73,028,998</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SLP Fastball Aggregator, L.P.</w:t>
            </w:r>
            <w:r>
              <w:rPr>
                <w:rFonts w:ascii="Times;serif" w:hAnsi="Times;serif"/>
                <w:color w:val="008000"/>
                <w:position w:val="7"/>
                <w:sz w:val="16"/>
                <w:sz w:val="20"/>
                <w:shd w:fill="FFFFFF" w:val="clear"/>
              </w:rPr>
              <w:t>(2)</w:t>
            </w:r>
          </w:p>
        </w:tc>
      </w:tr>
      <w:tr>
        <w:trPr/>
        <w:tc>
          <w:tcPr>
            <w:tcW w:w="15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12,562</w:t>
            </w:r>
            <w:r>
              <w:rPr>
                <w:rFonts w:ascii="Times;serif" w:hAnsi="Times;serif"/>
                <w:color w:val="008000"/>
                <w:position w:val="7"/>
                <w:sz w:val="16"/>
                <w:sz w:val="20"/>
                <w:shd w:fill="FFFFFF" w:val="clear"/>
              </w:rPr>
              <w:t>(4)</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15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132,306</w:t>
            </w:r>
            <w:r>
              <w:rPr>
                <w:rFonts w:ascii="Times;serif" w:hAnsi="Times;serif"/>
                <w:color w:val="008000"/>
                <w:position w:val="7"/>
                <w:sz w:val="16"/>
                <w:sz w:val="20"/>
                <w:shd w:fill="FFFFFF" w:val="clear"/>
              </w:rPr>
              <w:t>(5)</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Group, L.L.C.</w:t>
            </w:r>
            <w:r>
              <w:rPr>
                <w:rFonts w:ascii="Times;serif" w:hAnsi="Times;serif"/>
                <w:color w:val="008000"/>
                <w:position w:val="7"/>
                <w:sz w:val="16"/>
                <w:sz w:val="20"/>
                <w:shd w:fill="FFFFFF" w:val="clear"/>
              </w:rPr>
              <w:t>(5)</w:t>
            </w:r>
          </w:p>
        </w:tc>
      </w:tr>
      <w:tr>
        <w:trPr/>
        <w:tc>
          <w:tcPr>
            <w:tcW w:w="15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168,662</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(6)</w:t>
            </w:r>
          </w:p>
        </w:tc>
        <w:tc>
          <w:tcPr>
            <w:tcW w:w="13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47,753</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p>
        </w:tc>
      </w:tr>
      <w:tr>
        <w:trPr/>
        <w:tc>
          <w:tcPr>
            <w:tcW w:w="15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381,374</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(8)</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SLTA V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Silver Lake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Silver Lake Technology Associates 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SLP Fastball Aggregator,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Osnoss Joseph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SLP V Aggregator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amount represents the $22.20 secondary public offering price per share of common stock par value $0.001 per share (the "Common Stock") of First Advantage Corporation (the "Issuer"), less the underwriting discount of $0.185 per share for shares sold pursuant to a registered public offering.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securities held by SLP Fastball Aggregator, L.P. ("SLP Fastball"). SLP V Aggregator GP, L.L.C. ("SLP V GP") is the general partner of SLP Fastball. Silver Lake Technology Associates V, L.P. ("SLTA V") is the managing member of SLP V GP. SLTA V (GP), L.L.C. ("SLTA V GP") is the general partner of SLTA V. Silver Lake Group, L.L.C. ("SLG") is the managing member of SLTA V GP. Mr. Joseph Osnoss serves as a member of the board of directors of the Issuer and is a Managing Member of SLG. Each of SLP Fastball, SLP V GP, SLTA V, SLTA V GP and SLG may be deemed to be a director by deputization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SLP Fastball and certain of its affiliates initiated in-kind distributions of Common Stock of the Issuer on August 12, 2026. The receipt of shares of Common Stock by each of the Reporting Persons was exempt from reporting pursuant to Rule 16a-13 of the Securities Exchange Act of 1934, as amended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of Common Stock were received indirectly by Mr. Joseph Osnoss through his indirect interest in an entity in which he may be deemed to have a pecuniary interest, in connection with the pro rata distributions made by SLP Fastball and its affiliates described above. The receipt of such shares of Common Stock indirectly by Mr. Osnoss was exempt from reporting pursuant to Rule 16a-13 of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shares of Common Stock were received by SLG in connection with the distributions made by SLP Fastball and its affiliates described above. The receipt of such shares of Common Stock was exempt from reporting pursuant to Rule 16a-13 of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shares of Common Stock held by Mr. Joseph Osnoss immediately following the receipt of such shares in connection with the distributions of shares of Common Stock reported above. The receipt of such shares of Common Stock was exempt from reporting pursuant to Rule 16a-13 of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shares of Common Stock beneficially owned indirectly by Mr. Osnoss through a trust for the benefit of certain family members, which received such shares in connection with the distributions of shares of Common Stock reported above. The receipt of such shares of Common Stock indirectly by Mr. Osnoss was exempt from reporting pursuant to Rule 16a-13 of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In connection with the distributions described in footnote (3) above, distributions of certain shares were initiated to certain employees and managing members of SLG or its affiliates, including Mr. Osnoss. This amount reflects 222,011 and 159,363 shares held by SLTA V and SLG, respectively, on behalf of such individuals, including shares distributed in the August 12, 2026 distributions. The receipt of such shares of Class C Common Stock was exempt from reporting pursuant to Rule 16a-13 of the Exchange Act.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V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V (GP), L.L.C., general partner of Silver Lake Technology Associates 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V (GP), L.L.C., general partner of Silver Lake Technology Associates V, L.P., managing member of SLP V Aggregator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MM of SLTA V (GP), L.L.C., GP of Silver Lake Technology Associates V, L.P., MM of SLP V Aggregator GP, L.L.C., GP of SLP Fastball Aggregator,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Osnoss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7652" TargetMode="External"/><Relationship Id="rId5" Type="http://schemas.openxmlformats.org/officeDocument/2006/relationships/hyperlink" Target="http://www.sec.gov/cgi-bin/browse-edgar?action=getcompany&amp;CIK=00012106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737652" TargetMode="External"/><Relationship Id="rId10" Type="http://schemas.openxmlformats.org/officeDocument/2006/relationships/hyperlink" Target="http://www.sec.gov/cgi-bin/browse-edgar?action=getcompany&amp;CIK=0001418226" TargetMode="External"/><Relationship Id="rId11" Type="http://schemas.openxmlformats.org/officeDocument/2006/relationships/hyperlink" Target="http://www.sec.gov/cgi-bin/browse-edgar?action=getcompany&amp;CIK=0001737657" TargetMode="External"/><Relationship Id="rId12" Type="http://schemas.openxmlformats.org/officeDocument/2006/relationships/hyperlink" Target="http://www.sec.gov/cgi-bin/browse-edgar?action=getcompany&amp;CIK=0001866145" TargetMode="External"/><Relationship Id="rId13" Type="http://schemas.openxmlformats.org/officeDocument/2006/relationships/hyperlink" Target="http://www.sec.gov/cgi-bin/browse-edgar?action=getcompany&amp;CIK=0001603955" TargetMode="External"/><Relationship Id="rId14" Type="http://schemas.openxmlformats.org/officeDocument/2006/relationships/hyperlink" Target="http://www.sec.gov/cgi-bin/browse-edgar?action=getcompany&amp;CIK=0001811441"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1564</Words>
  <Characters>8144</Characters>
  <CharactersWithSpaces>9509</CharactersWithSpaces>
  <Paragraphs>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