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a-20230630.htm"/>
      <w:bookmarkStart w:id="1" w:name="ksfa20230630"/>
      <w:bookmarkEnd w:id="0"/>
      <w:bookmarkEnd w:id="1"/>
      <w:r>
        <w:rPr/>
        <w:t> </w:t>
      </w:r>
    </w:p>
    <w:p>
      <w:pPr>
        <w:pStyle w:val="TextBody"/>
        <w:bidi w:val="0"/>
        <w:spacing w:before="0" w:after="0"/>
        <w:jc w:val="left"/>
        <w:rPr>
          <w:rFonts w:ascii="Times New Roman;serif" w:hAnsi="Times New Roman;serif"/>
          <w:b w:val="false"/>
          <w:sz w:val="2"/>
        </w:rPr>
      </w:pPr>
      <w:r>
        <w:rPr>
          <w:rFonts w:ascii="Times New Roman;serif" w:hAnsi="Times New Roman;serif"/>
          <w:b w:val="false"/>
          <w:sz w:val="2"/>
        </w:rPr>
        <w:t>a</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40" w:after="10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Commission File Number:</w:t>
      </w:r>
      <w:r>
        <w:rPr>
          <w:rFonts w:ascii="Times New Roman" w:hAnsi="Times New Roman"/>
          <w:sz w:val="20"/>
        </w:rPr>
        <w:t xml:space="preserve"> </w:t>
      </w:r>
      <w:r>
        <w:rPr>
          <w:rFonts w:ascii="Times New Roman;serif" w:hAnsi="Times New Roman;serif"/>
          <w:b/>
          <w:sz w:val="20"/>
        </w:rPr>
        <w:t>001-31666</w:t>
      </w:r>
    </w:p>
    <w:p>
      <w:pPr>
        <w:pStyle w:val="TextBody"/>
        <w:pBdr>
          <w:bottom w:val="single" w:sz="4" w:space="1" w:color="000000"/>
        </w:pBdr>
        <w:bidi w:val="0"/>
        <w:spacing w:before="40" w:after="10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First Advantage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40" w:after="0"/>
        <w:jc w:val="center"/>
        <w:rPr/>
      </w:pPr>
      <w:r>
        <w:rPr/>
        <w:t>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84-3884690</w:t>
            </w:r>
          </w:p>
        </w:tc>
      </w:tr>
      <w:tr>
        <w:trPr/>
        <w:tc>
          <w:tcPr>
            <w:tcW w:w="31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1 Concourse Parkway NE, Suite 200</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Atlanta, GA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(888) 314-9761</w:t>
      </w:r>
    </w:p>
    <w:p>
      <w:pPr>
        <w:pStyle w:val="TextBody"/>
        <w:pBdr>
          <w:bottom w:val="single" w:sz="4" w:space="1" w:color="000000"/>
        </w:pBdr>
        <w:bidi w:val="0"/>
        <w:spacing w:before="4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FA</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pPr>
            <w:r>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As of August 3, 2023, the registrant had 145,188,675</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9408" w:type="dxa"/>
        <w:jc w:val="left"/>
        <w:tblInd w:w="0" w:type="dxa"/>
        <w:tblLayout w:type="fixed"/>
        <w:tblCellMar>
          <w:top w:w="28" w:type="dxa"/>
          <w:left w:w="28" w:type="dxa"/>
          <w:bottom w:w="28" w:type="dxa"/>
          <w:right w:w="28" w:type="dxa"/>
        </w:tblCellMar>
      </w:tblPr>
      <w:tblGrid>
        <w:gridCol w:w="886"/>
        <w:gridCol w:w="8011"/>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of_operations">
              <w:r>
                <w:rPr>
                  <w:rStyle w:val="InternetLink"/>
                  <w:rFonts w:ascii="Times New Roman;serif" w:hAnsi="Times New Roman;serif"/>
                  <w:b w:val="false"/>
                  <w:sz w:val="20"/>
                  <w:u w:val="single"/>
                </w:rPr>
                <w:t>Condensed Consolidated Statements of Operations</w:t>
              </w:r>
            </w:hyperlink>
            <w:r>
              <w:rPr>
                <w:rFonts w:ascii="Times New Roman" w:hAnsi="Times New Roman"/>
                <w:sz w:val="20"/>
                <w:u w:val="single"/>
              </w:rPr>
              <w:t> </w:t>
            </w:r>
            <w:r>
              <w:rPr>
                <w:rFonts w:ascii="Times New Roman;serif" w:hAnsi="Times New Roman;serif"/>
                <w:b w:val="false"/>
                <w:sz w:val="20"/>
                <w:u w:val="single"/>
              </w:rPr>
              <w:t>and Comprehensive Income</w:t>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_of_cash_flows">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_of_changes_in_stockholders_eq">
              <w:r>
                <w:rPr>
                  <w:rStyle w:val="InternetLink"/>
                  <w:rFonts w:ascii="Times New Roman;serif" w:hAnsi="Times New Roman;serif"/>
                  <w:b w:val="false"/>
                  <w:sz w:val="20"/>
                  <w:u w:val="single"/>
                </w:rPr>
                <w:t>Condensed Consolidated Statements of Changes in Stockholders’ Equity</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financial_statements">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Use of Proceeds, and Issuer Purchases of Equity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0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9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I—FINANCIAL INFORMATION</w:t>
      </w:r>
    </w:p>
    <w:p>
      <w:pPr>
        <w:pStyle w:val="TextBody"/>
        <w:bidi w:val="0"/>
        <w:spacing w:before="36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Condensed Consolidated Financial Statements (Unaudited)</w:t>
      </w:r>
    </w:p>
    <w:p>
      <w:pPr>
        <w:pStyle w:val="TextBody"/>
        <w:bidi w:val="0"/>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bidi w:val="0"/>
        <w:spacing w:before="0" w:after="0"/>
        <w:jc w:val="center"/>
        <w:rPr>
          <w:rFonts w:ascii="Times New Roman" w:hAnsi="Times New Roman"/>
          <w:sz w:val="20"/>
        </w:rPr>
      </w:pPr>
      <w:bookmarkStart w:id="4" w:name="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719"/>
        <w:gridCol w:w="146"/>
        <w:gridCol w:w="211"/>
        <w:gridCol w:w="931"/>
        <w:gridCol w:w="166"/>
        <w:gridCol w:w="146"/>
        <w:gridCol w:w="235"/>
        <w:gridCol w:w="1039"/>
        <w:gridCol w:w="612"/>
      </w:tblGrid>
      <w:tr>
        <w:trPr/>
        <w:tc>
          <w:tcPr>
            <w:tcW w:w="6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719"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share and per share amounts)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4"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4"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391,655</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doubtful accounts of $1,568</w:t>
            </w:r>
            <w:r>
              <w:rPr>
                <w:rFonts w:ascii="Times New Roman" w:hAnsi="Times New Roman"/>
                <w:sz w:val="20"/>
              </w:rPr>
              <w:t> </w:t>
            </w:r>
            <w:r>
              <w:rPr>
                <w:rFonts w:ascii="Times New Roman;serif" w:hAnsi="Times New Roman;serif"/>
                <w:b w:val="false"/>
                <w:sz w:val="20"/>
              </w:rPr>
              <w:t>and $1,348</w:t>
            </w:r>
            <w:r>
              <w:rPr>
                <w:rFonts w:ascii="Times New Roman" w:hAnsi="Times New Roman"/>
                <w:sz w:val="20"/>
              </w:rPr>
              <w:t> </w:t>
            </w:r>
            <w:r>
              <w:rPr>
                <w:rFonts w:ascii="Times New Roman;serif" w:hAnsi="Times New Roman;serif"/>
                <w:b w:val="false"/>
                <w:sz w:val="20"/>
              </w:rPr>
              <w:t>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143,811</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25,407</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3,225</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1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566,195</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113,529</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793,582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793,080</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name,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71,162</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lists,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326,014</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asset,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13,423</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1,838,113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1,885,825</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4"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4"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54,947</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22,702</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16,400</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4,957</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1,056</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1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100,786</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Long-term debt (net of deferred financing costs of $7,148</w:t>
            </w:r>
            <w:r>
              <w:rPr>
                <w:rFonts w:ascii="Times New Roman" w:hAnsi="Times New Roman"/>
                <w:sz w:val="20"/>
              </w:rPr>
              <w:t> </w:t>
            </w:r>
            <w:r>
              <w:rPr>
                <w:rFonts w:ascii="Times New Roman;serif" w:hAnsi="Times New Roman;serif"/>
                <w:b w:val="false"/>
                <w:sz w:val="20"/>
              </w:rPr>
              <w:t>and $8,075</w:t>
            </w:r>
            <w:r>
              <w:rPr>
                <w:rFonts w:ascii="Times New Roman" w:hAnsi="Times New Roman"/>
                <w:sz w:val="20"/>
              </w:rPr>
              <w:t> </w:t>
            </w:r>
            <w:r>
              <w:rPr>
                <w:rFonts w:ascii="Times New Roman;serif" w:hAnsi="Times New Roman;serif"/>
                <w:b w:val="false"/>
                <w:sz w:val="20"/>
              </w:rPr>
              <w:t>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557,576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556,649</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liability,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90,556</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less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7,879</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3,337</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1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759,207</w:t>
            </w:r>
          </w:p>
        </w:tc>
        <w:tc>
          <w:tcPr>
            <w:tcW w:w="612" w:type="dxa"/>
            <w:tcBorders/>
            <w:vAlign w:val="center"/>
          </w:tcPr>
          <w:p>
            <w:pPr>
              <w:pStyle w:val="TableContents"/>
              <w:bidi w:val="0"/>
              <w:spacing w:before="0" w:after="0"/>
              <w:ind w:left="0" w:right="0" w:hanging="0"/>
              <w:jc w:val="lef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11)</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4"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4"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67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 $0.001</w:t>
            </w:r>
            <w:r>
              <w:rPr>
                <w:rFonts w:ascii="Times New Roman" w:hAnsi="Times New Roman"/>
                <w:sz w:val="20"/>
              </w:rPr>
              <w:t> </w:t>
            </w:r>
            <w:r>
              <w:rPr>
                <w:rFonts w:ascii="Times New Roman;serif" w:hAnsi="Times New Roman;serif"/>
                <w:b w:val="false"/>
                <w:sz w:val="20"/>
              </w:rPr>
              <w:t>par value; 1,000,000,000</w:t>
            </w:r>
            <w:r>
              <w:rPr>
                <w:rFonts w:ascii="Times New Roman" w:hAnsi="Times New Roman"/>
                <w:sz w:val="20"/>
              </w:rPr>
              <w:t> </w:t>
            </w:r>
            <w:r>
              <w:rPr>
                <w:rFonts w:ascii="Times New Roman;serif" w:hAnsi="Times New Roman;serif"/>
                <w:b w:val="false"/>
                <w:sz w:val="20"/>
              </w:rPr>
              <w:t>shares authorized, 145,193,679</w:t>
            </w:r>
            <w:r>
              <w:rPr>
                <w:rFonts w:ascii="Times New Roman" w:hAnsi="Times New Roman"/>
                <w:sz w:val="20"/>
              </w:rPr>
              <w:t> </w:t>
            </w:r>
            <w:r>
              <w:rPr>
                <w:rFonts w:ascii="Times New Roman;serif" w:hAnsi="Times New Roman;serif"/>
                <w:b w:val="false"/>
                <w:sz w:val="20"/>
              </w:rPr>
              <w:t>and 148,732,603</w:t>
            </w:r>
            <w:r>
              <w:rPr>
                <w:rFonts w:ascii="Times New Roman" w:hAnsi="Times New Roman"/>
                <w:sz w:val="20"/>
              </w:rPr>
              <w:t> </w:t>
            </w:r>
            <w:r>
              <w:rPr>
                <w:rFonts w:ascii="Times New Roman;serif" w:hAnsi="Times New Roman;serif"/>
                <w:b w:val="false"/>
                <w:sz w:val="20"/>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1,183,715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1,176,163</w:t>
            </w:r>
          </w:p>
        </w:tc>
        <w:tc>
          <w:tcPr>
            <w:tcW w:w="612" w:type="dxa"/>
            <w:tcBorders/>
            <w:vAlign w:val="center"/>
          </w:tcPr>
          <w:p>
            <w:pPr>
              <w:pStyle w:val="TableContents"/>
              <w:bidi w:val="0"/>
              <w:spacing w:before="0" w:after="0"/>
              <w:ind w:left="0" w:right="0" w:firstLine="200"/>
              <w:jc w:val="left"/>
              <w:rPr/>
            </w:pPr>
            <w:r>
              <w:rPr/>
              <w:t> </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(27,363</w:t>
            </w:r>
          </w:p>
        </w:tc>
        <w:tc>
          <w:tcPr>
            <w:tcW w:w="61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(22,331</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1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1,094,108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1,126,618</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1,838,113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1,885,825</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bidi w:val="0"/>
        <w:spacing w:before="0" w:after="0"/>
        <w:jc w:val="center"/>
        <w:rPr>
          <w:rFonts w:ascii="Times New Roman" w:hAnsi="Times New Roman"/>
          <w:sz w:val="20"/>
        </w:rPr>
      </w:pPr>
      <w:bookmarkStart w:id="5" w:name="statements_of_operations"/>
      <w:bookmarkEnd w:id="5"/>
      <w:r>
        <w:rPr>
          <w:rFonts w:ascii="Times New Roman;serif" w:hAnsi="Times New Roman;serif"/>
          <w:b/>
          <w:sz w:val="20"/>
        </w:rPr>
        <w:t>Condensed Consolidated Statements of Operations and Comprehensive Income</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784"/>
        <w:gridCol w:w="146"/>
        <w:gridCol w:w="211"/>
        <w:gridCol w:w="1141"/>
        <w:gridCol w:w="146"/>
        <w:gridCol w:w="146"/>
        <w:gridCol w:w="211"/>
        <w:gridCol w:w="1141"/>
        <w:gridCol w:w="546"/>
        <w:gridCol w:w="146"/>
        <w:gridCol w:w="211"/>
        <w:gridCol w:w="1141"/>
        <w:gridCol w:w="146"/>
        <w:gridCol w:w="146"/>
        <w:gridCol w:w="211"/>
        <w:gridCol w:w="1141"/>
        <w:gridCol w:w="591"/>
      </w:tblGrid>
      <w:tr>
        <w:trPr/>
        <w:tc>
          <w:tcPr>
            <w:tcW w:w="2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share and per share amounts)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591" w:type="dxa"/>
            <w:tcBorders/>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78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Cost of services (exclusive of depreciation and amortization below)</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100,292</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196,723</w:t>
            </w:r>
          </w:p>
        </w:tc>
        <w:tc>
          <w:tcPr>
            <w:tcW w:w="591" w:type="dxa"/>
            <w:tcBorders/>
            <w:vAlign w:val="center"/>
          </w:tcPr>
          <w:p>
            <w:pPr>
              <w:pStyle w:val="TableContents"/>
              <w:bidi w:val="0"/>
              <w:spacing w:before="0" w:after="0"/>
              <w:ind w:left="0" w:right="0" w:firstLine="200"/>
              <w:jc w:val="left"/>
              <w:rPr/>
            </w:pPr>
            <w:r>
              <w:rPr/>
              <w:t> </w:t>
            </w:r>
          </w:p>
        </w:tc>
      </w:tr>
      <w:tr>
        <w:trPr/>
        <w:tc>
          <w:tcPr>
            <w:tcW w:w="278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12,946</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26,719</w:t>
            </w:r>
          </w:p>
        </w:tc>
        <w:tc>
          <w:tcPr>
            <w:tcW w:w="591" w:type="dxa"/>
            <w:tcBorders/>
            <w:vAlign w:val="center"/>
          </w:tcPr>
          <w:p>
            <w:pPr>
              <w:pStyle w:val="TableContents"/>
              <w:bidi w:val="0"/>
              <w:spacing w:before="0" w:after="0"/>
              <w:ind w:left="0" w:right="0" w:firstLine="200"/>
              <w:jc w:val="left"/>
              <w:rPr/>
            </w:pPr>
            <w:r>
              <w:rPr/>
              <w:t> </w:t>
            </w:r>
          </w:p>
        </w:tc>
      </w:tr>
      <w:tr>
        <w:trPr/>
        <w:tc>
          <w:tcPr>
            <w:tcW w:w="278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31,136</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59,681</w:t>
            </w:r>
          </w:p>
        </w:tc>
        <w:tc>
          <w:tcPr>
            <w:tcW w:w="591" w:type="dxa"/>
            <w:tcBorders/>
            <w:vAlign w:val="center"/>
          </w:tcPr>
          <w:p>
            <w:pPr>
              <w:pStyle w:val="TableContents"/>
              <w:bidi w:val="0"/>
              <w:spacing w:before="0" w:after="0"/>
              <w:ind w:left="0" w:right="0" w:firstLine="200"/>
              <w:jc w:val="left"/>
              <w:rPr/>
            </w:pPr>
            <w:r>
              <w:rPr/>
              <w:t> </w:t>
            </w:r>
          </w:p>
        </w:tc>
      </w:tr>
      <w:tr>
        <w:trPr/>
        <w:tc>
          <w:tcPr>
            <w:tcW w:w="278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34,407</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68,441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8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178,781</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351,564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78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8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19,668</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37,616</w:t>
            </w:r>
          </w:p>
        </w:tc>
        <w:tc>
          <w:tcPr>
            <w:tcW w:w="591" w:type="dxa"/>
            <w:tcBorders/>
            <w:vAlign w:val="center"/>
          </w:tcPr>
          <w:p>
            <w:pPr>
              <w:pStyle w:val="TableContents"/>
              <w:bidi w:val="0"/>
              <w:spacing w:before="0" w:after="0"/>
              <w:ind w:left="0" w:right="0" w:firstLine="200"/>
              <w:jc w:val="left"/>
              <w:rPr/>
            </w:pPr>
            <w:r>
              <w:rPr/>
              <w:t> </w:t>
            </w:r>
          </w:p>
        </w:tc>
      </w:tr>
      <w:tr>
        <w:trPr/>
        <w:tc>
          <w:tcPr>
            <w:tcW w:w="278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(11,319</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591" w:type="dxa"/>
            <w:tcBorders/>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income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591" w:type="dxa"/>
            <w:tcBorders/>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591" w:type="dxa"/>
            <w:tcBorders/>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144,112,028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150,748,211</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144,982,459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150,644,034</w:t>
            </w:r>
          </w:p>
        </w:tc>
        <w:tc>
          <w:tcPr>
            <w:tcW w:w="591" w:type="dxa"/>
            <w:tcBorders/>
            <w:vAlign w:val="center"/>
          </w:tcPr>
          <w:p>
            <w:pPr>
              <w:pStyle w:val="TableContents"/>
              <w:bidi w:val="0"/>
              <w:spacing w:before="0" w:after="0"/>
              <w:ind w:left="0" w:right="0" w:hanging="0"/>
              <w:jc w:val="left"/>
              <w:rPr/>
            </w:pPr>
            <w:r>
              <w:rPr/>
              <w:t> </w:t>
            </w:r>
          </w:p>
        </w:tc>
      </w:tr>
      <w:tr>
        <w:trPr/>
        <w:tc>
          <w:tcPr>
            <w:tcW w:w="2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145,338,920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152,360,350</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146,894,790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152,361,788</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First Advantage Corporation</w:t>
      </w:r>
    </w:p>
    <w:p>
      <w:pPr>
        <w:pStyle w:val="TextBody"/>
        <w:bidi w:val="0"/>
        <w:spacing w:before="0" w:after="0"/>
        <w:jc w:val="center"/>
        <w:rPr>
          <w:rFonts w:ascii="Times New Roman;serif" w:hAnsi="Times New Roman;serif"/>
          <w:b/>
          <w:sz w:val="20"/>
        </w:rPr>
      </w:pPr>
      <w:bookmarkStart w:id="6" w:name="statement_of_cash_flows"/>
      <w:bookmarkEnd w:id="6"/>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center"/>
        <w:rPr/>
      </w:pPr>
      <w:r>
        <w:rPr/>
        <w:t> </w:t>
      </w:r>
    </w:p>
    <w:tbl>
      <w:tblPr>
        <w:tblW w:w="9774" w:type="dxa"/>
        <w:jc w:val="left"/>
        <w:tblInd w:w="0" w:type="dxa"/>
        <w:tblLayout w:type="fixed"/>
        <w:tblCellMar>
          <w:top w:w="28" w:type="dxa"/>
          <w:left w:w="28" w:type="dxa"/>
          <w:bottom w:w="28" w:type="dxa"/>
          <w:right w:w="28" w:type="dxa"/>
        </w:tblCellMar>
      </w:tblPr>
      <w:tblGrid>
        <w:gridCol w:w="6721"/>
        <w:gridCol w:w="146"/>
        <w:gridCol w:w="211"/>
        <w:gridCol w:w="781"/>
        <w:gridCol w:w="166"/>
        <w:gridCol w:w="146"/>
        <w:gridCol w:w="211"/>
        <w:gridCol w:w="78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6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68,441</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Bad debt expense (recovery)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3,773</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foreign currency exchange rates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fixed assets and impairment of ROU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interest rate swaps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11,199</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and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receivable and payable,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96,412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businesses, net of cash acquired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software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 repurchases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deferred purchase agreements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611" w:type="dxa"/>
            <w:tcBorders/>
            <w:vAlign w:val="center"/>
          </w:tcPr>
          <w:p>
            <w:pPr>
              <w:pStyle w:val="TableContents"/>
              <w:bidi w:val="0"/>
              <w:spacing w:before="0" w:after="0"/>
              <w:ind w:left="0" w:right="0" w:firstLine="200"/>
              <w:jc w:val="left"/>
              <w:rPr/>
            </w:pPr>
            <w:r>
              <w:rPr/>
              <w:t> </w:t>
            </w:r>
          </w:p>
        </w:tc>
      </w:tr>
      <w:tr>
        <w:trPr/>
        <w:tc>
          <w:tcPr>
            <w:tcW w:w="6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settlement of share-based compensation plan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on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59,690</w:t>
            </w:r>
          </w:p>
        </w:tc>
        <w:tc>
          <w:tcPr>
            <w:tcW w:w="6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391,796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292,790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352,480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DISCLOSURES OF CASH FLOW INFORMATION:</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 net of refunds received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6,181</w:t>
            </w:r>
          </w:p>
        </w:tc>
        <w:tc>
          <w:tcPr>
            <w:tcW w:w="6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10,191</w:t>
            </w:r>
          </w:p>
        </w:tc>
        <w:tc>
          <w:tcPr>
            <w:tcW w:w="6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acquired on account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611" w:type="dxa"/>
            <w:tcBorders/>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Excise taxes on share repurchases incurred but not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bidi w:val="0"/>
        <w:spacing w:before="0" w:after="0"/>
        <w:jc w:val="center"/>
        <w:rPr>
          <w:rFonts w:ascii="Times New Roman;serif" w:hAnsi="Times New Roman;serif"/>
          <w:b/>
          <w:sz w:val="20"/>
        </w:rPr>
      </w:pPr>
      <w:bookmarkStart w:id="7" w:name="statement_of_changes_in_stockholders_eq"/>
      <w:bookmarkEnd w:id="7"/>
      <w:r>
        <w:rPr>
          <w:rFonts w:ascii="Times New Roman;serif" w:hAnsi="Times New Roman;serif"/>
          <w:b/>
          <w:sz w:val="20"/>
        </w:rPr>
        <w:t>Condensed Consolidated Statements of Changes in Stockholders’ Equity</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875"/>
        <w:gridCol w:w="146"/>
        <w:gridCol w:w="294"/>
        <w:gridCol w:w="590"/>
        <w:gridCol w:w="166"/>
        <w:gridCol w:w="146"/>
        <w:gridCol w:w="230"/>
        <w:gridCol w:w="1016"/>
        <w:gridCol w:w="166"/>
        <w:gridCol w:w="146"/>
        <w:gridCol w:w="234"/>
        <w:gridCol w:w="817"/>
        <w:gridCol w:w="166"/>
        <w:gridCol w:w="146"/>
        <w:gridCol w:w="288"/>
        <w:gridCol w:w="1010"/>
        <w:gridCol w:w="166"/>
        <w:gridCol w:w="146"/>
        <w:gridCol w:w="229"/>
        <w:gridCol w:w="1014"/>
        <w:gridCol w:w="214"/>
      </w:tblGrid>
      <w:tr>
        <w:trPr/>
        <w:tc>
          <w:tcPr>
            <w:tcW w:w="2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w:t>
              <w:br/>
              <w:t>Equity</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December 31, 2022</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1,176,163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1,126,618</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(25,517</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withheld for tax obligations on restricted stock unit and option settlement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March 31, 2023</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1,107,327</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(27,339</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withheld for tax obligations on restricted stock unit and option settlement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214" w:type="dxa"/>
            <w:tcBorders/>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7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June 30, 2023</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1,183,715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1,094,108</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892"/>
        <w:gridCol w:w="146"/>
        <w:gridCol w:w="294"/>
        <w:gridCol w:w="590"/>
        <w:gridCol w:w="146"/>
        <w:gridCol w:w="146"/>
        <w:gridCol w:w="230"/>
        <w:gridCol w:w="1016"/>
        <w:gridCol w:w="166"/>
        <w:gridCol w:w="146"/>
        <w:gridCol w:w="234"/>
        <w:gridCol w:w="817"/>
        <w:gridCol w:w="166"/>
        <w:gridCol w:w="146"/>
        <w:gridCol w:w="288"/>
        <w:gridCol w:w="1011"/>
        <w:gridCol w:w="166"/>
        <w:gridCol w:w="146"/>
        <w:gridCol w:w="229"/>
        <w:gridCol w:w="1015"/>
        <w:gridCol w:w="215"/>
      </w:tblGrid>
      <w:tr>
        <w:trPr/>
        <w:tc>
          <w:tcPr>
            <w:tcW w:w="2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w:t>
              <w:b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Stockholders’</w:t>
              <w:br/>
              <w:t>Equity</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December 31, 2021</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1,132,238</w:t>
            </w:r>
          </w:p>
        </w:tc>
        <w:tc>
          <w:tcPr>
            <w:tcW w:w="215" w:type="dxa"/>
            <w:tcBorders/>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215" w:type="dxa"/>
            <w:tcBorders/>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215" w:type="dxa"/>
            <w:tcBorders/>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March 31, 2022</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1,146,140</w:t>
            </w:r>
          </w:p>
        </w:tc>
        <w:tc>
          <w:tcPr>
            <w:tcW w:w="215" w:type="dxa"/>
            <w:tcBorders/>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215" w:type="dxa"/>
            <w:tcBorders/>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share-based compensation plans</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215" w:type="dxa"/>
            <w:tcBorders/>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withheld for tax obligations on restricted stock unit and option settlement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(11,319</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June 30, 2022</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1,170,137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1,151,625</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24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First Advantage Corporation</w:t>
      </w:r>
    </w:p>
    <w:p>
      <w:pPr>
        <w:pStyle w:val="TextBody"/>
        <w:bidi w:val="0"/>
        <w:spacing w:before="0" w:after="0"/>
        <w:jc w:val="center"/>
        <w:rPr>
          <w:rFonts w:ascii="Times New Roman;serif" w:hAnsi="Times New Roman;serif"/>
          <w:b/>
          <w:sz w:val="20"/>
        </w:rPr>
      </w:pPr>
      <w:bookmarkStart w:id="8" w:name="notes_to_financial_statements"/>
      <w:bookmarkEnd w:id="8"/>
      <w:r>
        <w:rPr>
          <w:rFonts w:ascii="Times New Roman;serif" w:hAnsi="Times New Roman;serif"/>
          <w:b/>
          <w:sz w:val="20"/>
        </w:rPr>
        <w:t>Notes to Unaudited Condensed Consolidated Financial Statements</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1. Organization, Nature of Business, and Basis of Presentation</w:t>
      </w:r>
    </w:p>
    <w:p>
      <w:pPr>
        <w:pStyle w:val="TextBody"/>
        <w:bidi w:val="0"/>
        <w:spacing w:before="0" w:after="180"/>
        <w:jc w:val="left"/>
        <w:rPr>
          <w:rFonts w:ascii="Times New Roman" w:hAnsi="Times New Roman"/>
          <w:sz w:val="20"/>
        </w:rPr>
      </w:pPr>
      <w:r>
        <w:rPr>
          <w:rFonts w:ascii="Times New Roman;serif" w:hAnsi="Times New Roman;serif"/>
          <w:b w:val="false"/>
          <w:sz w:val="20"/>
        </w:rPr>
        <w:t>First Advantage Corporation, a Delaware corporation, was formed on November 15, 2019. Hereafter, First Advantage Corporation and its subsidiaries will collectively be referred to as the “Company”.</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pStyle w:val="TextBody"/>
        <w:bidi w:val="0"/>
        <w:spacing w:before="0" w:after="180"/>
        <w:jc w:val="left"/>
        <w:rPr>
          <w:rFonts w:ascii="Times New Roman" w:hAnsi="Times New Roman"/>
          <w:sz w:val="20"/>
        </w:rPr>
      </w:pPr>
      <w:r>
        <w:rPr>
          <w:rFonts w:ascii="Times New Roman;serif" w:hAnsi="Times New Roman;serif"/>
          <w:b/>
          <w:sz w:val="20"/>
        </w:rPr>
        <w:t xml:space="preserve">Basis of Presentation </w:t>
      </w:r>
      <w:r>
        <w:rPr>
          <w:rFonts w:ascii="Times New Roman" w:hAnsi="Times New Roman"/>
          <w:sz w:val="20"/>
        </w:rPr>
        <w:t>—</w:t>
      </w:r>
      <w:r>
        <w:rPr>
          <w:rFonts w:ascii="Times New Roman;serif" w:hAnsi="Times New Roman;serif"/>
          <w:b w:val="false"/>
          <w:sz w:val="20"/>
        </w:rPr>
        <w:t>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2022.</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sz w:val="20"/>
        </w:rPr>
        <w:t>Use of Estimates</w:t>
      </w:r>
      <w:r>
        <w:rPr>
          <w:rFonts w:ascii="Times New Roman" w:hAnsi="Times New Roman"/>
          <w:sz w:val="20"/>
        </w:rPr>
        <w:t xml:space="preserve"> — </w:t>
      </w:r>
      <w:r>
        <w:rPr>
          <w:rFonts w:ascii="Times New Roman;serif" w:hAnsi="Times New Roman;serif"/>
          <w:b w:val="false"/>
          <w:sz w:val="20"/>
        </w:rPr>
        <w:t>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Significant estimates, judgments, and assumptions, include, but are not limited to, the determination of the fair value and useful lives of assets acquired and liabilities assumed through business combinations, revenue recognition, capitalized software,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2. Summary of Significant Accounting Policies</w:t>
      </w:r>
    </w:p>
    <w:p>
      <w:pPr>
        <w:pStyle w:val="TextBody"/>
        <w:bidi w:val="0"/>
        <w:spacing w:before="0" w:after="0"/>
        <w:jc w:val="left"/>
        <w:rPr>
          <w:rFonts w:ascii="Times New Roman" w:hAnsi="Times New Roman"/>
          <w:sz w:val="20"/>
        </w:rPr>
      </w:pPr>
      <w:r>
        <w:rPr>
          <w:rFonts w:ascii="Times New Roman;serif" w:hAnsi="Times New Roman;serif"/>
          <w:b/>
          <w:sz w:val="20"/>
        </w:rPr>
        <w:t>Fair Value of Financial Instruments</w:t>
      </w:r>
      <w:r>
        <w:rPr>
          <w:rFonts w:ascii="Times New Roman" w:hAnsi="Times New Roman"/>
          <w:sz w:val="20"/>
        </w:rPr>
        <w:t xml:space="preserve"> — </w:t>
      </w:r>
      <w:r>
        <w:rPr>
          <w:rFonts w:ascii="Times New Roman;serif" w:hAnsi="Times New Roman;serif"/>
          <w:b w:val="false"/>
          <w:sz w:val="20"/>
        </w:rPr>
        <w:t xml:space="preserve">Certain financial assets and liabilities are reported at fair value in the accompanying consolidated balance sheets in accordance with Financial Accounting Standards Board (“FASB”) Accounting Standards Codification (“ASC”) 820, </w:t>
      </w:r>
      <w:r>
        <w:rPr>
          <w:rFonts w:ascii="Times New Roman;serif" w:hAnsi="Times New Roman;serif"/>
          <w:b w:val="false"/>
          <w:i/>
          <w:sz w:val="20"/>
        </w:rPr>
        <w:t>Fair Value Measurement</w:t>
      </w:r>
      <w:r>
        <w:rPr>
          <w:rFonts w:ascii="Times New Roman;serif" w:hAnsi="Times New Roman;serif"/>
          <w:b w:val="false"/>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Quoted prices for identical instruments in active markets.</w:t>
      </w:r>
    </w:p>
    <w:p>
      <w:pPr>
        <w:pStyle w:val="TextBody"/>
        <w:bidi w:val="0"/>
        <w:spacing w:before="0" w:after="18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carrying amounts of cash and cash equivalents, short-term investments, receivables, and accounts payable approximate fair value due to the short-term maturities of these financial instruments (Level 1). The fair values and carrying values of the Company’s long-term debt are disclosed in Note 5.</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table presents information about the Company’s financial assets and liabilities that are measured at fair value on a recurring basis and their assigned levels within the valuation hierarchy as of June 30, 2023 (in thousands):</w:t>
      </w:r>
    </w:p>
    <w:tbl>
      <w:tblPr>
        <w:tblW w:w="4814" w:type="dxa"/>
        <w:jc w:val="left"/>
        <w:tblInd w:w="0" w:type="dxa"/>
        <w:tblLayout w:type="fixed"/>
        <w:tblCellMar>
          <w:top w:w="28" w:type="dxa"/>
          <w:left w:w="28" w:type="dxa"/>
          <w:bottom w:w="28" w:type="dxa"/>
          <w:right w:w="28" w:type="dxa"/>
        </w:tblCellMar>
      </w:tblPr>
      <w:tblGrid>
        <w:gridCol w:w="1651"/>
        <w:gridCol w:w="146"/>
        <w:gridCol w:w="239"/>
        <w:gridCol w:w="391"/>
        <w:gridCol w:w="146"/>
        <w:gridCol w:w="146"/>
        <w:gridCol w:w="211"/>
        <w:gridCol w:w="571"/>
        <w:gridCol w:w="146"/>
        <w:gridCol w:w="146"/>
        <w:gridCol w:w="239"/>
        <w:gridCol w:w="391"/>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rate collars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1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180"/>
        <w:jc w:val="left"/>
        <w:rPr>
          <w:rFonts w:ascii="Times New Roman;serif" w:hAnsi="Times New Roman;serif"/>
          <w:b w:val="false"/>
          <w:i/>
          <w:sz w:val="20"/>
        </w:rPr>
      </w:pPr>
      <w:r>
        <w:rPr>
          <w:rFonts w:ascii="Times New Roman;serif" w:hAnsi="Times New Roman;serif"/>
          <w:b w:val="false"/>
          <w:i/>
          <w:sz w:val="20"/>
        </w:rPr>
        <w:br/>
        <w:t>Assets and Liabilities Measured at Fair Value on a Nonrecurring Basis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Other intangible assets are subject to nonrecurring fair value measurement as the result of business acquisitions. The fair values of these assets were estimated using the present value of expected future cash flows through unobservable inputs (Level 3).</w:t>
      </w:r>
    </w:p>
    <w:p>
      <w:pPr>
        <w:pStyle w:val="TextBody"/>
        <w:bidi w:val="0"/>
        <w:spacing w:before="0" w:after="180"/>
        <w:jc w:val="left"/>
        <w:rPr>
          <w:rFonts w:ascii="Times New Roman" w:hAnsi="Times New Roman"/>
          <w:sz w:val="20"/>
        </w:rPr>
      </w:pPr>
      <w:r>
        <w:rPr>
          <w:rFonts w:ascii="Times New Roman;serif" w:hAnsi="Times New Roman;serif"/>
          <w:b/>
          <w:sz w:val="20"/>
        </w:rPr>
        <w:t xml:space="preserve">Impairment of Long-Lived Assets — </w:t>
      </w:r>
      <w:r>
        <w:rPr>
          <w:rFonts w:ascii="Times New Roman;serif" w:hAnsi="Times New Roman;serif"/>
          <w:b w:val="false"/>
          <w:sz w:val="20"/>
        </w:rPr>
        <w:t>The Company regularly evaluates whether events and circumstances have occurred that indicate the carrying amount of property and equipment, ROU assets, and finite-life intangible assets may not be recoverable or that indicate useful lives warrant revision. The Company determined that triggering events occurred for certain leases exited during the three and six months ended June 30, 2023</w:t>
      </w:r>
      <w:r>
        <w:rPr>
          <w:rFonts w:ascii="Times New Roman" w:hAnsi="Times New Roman"/>
          <w:sz w:val="20"/>
        </w:rPr>
        <w:t xml:space="preserve"> </w:t>
      </w:r>
      <w:r>
        <w:rPr>
          <w:rFonts w:ascii="Times New Roman;serif" w:hAnsi="Times New Roman;serif"/>
          <w:b w:val="false"/>
          <w:sz w:val="20"/>
        </w:rPr>
        <w:t>which required an impairment review of certain ROU assets. Based on the results of the analysis, the Company recorded non-cash impairment charges of $0.7</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for the three and six months ended June 30, 2023, respectively, primarily related to office space exited during the year. Write down of abandoned property and equipment no longer in use was $0.2</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three and six months ended June 30, 2023, respectively.</w:t>
      </w:r>
    </w:p>
    <w:p>
      <w:pPr>
        <w:pStyle w:val="TextBody"/>
        <w:bidi w:val="0"/>
        <w:spacing w:before="0" w:after="180"/>
        <w:jc w:val="left"/>
        <w:rPr>
          <w:rFonts w:ascii="Times New Roman" w:hAnsi="Times New Roman"/>
          <w:sz w:val="20"/>
        </w:rPr>
      </w:pPr>
      <w:r>
        <w:rPr>
          <w:rFonts w:ascii="Times New Roman;serif" w:hAnsi="Times New Roman;serif"/>
          <w:b/>
          <w:sz w:val="20"/>
        </w:rPr>
        <w:t xml:space="preserve">Concentrations of Credit Risk — </w:t>
      </w:r>
      <w:r>
        <w:rPr>
          <w:rFonts w:ascii="Times New Roman;serif" w:hAnsi="Times New Roman;serif"/>
          <w:b w:val="false"/>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had one</w:t>
      </w:r>
      <w:r>
        <w:rPr>
          <w:rFonts w:ascii="Times New Roman" w:hAnsi="Times New Roman"/>
          <w:sz w:val="20"/>
        </w:rPr>
        <w:t xml:space="preserve"> </w:t>
      </w:r>
      <w:r>
        <w:rPr>
          <w:rFonts w:ascii="Times New Roman;serif" w:hAnsi="Times New Roman;serif"/>
          <w:b w:val="false"/>
          <w:sz w:val="20"/>
        </w:rPr>
        <w:t>customer which represented approximately 11% and 10% of its consolidated revenues during the three and six months ended June 30, 2023, respectively. The Company did not have any customers which represented 10% or more of consolidated revenues for the three and six months ended June 30, 2022. Additionally, the Company did not have any customers which represented 10% or more of consolidated accounts receivable, net for any period presented.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sz w:val="20"/>
        </w:rPr>
        <w:t>Foreign Currency</w:t>
      </w:r>
      <w:r>
        <w:rPr>
          <w:rFonts w:ascii="Times New Roman" w:hAnsi="Times New Roman"/>
          <w:sz w:val="20"/>
        </w:rPr>
        <w:t xml:space="preserve"> — </w:t>
      </w:r>
      <w:r>
        <w:rPr>
          <w:rFonts w:ascii="Times New Roman;serif" w:hAnsi="Times New Roman;serif"/>
          <w:b w:val="false"/>
          <w:sz w:val="20"/>
        </w:rPr>
        <w:t>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income (loss) included in accumulated other comprehensive income (loss) was approximately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$(11.3) million</w:t>
      </w:r>
      <w:r>
        <w:rPr>
          <w:rFonts w:ascii="Times New Roman" w:hAnsi="Times New Roman"/>
          <w:sz w:val="20"/>
        </w:rPr>
        <w:t xml:space="preserve"> </w:t>
      </w:r>
      <w:r>
        <w:rPr>
          <w:rFonts w:ascii="Times New Roman;serif" w:hAnsi="Times New Roman;serif"/>
          <w:b w:val="false"/>
          <w:sz w:val="20"/>
        </w:rPr>
        <w:t>for the three months ended June 30, 2023 and 2022, respectively. Currency translation income (loss) included in accumulated other comprehensive income (loss) was approximately $1.1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$(12.8) million</w:t>
      </w:r>
      <w:r>
        <w:rPr>
          <w:rFonts w:ascii="Times New Roman" w:hAnsi="Times New Roman"/>
          <w:sz w:val="20"/>
        </w:rPr>
        <w:t xml:space="preserve"> </w:t>
      </w:r>
      <w:r>
        <w:rPr>
          <w:rFonts w:ascii="Times New Roman;serif" w:hAnsi="Times New Roman;serif"/>
          <w:b w:val="false"/>
          <w:sz w:val="20"/>
        </w:rPr>
        <w:t>for the six months ended June 30, 2023 and 2022, respectively.</w:t>
      </w:r>
    </w:p>
    <w:p>
      <w:pPr>
        <w:pStyle w:val="TextBody"/>
        <w:bidi w:val="0"/>
        <w:spacing w:before="0" w:after="180"/>
        <w:jc w:val="left"/>
        <w:rPr>
          <w:rFonts w:ascii="Times New Roman" w:hAnsi="Times New Roman"/>
          <w:sz w:val="20"/>
        </w:rPr>
      </w:pPr>
      <w:r>
        <w:rPr>
          <w:rFonts w:ascii="Times New Roman;serif" w:hAnsi="Times New Roman;serif"/>
          <w:b w:val="false"/>
          <w:sz w:val="20"/>
        </w:rPr>
        <w:t>Gains or losses resulting from foreign currency transactions are included in the accompanying condensed consolidated statements of operations and comprehensive income, except for those relating to intercompany transactions of a long-term investment nature, which are captured in a separate component of equity as accumulated other comprehensive income (loss). Currency transaction income included in the accompanying condensed consolidated statements of operations and comprehensive income was approximately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June 30, 2023 and 2022, respectively. Currency transaction (loss) income included in the accompanying condensed consolidated statements of operations and comprehensive income was approximately $(0.3) million</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w:t>
      </w:r>
    </w:p>
    <w:p>
      <w:pPr>
        <w:pStyle w:val="TextBody"/>
        <w:bidi w:val="0"/>
        <w:spacing w:before="0" w:after="18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 </w:t>
      </w:r>
      <w:r>
        <w:rPr>
          <w:rFonts w:ascii="Times New Roman;serif" w:hAnsi="Times New Roman;serif"/>
          <w:b w:val="false"/>
          <w:sz w:val="20"/>
        </w:rPr>
        <w:t>There were no accounting pronouncements issued during the six months ended June 30, 2023</w:t>
      </w:r>
      <w:r>
        <w:rPr>
          <w:rFonts w:ascii="Times New Roman" w:hAnsi="Times New Roman"/>
          <w:sz w:val="20"/>
        </w:rPr>
        <w:t xml:space="preserve"> </w:t>
      </w:r>
      <w:r>
        <w:rPr>
          <w:rFonts w:ascii="Times New Roman;serif" w:hAnsi="Times New Roman;serif"/>
          <w:b w:val="false"/>
          <w:sz w:val="20"/>
        </w:rPr>
        <w:t>that are expected to have a material impact on the condensed consolidated financial statements.</w:t>
      </w:r>
    </w:p>
    <w:p>
      <w:pPr>
        <w:pStyle w:val="TextBody"/>
        <w:bidi w:val="0"/>
        <w:spacing w:before="0" w:after="18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 </w:t>
      </w:r>
      <w:r>
        <w:rPr>
          <w:rFonts w:ascii="Times New Roman;serif" w:hAnsi="Times New Roman;serif"/>
          <w:b w:val="false"/>
          <w:sz w:val="20"/>
        </w:rPr>
        <w:t xml:space="preserve">In October 2021, the FASB issued ASU 2021-08, Business Combinations (Topic 805): </w:t>
      </w:r>
      <w:r>
        <w:rPr>
          <w:rFonts w:ascii="Times New Roman;serif" w:hAnsi="Times New Roman;serif"/>
          <w:b w:val="false"/>
          <w:i/>
          <w:sz w:val="20"/>
        </w:rPr>
        <w:t>Accounting for Contract Assets and Contract Liabilities from Contracts with Customers</w:t>
      </w:r>
      <w:r>
        <w:rPr>
          <w:rFonts w:ascii="Times New Roman;serif" w:hAnsi="Times New Roman;serif"/>
          <w:b w:val="false"/>
          <w:sz w:val="20"/>
        </w:rPr>
        <w:t>, which requires contract assets and contract liabilities acquired in a business combination to be recognized and measured by the acquirer on the acquisition date in accordance with ASC 606, Revenue from Contracts with Customers. Prior to the issuance of this guidance, contract assets and contract liabilities were recognized by the acquirer at fair value on the acquisition date. This guidance is effective for annual reporting periods beginning after December 15, 2022 including interim periods therein. Adoption of this standard on January 1, 2023 did not have a material impact on the condensed consolidated financial statements. However, if the Company acquires material customer contracts in the future, this standard will impact the accounting for those arrangements which may have a material effect on future results.</w:t>
      </w:r>
    </w:p>
    <w:p>
      <w:pPr>
        <w:pStyle w:val="TextBody"/>
        <w:bidi w:val="0"/>
        <w:spacing w:before="0" w:after="180"/>
        <w:jc w:val="left"/>
        <w:rPr>
          <w:rFonts w:ascii="Times New Roman" w:hAnsi="Times New Roman"/>
          <w:sz w:val="20"/>
        </w:rPr>
      </w:pPr>
      <w:r>
        <w:rPr>
          <w:rFonts w:ascii="Times New Roman;serif" w:hAnsi="Times New Roman;serif"/>
          <w:b w:val="false"/>
          <w:sz w:val="20"/>
        </w:rPr>
        <w:t xml:space="preserve">In March 2020, the FASB issued ASU No. 2020-04, </w:t>
      </w:r>
      <w:r>
        <w:rPr>
          <w:rFonts w:ascii="Times New Roman;serif" w:hAnsi="Times New Roman;serif"/>
          <w:b w:val="false"/>
          <w:i/>
          <w:sz w:val="20"/>
        </w:rPr>
        <w:t>Reference Rate Reform (Topic 848): Facilitation of the Effects of Reference Rate Reform on Financial Reporting</w:t>
      </w:r>
      <w:r>
        <w:rPr>
          <w:rFonts w:ascii="Times New Roman" w:hAnsi="Times New Roman"/>
          <w:sz w:val="20"/>
        </w:rPr>
        <w:t xml:space="preserve"> </w:t>
      </w:r>
      <w:r>
        <w:rPr>
          <w:rFonts w:ascii="Times New Roman;serif" w:hAnsi="Times New Roman;serif"/>
          <w:b w:val="false"/>
          <w:sz w:val="20"/>
        </w:rPr>
        <w:t xml:space="preserve">and in January 2021 issued ASU No. 2021-01, </w:t>
      </w:r>
      <w:r>
        <w:rPr>
          <w:rFonts w:ascii="Times New Roman;serif" w:hAnsi="Times New Roman;serif"/>
          <w:b w:val="false"/>
          <w:i/>
          <w:sz w:val="20"/>
        </w:rPr>
        <w:t>Reference Rate Reform (Topic 848): Scope</w:t>
      </w:r>
      <w:r>
        <w:rPr>
          <w:rFonts w:ascii="Times New Roman;serif" w:hAnsi="Times New Roman;serif"/>
          <w:b w:val="false"/>
          <w:sz w:val="20"/>
        </w:rPr>
        <w:t>. These ASUs provide temporary optional expedients and exceptions to existing guidance on contract modifications and hedge accounting to facilitate the market transition from existing reference rates, such as the London Inter-bank Offered Rate (“LIBOR”), to alternate reference rates, such as the Secured Overnight Financing Rate (“SOFR”). These standards were effective upon issuance and allowed application to contract changes as early as January 1, 2020. Adoption of this standard in June 2023 did not have a material impact on the condensed consolidated financial statements.</w:t>
      </w:r>
      <w:r>
        <w:rPr>
          <w:rFonts w:ascii="Times New Roman" w:hAnsi="Times New Roman"/>
          <w:sz w:val="20"/>
        </w:rPr>
        <w:t xml:space="preserve"> </w:t>
      </w:r>
    </w:p>
    <w:p>
      <w:pPr>
        <w:pStyle w:val="TextBody"/>
        <w:bidi w:val="0"/>
        <w:spacing w:before="360" w:after="180"/>
        <w:jc w:val="both"/>
        <w:rPr>
          <w:rFonts w:ascii="Times New Roman;serif" w:hAnsi="Times New Roman;serif"/>
          <w:b/>
          <w:sz w:val="20"/>
        </w:rPr>
      </w:pPr>
      <w:r>
        <w:rPr>
          <w:rFonts w:ascii="Times New Roman;serif" w:hAnsi="Times New Roman;serif"/>
          <w:b/>
          <w:sz w:val="20"/>
        </w:rPr>
        <w:t>Note 3. Property and Equipment, net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Property and equipment, net as of June 30, 2023 and December 31, 2022 consisted of the following (in thousands):</w:t>
      </w:r>
    </w:p>
    <w:tbl>
      <w:tblPr>
        <w:tblW w:w="10030" w:type="dxa"/>
        <w:jc w:val="left"/>
        <w:tblInd w:w="0" w:type="dxa"/>
        <w:tblLayout w:type="fixed"/>
        <w:tblCellMar>
          <w:top w:w="28" w:type="dxa"/>
          <w:left w:w="28" w:type="dxa"/>
          <w:bottom w:w="28" w:type="dxa"/>
          <w:right w:w="28" w:type="dxa"/>
        </w:tblCellMar>
      </w:tblPr>
      <w:tblGrid>
        <w:gridCol w:w="6736"/>
        <w:gridCol w:w="146"/>
        <w:gridCol w:w="225"/>
        <w:gridCol w:w="900"/>
        <w:gridCol w:w="166"/>
        <w:gridCol w:w="146"/>
        <w:gridCol w:w="301"/>
        <w:gridCol w:w="1199"/>
        <w:gridCol w:w="2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23,422</w:t>
            </w:r>
          </w:p>
        </w:tc>
        <w:tc>
          <w:tcPr>
            <w:tcW w:w="211" w:type="dxa"/>
            <w:tcBorders/>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for internal use, acquired by business combination</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227,405</w:t>
            </w:r>
          </w:p>
        </w:tc>
        <w:tc>
          <w:tcPr>
            <w:tcW w:w="211" w:type="dxa"/>
            <w:tcBorders/>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for internal use, developed internally or otherwise purchased</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60,187</w:t>
            </w:r>
          </w:p>
        </w:tc>
        <w:tc>
          <w:tcPr>
            <w:tcW w:w="211" w:type="dxa"/>
            <w:tcBorders/>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313,971</w:t>
            </w:r>
          </w:p>
        </w:tc>
        <w:tc>
          <w:tcPr>
            <w:tcW w:w="211" w:type="dxa"/>
            <w:tcBorders/>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(200,442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113,529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Depreciation and amortization expense of property and equipment was approximately $16.6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June 30, 2023 and 2022, respectively. Depreciation and amortization expense of property and equipment was approximately $33.1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$34.1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both"/>
        <w:rPr>
          <w:rFonts w:ascii="Times New Roman;serif" w:hAnsi="Times New Roman;serif"/>
          <w:b/>
          <w:sz w:val="20"/>
        </w:rPr>
      </w:pPr>
      <w:r>
        <w:rPr>
          <w:rFonts w:ascii="Times New Roman;serif" w:hAnsi="Times New Roman;serif"/>
          <w:b/>
          <w:sz w:val="20"/>
        </w:rPr>
        <w:t>Note 4. Goodwill, Trade Name, and Customer Lists</w:t>
      </w:r>
    </w:p>
    <w:p>
      <w:pPr>
        <w:pStyle w:val="TextBody"/>
        <w:bidi w:val="0"/>
        <w:spacing w:before="0" w:after="180"/>
        <w:jc w:val="left"/>
        <w:rPr>
          <w:rFonts w:ascii="Times New Roman" w:hAnsi="Times New Roman"/>
          <w:sz w:val="20"/>
        </w:rPr>
      </w:pPr>
      <w:r>
        <w:rPr>
          <w:rFonts w:ascii="Times New Roman;serif" w:hAnsi="Times New Roman;serif"/>
          <w:b w:val="false"/>
          <w:sz w:val="20"/>
        </w:rPr>
        <w:t>The changes in the carrying amount of goodwill for the six months ended June 30, 2023 by reportable segment were as follows (in thousands):</w:t>
      </w:r>
      <w:r>
        <w:rPr>
          <w:rFonts w:ascii="Times New Roman" w:hAnsi="Times New Roman"/>
          <w:sz w:val="20"/>
        </w:rPr>
        <w:t xml:space="preserve"> </w:t>
      </w:r>
    </w:p>
    <w:tbl>
      <w:tblPr>
        <w:tblW w:w="6522" w:type="dxa"/>
        <w:jc w:val="left"/>
        <w:tblInd w:w="0" w:type="dxa"/>
        <w:tblLayout w:type="fixed"/>
        <w:tblCellMar>
          <w:top w:w="28" w:type="dxa"/>
          <w:left w:w="28" w:type="dxa"/>
          <w:bottom w:w="28" w:type="dxa"/>
          <w:right w:w="28" w:type="dxa"/>
        </w:tblCellMar>
      </w:tblPr>
      <w:tblGrid>
        <w:gridCol w:w="2551"/>
        <w:gridCol w:w="146"/>
        <w:gridCol w:w="211"/>
        <w:gridCol w:w="781"/>
        <w:gridCol w:w="146"/>
        <w:gridCol w:w="146"/>
        <w:gridCol w:w="226"/>
        <w:gridCol w:w="840"/>
        <w:gridCol w:w="146"/>
        <w:gridCol w:w="146"/>
        <w:gridCol w:w="211"/>
        <w:gridCol w:w="78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Americas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International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793,080</w:t>
            </w:r>
          </w:p>
        </w:tc>
        <w:tc>
          <w:tcPr>
            <w:tcW w:w="19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677,268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116,314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793,582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following summarizes the gross carrying value and accumulated amortization for the Company’s trade name and customer lists as of June 30, 2023 and December 31, 2022 (in thousands):</w:t>
      </w:r>
    </w:p>
    <w:tbl>
      <w:tblPr>
        <w:tblW w:w="7185" w:type="dxa"/>
        <w:jc w:val="left"/>
        <w:tblInd w:w="0" w:type="dxa"/>
        <w:tblLayout w:type="fixed"/>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65"/>
        <w:gridCol w:w="980"/>
        <w:gridCol w:w="146"/>
        <w:gridCol w:w="146"/>
        <w:gridCol w:w="129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3" w:type="dxa"/>
            <w:gridSpan w:val="1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br/>
              <w:t>(in years)</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years</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lists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(217,035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6" w:type="dxa"/>
            <w:tcBorders/>
            <w:vAlign w:val="center"/>
          </w:tcPr>
          <w:p>
            <w:pPr>
              <w:pStyle w:val="TableContents"/>
              <w:bidi w:val="0"/>
              <w:spacing w:before="0" w:after="0"/>
              <w:ind w:left="0" w:right="0" w:firstLine="200"/>
              <w:jc w:val="right"/>
              <w:rPr>
                <w:rFonts w:ascii="Times New Roman" w:hAnsi="Times New Roman"/>
                <w:sz w:val="20"/>
              </w:rPr>
            </w:pPr>
            <w:r>
              <w:rPr>
                <w:rFonts w:ascii="Times New Roman;serif" w:hAnsi="Times New Roman;serif"/>
                <w:b w:val="false"/>
                <w:sz w:val="20"/>
              </w:rPr>
              <w:t>13-14</w:t>
            </w:r>
            <w:r>
              <w:rPr>
                <w:rFonts w:ascii="Times New Roman" w:hAnsi="Times New Roman"/>
                <w:sz w:val="20"/>
              </w:rPr>
              <w:t> </w:t>
            </w:r>
            <w:r>
              <w:rPr>
                <w:rFonts w:ascii="Times New Roman;serif" w:hAnsi="Times New Roman;serif"/>
                <w:b w:val="false"/>
                <w:sz w:val="20"/>
              </w:rPr>
              <w:t>years</w:t>
            </w:r>
          </w:p>
        </w:tc>
      </w:tr>
      <w:tr>
        <w:trPr/>
        <w:tc>
          <w:tcPr>
            <w:tcW w:w="1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610,013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366,565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6" w:type="dxa"/>
            <w:tcBorders/>
            <w:vAlign w:val="center"/>
          </w:tcPr>
          <w:p>
            <w:pPr>
              <w:pStyle w:val="TableContents"/>
              <w:bidi w:val="0"/>
              <w:spacing w:before="0" w:after="0"/>
              <w:ind w:left="0" w:right="0" w:hanging="0"/>
              <w:jc w:val="right"/>
              <w:rPr/>
            </w:pPr>
            <w:r>
              <w:rPr/>
              <w:t> </w:t>
            </w:r>
          </w:p>
        </w:tc>
      </w:tr>
    </w:tbl>
    <w:p>
      <w:pPr>
        <w:pStyle w:val="TextBody"/>
        <w:bidi w:val="0"/>
        <w:spacing w:before="0" w:after="180"/>
        <w:jc w:val="both"/>
        <w:rPr/>
      </w:pPr>
      <w:r>
        <w:rPr/>
        <w:t> </w:t>
      </w:r>
    </w:p>
    <w:tbl>
      <w:tblPr>
        <w:tblW w:w="7185" w:type="dxa"/>
        <w:jc w:val="left"/>
        <w:tblInd w:w="0" w:type="dxa"/>
        <w:tblLayout w:type="fixed"/>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65"/>
        <w:gridCol w:w="980"/>
        <w:gridCol w:w="146"/>
        <w:gridCol w:w="146"/>
        <w:gridCol w:w="129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3" w:type="dxa"/>
            <w:gridSpan w:val="1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br/>
              <w:t>(in years)</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years</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lists</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515,762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(189,748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326,014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6" w:type="dxa"/>
            <w:tcBorders/>
            <w:vAlign w:val="center"/>
          </w:tcPr>
          <w:p>
            <w:pPr>
              <w:pStyle w:val="TableContents"/>
              <w:bidi w:val="0"/>
              <w:spacing w:before="0" w:after="0"/>
              <w:ind w:left="0" w:right="0" w:firstLine="200"/>
              <w:jc w:val="right"/>
              <w:rPr>
                <w:rFonts w:ascii="Times New Roman" w:hAnsi="Times New Roman"/>
                <w:sz w:val="20"/>
              </w:rPr>
            </w:pPr>
            <w:r>
              <w:rPr>
                <w:rFonts w:ascii="Times New Roman;serif" w:hAnsi="Times New Roman;serif"/>
                <w:b w:val="false"/>
                <w:sz w:val="20"/>
              </w:rPr>
              <w:t>13-14</w:t>
            </w:r>
            <w:r>
              <w:rPr>
                <w:rFonts w:ascii="Times New Roman" w:hAnsi="Times New Roman"/>
                <w:sz w:val="20"/>
              </w:rPr>
              <w:t> </w:t>
            </w:r>
            <w:r>
              <w:rPr>
                <w:rFonts w:ascii="Times New Roman;serif" w:hAnsi="Times New Roman;serif"/>
                <w:b w:val="false"/>
                <w:sz w:val="20"/>
              </w:rPr>
              <w:t>years</w:t>
            </w:r>
          </w:p>
        </w:tc>
      </w:tr>
      <w:tr>
        <w:trPr/>
        <w:tc>
          <w:tcPr>
            <w:tcW w:w="1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397,176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6" w:type="dxa"/>
            <w:tcBorders/>
            <w:vAlign w:val="center"/>
          </w:tcPr>
          <w:p>
            <w:pPr>
              <w:pStyle w:val="TableContents"/>
              <w:bidi w:val="0"/>
              <w:spacing w:before="0" w:after="0"/>
              <w:ind w:left="0" w:right="0" w:hanging="0"/>
              <w:jc w:val="righ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Amortization expense of trade name and customer lists was approximately $15.4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June 30, 2023 and 2022, respectively. Amortization expense of trade name and customer lists was approximately $30.8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$34.3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 Trade name and customer lists are amortized on an accelerated basis based upon their estimated useful life.</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5. Long-term Debt</w:t>
      </w:r>
    </w:p>
    <w:p>
      <w:pPr>
        <w:pStyle w:val="TextBody"/>
        <w:bidi w:val="0"/>
        <w:spacing w:before="0" w:after="180"/>
        <w:jc w:val="left"/>
        <w:rPr>
          <w:rFonts w:ascii="Times New Roman" w:hAnsi="Times New Roman"/>
          <w:sz w:val="20"/>
        </w:rPr>
      </w:pPr>
      <w:r>
        <w:rPr>
          <w:rFonts w:ascii="Times New Roman;serif" w:hAnsi="Times New Roman;serif"/>
          <w:b w:val="false"/>
          <w:sz w:val="20"/>
        </w:rPr>
        <w:t>The fair value of the Company’s long-term debt obligation approximated its book value as of June 30, 2023 and December 31, 2022 and consisted of the following (in thousands):</w:t>
      </w:r>
      <w:r>
        <w:rPr>
          <w:rFonts w:ascii="Times New Roman" w:hAnsi="Times New Roman"/>
          <w:sz w:val="20"/>
        </w:rPr>
        <w:t xml:space="preserve"> </w:t>
      </w:r>
    </w:p>
    <w:tbl>
      <w:tblPr>
        <w:tblW w:w="5845" w:type="dxa"/>
        <w:jc w:val="left"/>
        <w:tblInd w:w="0" w:type="dxa"/>
        <w:tblLayout w:type="fixed"/>
        <w:tblCellMar>
          <w:top w:w="28" w:type="dxa"/>
          <w:left w:w="28" w:type="dxa"/>
          <w:bottom w:w="28" w:type="dxa"/>
          <w:right w:w="28" w:type="dxa"/>
        </w:tblCellMar>
      </w:tblPr>
      <w:tblGrid>
        <w:gridCol w:w="2551"/>
        <w:gridCol w:w="146"/>
        <w:gridCol w:w="239"/>
        <w:gridCol w:w="886"/>
        <w:gridCol w:w="166"/>
        <w:gridCol w:w="146"/>
        <w:gridCol w:w="319"/>
        <w:gridCol w:w="1181"/>
        <w:gridCol w:w="2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 Lien Credit Facility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564,724</w:t>
            </w:r>
          </w:p>
        </w:tc>
        <w:tc>
          <w:tcPr>
            <w:tcW w:w="21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Deferred financing costs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557,576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556,649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The Company is a party to a First Lien Credit Agreement with its banking group (“Credit Agreement”), which provides for a term loan of $766.6</w:t>
      </w:r>
      <w:r>
        <w:rPr>
          <w:rFonts w:ascii="Times New Roman" w:hAnsi="Times New Roman"/>
          <w:sz w:val="20"/>
        </w:rPr>
        <w:t xml:space="preserve"> </w:t>
      </w:r>
      <w:r>
        <w:rPr>
          <w:rFonts w:ascii="Times New Roman;serif" w:hAnsi="Times New Roman;serif"/>
          <w:b w:val="false"/>
          <w:sz w:val="20"/>
        </w:rPr>
        <w:t>million due January 31, 2027</w:t>
      </w:r>
      <w:r>
        <w:rPr>
          <w:rFonts w:ascii="Times New Roman" w:hAnsi="Times New Roman"/>
          <w:sz w:val="20"/>
        </w:rPr>
        <w:t xml:space="preserve"> </w:t>
      </w:r>
      <w:r>
        <w:rPr>
          <w:rFonts w:ascii="Times New Roman;serif" w:hAnsi="Times New Roman;serif"/>
          <w:b w:val="false"/>
          <w:sz w:val="20"/>
        </w:rPr>
        <w:t>carrying an interest rate of 2.75% to 3.00%, based on the first lien ratio, plus LIBOR (“First Lien Credit Facility”) and a $100.0</w:t>
      </w:r>
      <w:r>
        <w:rPr>
          <w:rFonts w:ascii="Times New Roman" w:hAnsi="Times New Roman"/>
          <w:sz w:val="20"/>
        </w:rPr>
        <w:t xml:space="preserve"> </w:t>
      </w:r>
      <w:r>
        <w:rPr>
          <w:rFonts w:ascii="Times New Roman;serif" w:hAnsi="Times New Roman;serif"/>
          <w:b w:val="false"/>
          <w:sz w:val="20"/>
        </w:rPr>
        <w:t>million revolving credit facility due July 31, 2026</w:t>
      </w:r>
      <w:r>
        <w:rPr>
          <w:rFonts w:ascii="Times New Roman" w:hAnsi="Times New Roman"/>
          <w:sz w:val="20"/>
        </w:rPr>
        <w:t xml:space="preserve"> </w:t>
      </w:r>
      <w:r>
        <w:rPr>
          <w:rFonts w:ascii="Times New Roman;serif" w:hAnsi="Times New Roman;serif"/>
          <w:b w:val="false"/>
          <w:sz w:val="20"/>
        </w:rPr>
        <w:t>(“Revolver”). In June 2023, the Credit Agreement was amended to transition the reference rate from LIBOR to SOFR (the Secured Overnight Financing Rate as administered by the Federal Reserve Bank of New York), with the addition of an applicable margin.</w:t>
      </w:r>
      <w:r>
        <w:rPr>
          <w:rFonts w:ascii="Times New Roman" w:hAnsi="Times New Roman"/>
          <w:sz w:val="20"/>
        </w:rPr>
        <w:t xml:space="preserve"> </w:t>
      </w:r>
      <w:r>
        <w:rPr>
          <w:rFonts w:ascii="Times New Roman;serif" w:hAnsi="Times New Roman;serif"/>
          <w:b w:val="false"/>
          <w:sz w:val="20"/>
        </w:rPr>
        <w:t>The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w:t>
      </w:r>
      <w:r>
        <w:rPr>
          <w:rFonts w:ascii="Times New Roman" w:hAnsi="Times New Roman"/>
          <w:sz w:val="20"/>
        </w:rPr>
        <w:t xml:space="preserve"> </w:t>
      </w:r>
      <w:r>
        <w:rPr>
          <w:rFonts w:ascii="Times New Roman;serif" w:hAnsi="Times New Roman;serif"/>
          <w:b w:val="false"/>
          <w:sz w:val="20"/>
        </w:rPr>
        <w:t>In the event the Company’s outstanding indebtedness under the Revolver exceeds 35% of the aggregate principal amount of the revolving commitments then in effect, it is required to maintain a consolidated first lien leverage ratio no greater than 7.75</w:t>
      </w:r>
      <w:r>
        <w:rPr>
          <w:rFonts w:ascii="Times New Roman;serif" w:hAnsi="Times New Roman;serif"/>
          <w:sz w:val="20"/>
        </w:rPr>
        <w:t xml:space="preserve"> </w:t>
      </w:r>
      <w:r>
        <w:rPr>
          <w:rFonts w:ascii="Times New Roman;serif" w:hAnsi="Times New Roman;serif"/>
          <w:b w:val="false"/>
          <w:sz w:val="20"/>
        </w:rPr>
        <w:t>to 1.00.</w:t>
      </w:r>
      <w:r>
        <w:rPr>
          <w:rFonts w:ascii="Times New Roman" w:hAnsi="Times New Roman"/>
          <w:sz w:val="20"/>
        </w:rPr>
        <w:t xml:space="preserve"> </w:t>
      </w:r>
      <w:r>
        <w:rPr>
          <w:rFonts w:ascii="Times New Roman;serif" w:hAnsi="Times New Roman;serif"/>
          <w:b w:val="false"/>
          <w:sz w:val="20"/>
        </w:rPr>
        <w:t>As of June 30, 2023, there were no</w:t>
      </w:r>
      <w:r>
        <w:rPr>
          <w:rFonts w:ascii="Times New Roman" w:hAnsi="Times New Roman"/>
          <w:sz w:val="20"/>
        </w:rPr>
        <w:t xml:space="preserve"> </w:t>
      </w:r>
      <w:r>
        <w:rPr>
          <w:rFonts w:ascii="Times New Roman;serif" w:hAnsi="Times New Roman;serif"/>
          <w:b w:val="false"/>
          <w:sz w:val="20"/>
        </w:rPr>
        <w:t>outstanding borrowings under the Revolver and $564.7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outstanding under the First Lien Credit Facility. As the Company had no</w:t>
      </w:r>
      <w:r>
        <w:rPr>
          <w:rFonts w:ascii="Times New Roman" w:hAnsi="Times New Roman"/>
          <w:sz w:val="20"/>
        </w:rPr>
        <w:t xml:space="preserve"> </w:t>
      </w:r>
      <w:r>
        <w:rPr>
          <w:rFonts w:ascii="Times New Roman;serif" w:hAnsi="Times New Roman;serif"/>
          <w:b w:val="false"/>
          <w:sz w:val="20"/>
        </w:rPr>
        <w:t>outstanding amounts under the Revolver, it was not subject to the consolidated first lien leverage ratio covenant. The Company was compliant with all other covenants under the agreement as of June 30,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6. Derivatives</w:t>
      </w:r>
    </w:p>
    <w:p>
      <w:pPr>
        <w:pStyle w:val="TextBody"/>
        <w:bidi w:val="0"/>
        <w:spacing w:before="0" w:after="180"/>
        <w:jc w:val="left"/>
        <w:rPr>
          <w:rFonts w:ascii="Times New Roman" w:hAnsi="Times New Roman"/>
          <w:sz w:val="20"/>
        </w:rPr>
      </w:pPr>
      <w:r>
        <w:rPr>
          <w:rFonts w:ascii="Times New Roman;serif" w:hAnsi="Times New Roman;serif"/>
          <w:b w:val="false"/>
          <w:sz w:val="20"/>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As of June 30, 2023, the Company had the following outstanding derivatives that were not designated as a hedge in qualifying hedging relationships:</w:t>
      </w:r>
    </w:p>
    <w:tbl>
      <w:tblPr>
        <w:tblW w:w="8614" w:type="dxa"/>
        <w:jc w:val="left"/>
        <w:tblInd w:w="0" w:type="dxa"/>
        <w:tblLayout w:type="fixed"/>
        <w:tblCellMar>
          <w:top w:w="28" w:type="dxa"/>
          <w:left w:w="28" w:type="dxa"/>
          <w:bottom w:w="28" w:type="dxa"/>
          <w:right w:w="28" w:type="dxa"/>
        </w:tblCellMar>
      </w:tblPr>
      <w:tblGrid>
        <w:gridCol w:w="1846"/>
        <w:gridCol w:w="146"/>
        <w:gridCol w:w="1246"/>
        <w:gridCol w:w="146"/>
        <w:gridCol w:w="1591"/>
        <w:gridCol w:w="146"/>
        <w:gridCol w:w="1321"/>
        <w:gridCol w:w="146"/>
        <w:gridCol w:w="202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Effective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Notional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w:t>
            </w:r>
          </w:p>
        </w:tc>
      </w:tr>
      <w:tr>
        <w:trPr/>
        <w:tc>
          <w:tcPr>
            <w:tcW w:w="18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Interest rate collars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29, 2024</w:t>
            </w:r>
          </w:p>
        </w:tc>
        <w:tc>
          <w:tcPr>
            <w:tcW w:w="14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$300.0</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center"/>
              <w:rPr/>
            </w:pPr>
            <w:r>
              <w:rPr/>
              <w:t> </w:t>
            </w:r>
          </w:p>
        </w:tc>
        <w:tc>
          <w:tcPr>
            <w:tcW w:w="20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0.48% floor/1.47% cap</w:t>
            </w:r>
          </w:p>
        </w:tc>
      </w:tr>
      <w:tr>
        <w:trPr/>
        <w:tc>
          <w:tcPr>
            <w:tcW w:w="18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(b)</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center"/>
              <w:rPr/>
            </w:pPr>
            <w:r>
              <w:rPr/>
              <w:t> </w:t>
            </w:r>
          </w:p>
        </w:tc>
        <w:tc>
          <w:tcPr>
            <w:tcW w:w="159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28, 2026</w:t>
            </w:r>
          </w:p>
        </w:tc>
        <w:tc>
          <w:tcPr>
            <w:tcW w:w="14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$100.0</w:t>
            </w:r>
            <w:r>
              <w:rPr>
                <w:rFonts w:ascii="Times New Roman" w:hAnsi="Times New Roman"/>
                <w:sz w:val="20"/>
              </w:rPr>
              <w:t> </w:t>
            </w:r>
            <w:r>
              <w:rPr>
                <w:rFonts w:ascii="Times New Roman;serif" w:hAnsi="Times New Roman;serif"/>
                <w:b w:val="false"/>
                <w:sz w:val="20"/>
              </w:rPr>
              <w:t>million</w:t>
            </w:r>
          </w:p>
        </w:tc>
        <w:tc>
          <w:tcPr>
            <w:tcW w:w="146" w:type="dxa"/>
            <w:tcBorders/>
            <w:vAlign w:val="center"/>
          </w:tcPr>
          <w:p>
            <w:pPr>
              <w:pStyle w:val="TableContents"/>
              <w:bidi w:val="0"/>
              <w:spacing w:before="0" w:after="0"/>
              <w:ind w:left="0" w:right="0" w:hanging="0"/>
              <w:jc w:val="center"/>
              <w:rPr/>
            </w:pPr>
            <w:r>
              <w:rPr/>
              <w:t> </w:t>
            </w:r>
          </w:p>
        </w:tc>
        <w:tc>
          <w:tcPr>
            <w:tcW w:w="20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4.32%</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(a)</w:t>
      </w:r>
    </w:p>
    <w:p>
      <w:pPr>
        <w:pStyle w:val="TextBody"/>
        <w:bidi w:val="0"/>
        <w:spacing w:before="120" w:after="0"/>
        <w:jc w:val="left"/>
        <w:rPr>
          <w:rFonts w:ascii="Times New Roman;serif" w:hAnsi="Times New Roman;serif"/>
          <w:b w:val="false"/>
          <w:sz w:val="16"/>
        </w:rPr>
      </w:pPr>
      <w:r>
        <w:rPr>
          <w:rFonts w:ascii="Times New Roman;serif" w:hAnsi="Times New Roman;serif"/>
          <w:b w:val="false"/>
          <w:sz w:val="16"/>
        </w:rPr>
        <w:t xml:space="preserve">In conjunction with the June 2023 transition of the reference rate from LIBOR to SOFR, the cap rate was reduced from 1.50% to 1.47%. </w:t>
      </w:r>
    </w:p>
    <w:p>
      <w:pPr>
        <w:pStyle w:val="TextBody"/>
        <w:bidi w:val="0"/>
        <w:spacing w:before="0" w:after="180"/>
        <w:jc w:val="left"/>
        <w:rPr>
          <w:rFonts w:ascii="Times New Roman" w:hAnsi="Times New Roman"/>
          <w:b w:val="false"/>
          <w:sz w:val="16"/>
        </w:rPr>
      </w:pPr>
      <w:r>
        <w:rPr>
          <w:rFonts w:ascii="Times New Roman" w:hAnsi="Times New Roman"/>
          <w:b w:val="false"/>
          <w:sz w:val="16"/>
        </w:rPr>
        <w:t>(b)</w:t>
      </w:r>
    </w:p>
    <w:p>
      <w:pPr>
        <w:pStyle w:val="TextBody"/>
        <w:bidi w:val="0"/>
        <w:spacing w:before="0" w:after="180"/>
        <w:jc w:val="left"/>
        <w:rPr>
          <w:rFonts w:ascii="Times New Roman;serif" w:hAnsi="Times New Roman;serif"/>
          <w:b w:val="false"/>
          <w:sz w:val="16"/>
        </w:rPr>
      </w:pPr>
      <w:r>
        <w:rPr>
          <w:rFonts w:ascii="Times New Roman;serif" w:hAnsi="Times New Roman;serif"/>
          <w:b w:val="false"/>
          <w:sz w:val="16"/>
        </w:rPr>
        <w:t>In conjunction with the June 2023 transition of the reference rate from LIBOR to SOFR, the fixed rate was reduced from 4.36% to 4.32%.</w:t>
      </w:r>
    </w:p>
    <w:p>
      <w:pPr>
        <w:pStyle w:val="TextBody"/>
        <w:bidi w:val="0"/>
        <w:spacing w:before="180" w:after="180"/>
        <w:jc w:val="left"/>
        <w:rPr>
          <w:rFonts w:ascii="Times New Roman" w:hAnsi="Times New Roman"/>
          <w:sz w:val="20"/>
        </w:rPr>
      </w:pPr>
      <w:r>
        <w:rPr>
          <w:rFonts w:ascii="Times New Roman;serif" w:hAnsi="Times New Roman;serif"/>
          <w:b w:val="false"/>
          <w:sz w:val="20"/>
        </w:rPr>
        <w:t>Derivatives not designated as hedges are not speculative and are used to manage the Company’s exposure to interest rate movements; however, the Company has not elected to apply hedge accounting for these instruments.</w:t>
      </w:r>
      <w:r>
        <w:rPr>
          <w:rFonts w:ascii="Times New Roman" w:hAnsi="Times New Roman"/>
          <w:sz w:val="20"/>
        </w:rPr>
        <w:t xml:space="preserve"> </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following is a summary of location and fair value of the financial positions recorded related to the derivative instruments (in thousands):</w:t>
      </w:r>
    </w:p>
    <w:tbl>
      <w:tblPr>
        <w:tblW w:w="8922" w:type="dxa"/>
        <w:jc w:val="left"/>
        <w:tblInd w:w="0" w:type="dxa"/>
        <w:tblLayout w:type="fixed"/>
        <w:tblCellMar>
          <w:top w:w="28" w:type="dxa"/>
          <w:left w:w="28" w:type="dxa"/>
          <w:bottom w:w="28" w:type="dxa"/>
          <w:right w:w="28" w:type="dxa"/>
        </w:tblCellMar>
      </w:tblPr>
      <w:tblGrid>
        <w:gridCol w:w="2041"/>
        <w:gridCol w:w="146"/>
        <w:gridCol w:w="3436"/>
        <w:gridCol w:w="146"/>
        <w:gridCol w:w="303"/>
        <w:gridCol w:w="822"/>
        <w:gridCol w:w="146"/>
        <w:gridCol w:w="146"/>
        <w:gridCol w:w="367"/>
        <w:gridCol w:w="1178"/>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Derivatives not designated</w:t>
              <w:br/>
              <w:t>as hedging instruments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br/>
              <w:t>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collars</w:t>
            </w:r>
          </w:p>
        </w:tc>
        <w:tc>
          <w:tcPr>
            <w:tcW w:w="146" w:type="dxa"/>
            <w:tcBorders/>
            <w:vAlign w:val="center"/>
          </w:tcPr>
          <w:p>
            <w:pPr>
              <w:pStyle w:val="TableContents"/>
              <w:bidi w:val="0"/>
              <w:spacing w:before="0" w:after="0"/>
              <w:ind w:left="0" w:right="0" w:hanging="0"/>
              <w:jc w:val="center"/>
              <w:rPr/>
            </w:pPr>
            <w:r>
              <w:rPr/>
              <w:t> </w:t>
            </w:r>
          </w:p>
        </w:tc>
        <w:tc>
          <w:tcPr>
            <w:tcW w:w="34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11,570</w:t>
            </w:r>
          </w:p>
        </w:tc>
        <w:tc>
          <w:tcPr>
            <w:tcW w:w="19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center"/>
              <w:rPr/>
            </w:pPr>
            <w:r>
              <w:rPr/>
              <w:t> </w:t>
            </w:r>
          </w:p>
        </w:tc>
        <w:tc>
          <w:tcPr>
            <w:tcW w:w="34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following is a summary of location and amount of gains and (losses) recorded related to the derivative instruments (in thousands):</w:t>
      </w:r>
    </w:p>
    <w:tbl>
      <w:tblPr>
        <w:tblW w:w="9251" w:type="dxa"/>
        <w:jc w:val="left"/>
        <w:tblInd w:w="0" w:type="dxa"/>
        <w:tblLayout w:type="fixed"/>
        <w:tblCellMar>
          <w:top w:w="28" w:type="dxa"/>
          <w:left w:w="28" w:type="dxa"/>
          <w:bottom w:w="28" w:type="dxa"/>
          <w:right w:w="28" w:type="dxa"/>
        </w:tblCellMar>
      </w:tblPr>
      <w:tblGrid>
        <w:gridCol w:w="2041"/>
        <w:gridCol w:w="146"/>
        <w:gridCol w:w="2101"/>
        <w:gridCol w:w="146"/>
        <w:gridCol w:w="257"/>
        <w:gridCol w:w="697"/>
        <w:gridCol w:w="178"/>
        <w:gridCol w:w="178"/>
        <w:gridCol w:w="257"/>
        <w:gridCol w:w="697"/>
        <w:gridCol w:w="146"/>
        <w:gridCol w:w="146"/>
        <w:gridCol w:w="256"/>
        <w:gridCol w:w="511"/>
        <w:gridCol w:w="177"/>
        <w:gridCol w:w="177"/>
        <w:gridCol w:w="256"/>
        <w:gridCol w:w="693"/>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2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Gain/(Loss)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Derivatives not designated</w:t>
              <w:br/>
              <w:t>as hedging instruments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Statement 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collars</w:t>
            </w:r>
          </w:p>
        </w:tc>
        <w:tc>
          <w:tcPr>
            <w:tcW w:w="146" w:type="dxa"/>
            <w:tcBorders/>
            <w:vAlign w:val="center"/>
          </w:tcPr>
          <w:p>
            <w:pPr>
              <w:pStyle w:val="TableContents"/>
              <w:bidi w:val="0"/>
              <w:spacing w:before="0" w:after="0"/>
              <w:ind w:left="0" w:right="0" w:hanging="0"/>
              <w:jc w:val="center"/>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7,378</w:t>
            </w:r>
          </w:p>
        </w:tc>
        <w:tc>
          <w:tcPr>
            <w:tcW w:w="19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rate swap</w:t>
            </w:r>
          </w:p>
        </w:tc>
        <w:tc>
          <w:tcPr>
            <w:tcW w:w="146" w:type="dxa"/>
            <w:tcBorders/>
            <w:vAlign w:val="center"/>
          </w:tcPr>
          <w:p>
            <w:pPr>
              <w:pStyle w:val="TableContents"/>
              <w:bidi w:val="0"/>
              <w:spacing w:before="0" w:after="0"/>
              <w:ind w:left="0" w:right="0" w:hanging="0"/>
              <w:jc w:val="center"/>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1,910</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180"/>
        <w:jc w:val="both"/>
        <w:rPr>
          <w:rFonts w:ascii="Times New Roman" w:hAnsi="Times New Roman"/>
          <w:sz w:val="20"/>
        </w:rPr>
      </w:pPr>
      <w:r>
        <w:rPr>
          <w:rFonts w:ascii="Times New Roman;serif" w:hAnsi="Times New Roman;serif"/>
          <w:b/>
          <w:sz w:val="20"/>
        </w:rPr>
        <w:t>Note 7. Income Taxes</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Company’s income tax expense and balance sheet accounts reflect the results of the Company and its subsidiaries.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For the three and six months ended June 30, 2023, the Company estimated the annual effective tax rate based on projected income for the full year and recorded a quarterly tax provision in accordance with the annual effective tax rate and adjusted for discrete tax items in the period.</w:t>
      </w:r>
    </w:p>
    <w:p>
      <w:pPr>
        <w:pStyle w:val="TextBody"/>
        <w:bidi w:val="0"/>
        <w:spacing w:before="0" w:after="180"/>
        <w:jc w:val="left"/>
        <w:rPr>
          <w:rFonts w:ascii="Times New Roman" w:hAnsi="Times New Roman"/>
          <w:sz w:val="20"/>
        </w:rPr>
      </w:pPr>
      <w:r>
        <w:rPr>
          <w:rFonts w:ascii="Times New Roman;serif" w:hAnsi="Times New Roman;serif"/>
          <w:b w:val="false"/>
          <w:sz w:val="20"/>
        </w:rPr>
        <w:t>The effective income tax rate for the three and six months ended June 30, 2023 was 28.9%</w:t>
      </w:r>
      <w:r>
        <w:rPr>
          <w:rFonts w:ascii="Times New Roman" w:hAnsi="Times New Roman"/>
          <w:sz w:val="20"/>
        </w:rPr>
        <w:t xml:space="preserve"> </w:t>
      </w:r>
      <w:r>
        <w:rPr>
          <w:rFonts w:ascii="Times New Roman;serif" w:hAnsi="Times New Roman;serif"/>
          <w:b w:val="false"/>
          <w:sz w:val="20"/>
        </w:rPr>
        <w:t>and 28.4%, respectively. The Company’s effective income tax rate for the three and six months ended June 30, 2023</w:t>
      </w:r>
      <w:r>
        <w:rPr>
          <w:rFonts w:ascii="Times New Roman" w:hAnsi="Times New Roman"/>
          <w:sz w:val="20"/>
        </w:rPr>
        <w:t xml:space="preserve"> </w:t>
      </w:r>
      <w:r>
        <w:rPr>
          <w:rFonts w:ascii="Times New Roman;serif" w:hAnsi="Times New Roman;serif"/>
          <w:b w:val="false"/>
          <w:sz w:val="20"/>
        </w:rPr>
        <w:t>was higher than the U.S. federal statutory rate of 21% primarily due to the Global Intangible Low-Taxed Income (“GILTI”) inclusion, nondeductible share-based compensation, and U.S. state income taxes.</w:t>
      </w:r>
    </w:p>
    <w:p>
      <w:pPr>
        <w:pStyle w:val="TextBody"/>
        <w:bidi w:val="0"/>
        <w:spacing w:before="0" w:after="180"/>
        <w:jc w:val="left"/>
        <w:rPr>
          <w:rFonts w:ascii="Times New Roman" w:hAnsi="Times New Roman"/>
          <w:sz w:val="20"/>
        </w:rPr>
      </w:pPr>
      <w:r>
        <w:rPr>
          <w:rFonts w:ascii="Times New Roman;serif" w:hAnsi="Times New Roman;serif"/>
          <w:b w:val="false"/>
          <w:sz w:val="20"/>
        </w:rPr>
        <w:t>The effective income tax rate for the three and six months ended June 30, 2022 was 27.6%. The Company’s effective income tax rate for the three and six months ended June 30, 2022</w:t>
      </w:r>
      <w:r>
        <w:rPr>
          <w:rFonts w:ascii="Times New Roman" w:hAnsi="Times New Roman"/>
          <w:sz w:val="20"/>
        </w:rPr>
        <w:t xml:space="preserve"> </w:t>
      </w:r>
      <w:r>
        <w:rPr>
          <w:rFonts w:ascii="Times New Roman;serif" w:hAnsi="Times New Roman;serif"/>
          <w:b w:val="false"/>
          <w:sz w:val="20"/>
        </w:rPr>
        <w:t>was higher than the U.S. federal statutory rate of 21% primarily due to GILTI inclusion, nondeductible share-based compensation, and U.S. state income taxes.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8. Revenues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Company considers negotiated and anticipated incentives and estimated adjustments, including historical collections experience, when recording revenues.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sz w:val="20"/>
        </w:rPr>
      </w:pPr>
      <w:r>
        <w:rPr>
          <w:rFonts w:ascii="Times New Roman;serif" w:hAnsi="Times New Roman;serif"/>
          <w:b w:val="false"/>
          <w:sz w:val="20"/>
        </w:rPr>
        <w:t>Contract balances are generated when the revenues recognized in a given period varies from billing. A contract asset is created when the Company performs a service for a customer and recognizes more revenues than what has been billed. The contract asset balance was $7.4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$6.5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and is included in accounts receivable, net in the accompanying condensed consolidated balance sheets.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For additional disclosures about the disaggregation of our revenues see Note 14, “Reportable Segments.”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9. Share-based Compensation</w:t>
      </w:r>
    </w:p>
    <w:p>
      <w:pPr>
        <w:pStyle w:val="TextBody"/>
        <w:bidi w:val="0"/>
        <w:spacing w:before="0" w:after="180"/>
        <w:jc w:val="left"/>
        <w:rPr>
          <w:rFonts w:ascii="Times New Roman" w:hAnsi="Times New Roman"/>
          <w:sz w:val="20"/>
        </w:rPr>
      </w:pPr>
      <w:r>
        <w:rPr>
          <w:rFonts w:ascii="Times New Roman;serif" w:hAnsi="Times New Roman;serif"/>
          <w:b w:val="false"/>
          <w:sz w:val="20"/>
        </w:rPr>
        <w:t>Share-based compensation expense is recognized in cost of services, product and technology expense, and selling, general, and administrative expense, in the accompanying condensed consolidated statements of operations and comprehensive income as follows (in thousands):</w:t>
      </w:r>
      <w:r>
        <w:rPr>
          <w:rFonts w:ascii="Times New Roman" w:hAnsi="Times New Roman"/>
          <w:sz w:val="20"/>
        </w:rPr>
        <w:t xml:space="preserve"> </w:t>
      </w:r>
    </w:p>
    <w:tbl>
      <w:tblPr>
        <w:tblW w:w="8867" w:type="dxa"/>
        <w:jc w:val="left"/>
        <w:tblInd w:w="0" w:type="dxa"/>
        <w:tblLayout w:type="fixed"/>
        <w:tblCellMar>
          <w:top w:w="28" w:type="dxa"/>
          <w:left w:w="28" w:type="dxa"/>
          <w:bottom w:w="28" w:type="dxa"/>
          <w:right w:w="28" w:type="dxa"/>
        </w:tblCellMar>
      </w:tblPr>
      <w:tblGrid>
        <w:gridCol w:w="3706"/>
        <w:gridCol w:w="146"/>
        <w:gridCol w:w="257"/>
        <w:gridCol w:w="697"/>
        <w:gridCol w:w="178"/>
        <w:gridCol w:w="178"/>
        <w:gridCol w:w="257"/>
        <w:gridCol w:w="697"/>
        <w:gridCol w:w="146"/>
        <w:gridCol w:w="146"/>
        <w:gridCol w:w="235"/>
        <w:gridCol w:w="637"/>
        <w:gridCol w:w="162"/>
        <w:gridCol w:w="162"/>
        <w:gridCol w:w="235"/>
        <w:gridCol w:w="637"/>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right"/>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services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391" w:type="dxa"/>
            <w:tcBorders/>
            <w:vAlign w:val="center"/>
          </w:tcPr>
          <w:p>
            <w:pPr>
              <w:pStyle w:val="TableContents"/>
              <w:bidi w:val="0"/>
              <w:spacing w:before="0" w:after="0"/>
              <w:ind w:left="0" w:right="0" w:firstLine="200"/>
              <w:jc w:val="lef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391" w:type="dxa"/>
            <w:tcBorders/>
            <w:vAlign w:val="center"/>
          </w:tcPr>
          <w:p>
            <w:pPr>
              <w:pStyle w:val="TableContents"/>
              <w:bidi w:val="0"/>
              <w:spacing w:before="0" w:after="0"/>
              <w:ind w:left="0" w:right="0" w:firstLine="200"/>
              <w:jc w:val="lef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4,046</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share-based compensation expense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 As of the modification date, unrecognized pre-tax non-cash compensation expense related to the Performance Awards, after accounting for the modification, was $28.8</w:t>
      </w:r>
      <w:r>
        <w:rPr>
          <w:rFonts w:ascii="Times New Roman" w:hAnsi="Times New Roman"/>
          <w:sz w:val="20"/>
        </w:rPr>
        <w:t xml:space="preserve"> </w:t>
      </w:r>
      <w:r>
        <w:rPr>
          <w:rFonts w:ascii="Times New Roman;serif" w:hAnsi="Times New Roman;serif"/>
          <w:b w:val="false"/>
          <w:sz w:val="20"/>
        </w:rPr>
        <w:t>million. The Company expects to recognize pre-tax non-cash compensation expense related to the modification of Performance Awards prospectively from the date of modification, on a straight-line basis, over a weighted average period of 1.9</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fair value of the modified restricted stock units and restricted stock was estimated using the closing stock price on the date of modification. The fair value of the modified stock options was estimated on the date of modification using the Black-Scholes option-pricing model with the following weighted average assumptions:</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316"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Fair-value of the underlying unit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serif" w:hAnsi="Times New Roman;serif"/>
          <w:b/>
          <w:i/>
          <w:sz w:val="20"/>
        </w:rPr>
      </w:pPr>
      <w:r>
        <w:rPr>
          <w:rFonts w:ascii="Times New Roman;serif" w:hAnsi="Times New Roman;serif"/>
          <w:b/>
          <w:i/>
          <w:sz w:val="20"/>
        </w:rPr>
        <w:t>2020 Equity Plan</w:t>
      </w:r>
    </w:p>
    <w:p>
      <w:pPr>
        <w:pStyle w:val="TextBody"/>
        <w:bidi w:val="0"/>
        <w:spacing w:before="0" w:after="180"/>
        <w:jc w:val="left"/>
        <w:rPr>
          <w:rFonts w:ascii="Times New Roman" w:hAnsi="Times New Roman"/>
          <w:sz w:val="20"/>
        </w:rPr>
      </w:pPr>
      <w:r>
        <w:rPr>
          <w:rFonts w:ascii="Times New Roman;serif" w:hAnsi="Times New Roman;serif"/>
          <w:b w:val="false"/>
          <w:sz w:val="20"/>
        </w:rPr>
        <w:t>Prior to the Company’s Initial Public Offering (“IPO”), all share-based awards were issued by Fastball Holdco, L.P., the Company’s previous parent company, under individual grant agreements and the partnership agreement of such parent company (collectively the “2020 Equity Plan”). Awards issued under the 2020 Equity Plan consist of options. No</w:t>
      </w:r>
      <w:r>
        <w:rPr>
          <w:rFonts w:ascii="Times New Roman" w:hAnsi="Times New Roman"/>
          <w:sz w:val="20"/>
        </w:rPr>
        <w:t xml:space="preserve"> </w:t>
      </w:r>
      <w:r>
        <w:rPr>
          <w:rFonts w:ascii="Times New Roman;serif" w:hAnsi="Times New Roman;serif"/>
          <w:b w:val="false"/>
          <w:sz w:val="20"/>
        </w:rPr>
        <w:t>awards were issued under the plan during the six months ended June 30, 2023.</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summary of the stock option activity for the six months ended June 30, 2023 is as follows:</w:t>
      </w:r>
    </w:p>
    <w:tbl>
      <w:tblPr>
        <w:tblW w:w="10205" w:type="dxa"/>
        <w:jc w:val="left"/>
        <w:tblInd w:w="0" w:type="dxa"/>
        <w:tblLayout w:type="fixed"/>
        <w:tblCellMar>
          <w:top w:w="28" w:type="dxa"/>
          <w:left w:w="28" w:type="dxa"/>
          <w:bottom w:w="28" w:type="dxa"/>
          <w:right w:w="28" w:type="dxa"/>
        </w:tblCellMar>
      </w:tblPr>
      <w:tblGrid>
        <w:gridCol w:w="1315"/>
        <w:gridCol w:w="146"/>
        <w:gridCol w:w="1647"/>
        <w:gridCol w:w="146"/>
        <w:gridCol w:w="146"/>
        <w:gridCol w:w="931"/>
        <w:gridCol w:w="166"/>
        <w:gridCol w:w="146"/>
        <w:gridCol w:w="358"/>
        <w:gridCol w:w="792"/>
        <w:gridCol w:w="146"/>
        <w:gridCol w:w="146"/>
        <w:gridCol w:w="2326"/>
        <w:gridCol w:w="146"/>
        <w:gridCol w:w="1648"/>
      </w:tblGrid>
      <w:tr>
        <w:trPr/>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3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r>
      <w:tr>
        <w:trPr/>
        <w:tc>
          <w:tcPr>
            <w:tcW w:w="1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2,843,342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8" w:type="dxa"/>
            <w:tcBorders/>
            <w:vAlign w:val="center"/>
          </w:tcPr>
          <w:p>
            <w:pPr>
              <w:pStyle w:val="TableContents"/>
              <w:bidi w:val="0"/>
              <w:spacing w:before="0" w:after="0"/>
              <w:ind w:left="0" w:right="0" w:hanging="0"/>
              <w:jc w:val="left"/>
              <w:rPr/>
            </w:pPr>
            <w:r>
              <w:rPr/>
              <w:t> </w:t>
            </w:r>
          </w:p>
        </w:tc>
      </w:tr>
      <w:tr>
        <w:trPr/>
        <w:tc>
          <w:tcPr>
            <w:tcW w:w="13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(191,564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8" w:type="dxa"/>
            <w:tcBorders/>
            <w:vAlign w:val="center"/>
          </w:tcPr>
          <w:p>
            <w:pPr>
              <w:pStyle w:val="TableContents"/>
              <w:bidi w:val="0"/>
              <w:spacing w:before="0" w:after="0"/>
              <w:ind w:left="0" w:right="0" w:hanging="0"/>
              <w:jc w:val="left"/>
              <w:rPr/>
            </w:pPr>
            <w:r>
              <w:rPr/>
              <w:t> </w:t>
            </w:r>
          </w:p>
        </w:tc>
      </w:tr>
      <w:tr>
        <w:trPr/>
        <w:tc>
          <w:tcPr>
            <w:tcW w:w="13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cancelled/forfeited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(424,742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8" w:type="dxa"/>
            <w:tcBorders/>
            <w:vAlign w:val="center"/>
          </w:tcPr>
          <w:p>
            <w:pPr>
              <w:pStyle w:val="TableContents"/>
              <w:bidi w:val="0"/>
              <w:spacing w:before="0" w:after="0"/>
              <w:ind w:left="0" w:right="0" w:hanging="0"/>
              <w:jc w:val="left"/>
              <w:rPr/>
            </w:pPr>
            <w:r>
              <w:rPr/>
              <w:t> </w:t>
            </w:r>
          </w:p>
        </w:tc>
      </w:tr>
      <w:tr>
        <w:trPr/>
        <w:tc>
          <w:tcPr>
            <w:tcW w:w="1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2,227,036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6.7</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right"/>
              <w:rPr/>
            </w:pPr>
            <w:r>
              <w:rPr/>
              <w:t> </w:t>
            </w:r>
          </w:p>
        </w:tc>
        <w:tc>
          <w:tcPr>
            <w:tcW w:w="1648"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$19.5</w:t>
            </w:r>
            <w:r>
              <w:rPr>
                <w:rFonts w:ascii="Times New Roman" w:hAnsi="Times New Roman"/>
                <w:sz w:val="20"/>
              </w:rPr>
              <w:t> </w:t>
            </w:r>
            <w:r>
              <w:rPr>
                <w:rFonts w:ascii="Times New Roman;serif" w:hAnsi="Times New Roman;serif"/>
                <w:b w:val="false"/>
                <w:sz w:val="20"/>
              </w:rPr>
              <w:t>million</w:t>
            </w:r>
          </w:p>
        </w:tc>
      </w:tr>
      <w:tr>
        <w:trPr/>
        <w:tc>
          <w:tcPr>
            <w:tcW w:w="1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702,197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6.7</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right"/>
              <w:rPr/>
            </w:pPr>
            <w:r>
              <w:rPr/>
              <w:t> </w:t>
            </w:r>
          </w:p>
        </w:tc>
        <w:tc>
          <w:tcPr>
            <w:tcW w:w="1648"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$6.2</w:t>
            </w:r>
            <w:r>
              <w:rPr>
                <w:rFonts w:ascii="Times New Roman" w:hAnsi="Times New Roman"/>
                <w:sz w:val="20"/>
              </w:rPr>
              <w:t> </w:t>
            </w:r>
            <w:r>
              <w:rPr>
                <w:rFonts w:ascii="Times New Roman;serif" w:hAnsi="Times New Roman;serif"/>
                <w:b w:val="false"/>
                <w:sz w:val="20"/>
              </w:rPr>
              <w:t>million</w:t>
            </w:r>
          </w:p>
        </w:tc>
      </w:tr>
      <w:tr>
        <w:trPr/>
        <w:tc>
          <w:tcPr>
            <w:tcW w:w="1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6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unvested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1,524,839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48"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left"/>
        <w:rPr>
          <w:rFonts w:ascii="Times New Roman;serif" w:hAnsi="Times New Roman;serif"/>
          <w:b/>
          <w:i/>
          <w:sz w:val="20"/>
        </w:rPr>
      </w:pPr>
      <w:r>
        <w:rPr>
          <w:rFonts w:ascii="Times New Roman;serif" w:hAnsi="Times New Roman;serif"/>
          <w:b/>
          <w:i/>
          <w:sz w:val="20"/>
        </w:rPr>
        <w:t>2021 Equity Plan</w:t>
      </w:r>
    </w:p>
    <w:p>
      <w:pPr>
        <w:pStyle w:val="TextBody"/>
        <w:bidi w:val="0"/>
        <w:spacing w:before="0" w:after="180"/>
        <w:jc w:val="left"/>
        <w:rPr>
          <w:rFonts w:ascii="Times New Roman" w:hAnsi="Times New Roman"/>
          <w:sz w:val="20"/>
        </w:rPr>
      </w:pPr>
      <w:r>
        <w:rPr>
          <w:rFonts w:ascii="Times New Roman;serif" w:hAnsi="Times New Roman;serif"/>
          <w:b w:val="false"/>
          <w:sz w:val="20"/>
        </w:rPr>
        <w:t>The First Advantage Corporation 2021 Omnibus Incentive Plan (as amended by the First Amendment, dated as of May 10, 2023,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w:t>
      </w:r>
      <w:r>
        <w:rPr>
          <w:rFonts w:ascii="Times New Roman" w:hAnsi="Times New Roman"/>
          <w:sz w:val="20"/>
        </w:rPr>
        <w:t xml:space="preserve"> </w:t>
      </w:r>
      <w:r>
        <w:rPr>
          <w:rFonts w:ascii="Times New Roman;serif" w:hAnsi="Times New Roman;serif"/>
          <w:b w:val="false"/>
          <w:sz w:val="20"/>
        </w:rPr>
        <w:t>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June 30, 2023, 16,905,954</w:t>
      </w:r>
      <w:r>
        <w:rPr>
          <w:rFonts w:ascii="Times New Roman" w:hAnsi="Times New Roman"/>
          <w:sz w:val="20"/>
        </w:rPr>
        <w:t xml:space="preserve"> </w:t>
      </w:r>
      <w:r>
        <w:rPr>
          <w:rFonts w:ascii="Times New Roman;serif" w:hAnsi="Times New Roman;serif"/>
          <w:b w:val="false"/>
          <w:sz w:val="20"/>
        </w:rPr>
        <w:t>shares were available for issuance under the 2021 Equity Plan.</w:t>
      </w:r>
    </w:p>
    <w:p>
      <w:pPr>
        <w:pStyle w:val="TextBody"/>
        <w:bidi w:val="0"/>
        <w:spacing w:before="0" w:after="180"/>
        <w:jc w:val="left"/>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summary of the stock option activity for the six months ended June 30, 2023 is as follows:</w:t>
      </w:r>
    </w:p>
    <w:tbl>
      <w:tblPr>
        <w:tblW w:w="10205" w:type="dxa"/>
        <w:jc w:val="left"/>
        <w:tblInd w:w="0" w:type="dxa"/>
        <w:tblLayout w:type="fixed"/>
        <w:tblCellMar>
          <w:top w:w="28" w:type="dxa"/>
          <w:left w:w="28" w:type="dxa"/>
          <w:bottom w:w="28" w:type="dxa"/>
          <w:right w:w="28" w:type="dxa"/>
        </w:tblCellMar>
      </w:tblPr>
      <w:tblGrid>
        <w:gridCol w:w="1322"/>
        <w:gridCol w:w="146"/>
        <w:gridCol w:w="1656"/>
        <w:gridCol w:w="146"/>
        <w:gridCol w:w="146"/>
        <w:gridCol w:w="931"/>
        <w:gridCol w:w="166"/>
        <w:gridCol w:w="146"/>
        <w:gridCol w:w="310"/>
        <w:gridCol w:w="845"/>
        <w:gridCol w:w="146"/>
        <w:gridCol w:w="146"/>
        <w:gridCol w:w="2349"/>
        <w:gridCol w:w="146"/>
        <w:gridCol w:w="1604"/>
      </w:tblGrid>
      <w:tr>
        <w:trPr/>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3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r>
      <w:tr>
        <w:trPr/>
        <w:tc>
          <w:tcPr>
            <w:tcW w:w="1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4,311,662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4" w:type="dxa"/>
            <w:tcBorders/>
            <w:vAlign w:val="center"/>
          </w:tcPr>
          <w:p>
            <w:pPr>
              <w:pStyle w:val="TableContents"/>
              <w:bidi w:val="0"/>
              <w:spacing w:before="0" w:after="0"/>
              <w:ind w:left="0" w:right="0" w:hanging="0"/>
              <w:jc w:val="left"/>
              <w:rPr/>
            </w:pPr>
            <w:r>
              <w:rPr/>
              <w:t> </w:t>
            </w:r>
          </w:p>
        </w:tc>
      </w:tr>
      <w:tr>
        <w:trPr/>
        <w:tc>
          <w:tcPr>
            <w:tcW w:w="13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issued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4" w:type="dxa"/>
            <w:tcBorders/>
            <w:vAlign w:val="center"/>
          </w:tcPr>
          <w:p>
            <w:pPr>
              <w:pStyle w:val="TableContents"/>
              <w:bidi w:val="0"/>
              <w:spacing w:before="0" w:after="0"/>
              <w:ind w:left="0" w:right="0" w:hanging="0"/>
              <w:jc w:val="left"/>
              <w:rPr/>
            </w:pPr>
            <w:r>
              <w:rPr/>
              <w:t> </w:t>
            </w:r>
          </w:p>
        </w:tc>
      </w:tr>
      <w:tr>
        <w:trPr/>
        <w:tc>
          <w:tcPr>
            <w:tcW w:w="132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cancelled/forfeited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4" w:type="dxa"/>
            <w:tcBorders/>
            <w:vAlign w:val="center"/>
          </w:tcPr>
          <w:p>
            <w:pPr>
              <w:pStyle w:val="TableContents"/>
              <w:bidi w:val="0"/>
              <w:spacing w:before="0" w:after="0"/>
              <w:ind w:left="0" w:right="0" w:hanging="0"/>
              <w:jc w:val="left"/>
              <w:rPr/>
            </w:pPr>
            <w:r>
              <w:rPr/>
              <w:t> </w:t>
            </w:r>
          </w:p>
        </w:tc>
      </w:tr>
      <w:tr>
        <w:trPr/>
        <w:tc>
          <w:tcPr>
            <w:tcW w:w="1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4,584,359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9"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8.3</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right"/>
              <w:rPr/>
            </w:pPr>
            <w:r>
              <w:rPr/>
              <w:t> </w:t>
            </w:r>
          </w:p>
        </w:tc>
        <w:tc>
          <w:tcPr>
            <w:tcW w:w="1604"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$2.6</w:t>
            </w:r>
            <w:r>
              <w:rPr>
                <w:rFonts w:ascii="Times New Roman" w:hAnsi="Times New Roman"/>
                <w:sz w:val="20"/>
              </w:rPr>
              <w:t> </w:t>
            </w:r>
            <w:r>
              <w:rPr>
                <w:rFonts w:ascii="Times New Roman;serif" w:hAnsi="Times New Roman;serif"/>
                <w:b w:val="false"/>
                <w:sz w:val="20"/>
              </w:rPr>
              <w:t>million</w:t>
            </w:r>
          </w:p>
        </w:tc>
      </w:tr>
      <w:tr>
        <w:trPr/>
        <w:tc>
          <w:tcPr>
            <w:tcW w:w="1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1,523,812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9"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8.1</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right"/>
              <w:rPr/>
            </w:pPr>
            <w:r>
              <w:rPr/>
              <w:t> </w:t>
            </w:r>
          </w:p>
        </w:tc>
        <w:tc>
          <w:tcPr>
            <w:tcW w:w="1604"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$0.6</w:t>
            </w:r>
            <w:r>
              <w:rPr>
                <w:rFonts w:ascii="Times New Roman" w:hAnsi="Times New Roman"/>
                <w:sz w:val="20"/>
              </w:rPr>
              <w:t> </w:t>
            </w:r>
            <w:r>
              <w:rPr>
                <w:rFonts w:ascii="Times New Roman;serif" w:hAnsi="Times New Roman;serif"/>
                <w:b w:val="false"/>
                <w:sz w:val="20"/>
              </w:rPr>
              <w:t>million</w:t>
            </w:r>
          </w:p>
        </w:tc>
      </w:tr>
      <w:tr>
        <w:trPr/>
        <w:tc>
          <w:tcPr>
            <w:tcW w:w="1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6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Grants unvested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3,060,547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04" w:type="dxa"/>
            <w:tcBorders/>
            <w:vAlign w:val="center"/>
          </w:tcPr>
          <w:p>
            <w:pPr>
              <w:pStyle w:val="TableContents"/>
              <w:bidi w:val="0"/>
              <w:spacing w:before="0" w:after="0"/>
              <w:ind w:left="0" w:right="0" w:hanging="0"/>
              <w:jc w:val="righ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The fair value for stock options granted for the six months ended June 30, 2023 was estimated at the date of grant using the Black-Scholes option-pricing model with the following weighted average assumptions:</w:t>
      </w:r>
      <w:r>
        <w:rPr>
          <w:rFonts w:ascii="Times New Roman" w:hAnsi="Times New Roman"/>
          <w:sz w:val="20"/>
        </w:rPr>
        <w:t xml:space="preserve">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316" w:type="dxa"/>
            <w:tcBorders/>
            <w:vAlign w:val="center"/>
          </w:tcPr>
          <w:p>
            <w:pPr>
              <w:pStyle w:val="TableContents"/>
              <w:bidi w:val="0"/>
              <w:spacing w:before="0" w:after="0"/>
              <w:ind w:left="0" w:right="0" w:hanging="0"/>
              <w:jc w:val="left"/>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Fair-value of the underlying unit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serif" w:hAnsi="Times New Roman;serif"/>
          <w:b w:val="false"/>
          <w:i/>
          <w:sz w:val="20"/>
        </w:rPr>
      </w:pPr>
      <w:r>
        <w:rPr>
          <w:rFonts w:ascii="Times New Roman;serif" w:hAnsi="Times New Roman;serif"/>
          <w:b w:val="false"/>
          <w:i/>
          <w:sz w:val="20"/>
        </w:rPr>
        <w:t>Restricted Stock Units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summary of the restricted stock units (“RSU”) activity for the six months ended June 30, 2023 is as follows:</w:t>
      </w:r>
    </w:p>
    <w:tbl>
      <w:tblPr>
        <w:tblW w:w="6719" w:type="dxa"/>
        <w:jc w:val="left"/>
        <w:tblInd w:w="0" w:type="dxa"/>
        <w:tblLayout w:type="fixed"/>
        <w:tblCellMar>
          <w:top w:w="28" w:type="dxa"/>
          <w:left w:w="28" w:type="dxa"/>
          <w:bottom w:w="28" w:type="dxa"/>
          <w:right w:w="28" w:type="dxa"/>
        </w:tblCellMar>
      </w:tblPr>
      <w:tblGrid>
        <w:gridCol w:w="1696"/>
        <w:gridCol w:w="146"/>
        <w:gridCol w:w="1471"/>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Grant 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RSUs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both"/>
        <w:rPr>
          <w:rFonts w:ascii="Times New Roman" w:hAnsi="Times New Roman"/>
          <w:sz w:val="20"/>
        </w:rPr>
      </w:pPr>
      <w:r>
        <w:rPr>
          <w:rFonts w:ascii="Times New Roman;serif" w:hAnsi="Times New Roman;serif"/>
          <w:b w:val="false"/>
          <w:i/>
          <w:sz w:val="20"/>
        </w:rPr>
        <w:t>Restricted Stock</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summary of the restricted stock activity for the six months ended June 30, 2023 is as follows:</w:t>
      </w:r>
    </w:p>
    <w:tbl>
      <w:tblPr>
        <w:tblW w:w="7589" w:type="dxa"/>
        <w:jc w:val="left"/>
        <w:tblInd w:w="0" w:type="dxa"/>
        <w:tblLayout w:type="fixed"/>
        <w:tblCellMar>
          <w:top w:w="28" w:type="dxa"/>
          <w:left w:w="28" w:type="dxa"/>
          <w:bottom w:w="28" w:type="dxa"/>
          <w:right w:w="28" w:type="dxa"/>
        </w:tblCellMar>
      </w:tblPr>
      <w:tblGrid>
        <w:gridCol w:w="1696"/>
        <w:gridCol w:w="146"/>
        <w:gridCol w:w="2251"/>
        <w:gridCol w:w="146"/>
        <w:gridCol w:w="146"/>
        <w:gridCol w:w="931"/>
        <w:gridCol w:w="166"/>
        <w:gridCol w:w="146"/>
        <w:gridCol w:w="551"/>
        <w:gridCol w:w="1219"/>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Average </w:t>
              <w:br/>
              <w:t>Grant 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2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(326,670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2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1,954,630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left"/>
        <w:rPr>
          <w:rFonts w:ascii="Times New Roman" w:hAnsi="Times New Roman"/>
          <w:sz w:val="20"/>
        </w:rPr>
      </w:pPr>
      <w:r>
        <w:rPr>
          <w:rFonts w:ascii="Times New Roman;serif" w:hAnsi="Times New Roman;serif"/>
          <w:b w:val="false"/>
          <w:sz w:val="20"/>
        </w:rPr>
        <w:t>As of June 30, 2023, the Company had approximately $45.8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unrecognized pre-tax non-cash compensation expense, comprised of approximately $17.6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related to restricted stock, $6.7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related to RSUs, and approximately $21.5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related to stock options, which the Company expects to recognize over a weighted average period of 1.6</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0" w:after="180"/>
        <w:jc w:val="both"/>
        <w:rPr>
          <w:rFonts w:ascii="Times New Roman;serif" w:hAnsi="Times New Roman;serif"/>
          <w:b/>
          <w:i/>
          <w:sz w:val="20"/>
        </w:rPr>
      </w:pPr>
      <w:r>
        <w:rPr>
          <w:rFonts w:ascii="Times New Roman;serif" w:hAnsi="Times New Roman;serif"/>
          <w:b/>
          <w:i/>
          <w:sz w:val="20"/>
        </w:rPr>
        <w:t>2021 Employee Stock Purchase Plan</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is one six-month purchase period. During the holding period, ESPP purchased shares are not eligible for sale or broker transfer. The Company recorded an associated expense of approximately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June 30, 2023 and 2022, respectively. The Company recorded an associated expense of approximately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10. Equity</w:t>
      </w:r>
    </w:p>
    <w:p>
      <w:pPr>
        <w:pStyle w:val="TextBody"/>
        <w:bidi w:val="0"/>
        <w:spacing w:before="0" w:after="180"/>
        <w:jc w:val="left"/>
        <w:rPr>
          <w:rFonts w:ascii="Times New Roman" w:hAnsi="Times New Roman"/>
          <w:sz w:val="20"/>
        </w:rPr>
      </w:pPr>
      <w:r>
        <w:rPr>
          <w:rFonts w:ascii="Times New Roman;serif" w:hAnsi="Times New Roman;serif"/>
          <w:b/>
          <w:i/>
          <w:sz w:val="20"/>
        </w:rPr>
        <w:t>Stock Repurchase Program</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On August 2, 2022, the Company’s Board of Directors authorized the repurchase of up to $50.0</w:t>
      </w:r>
      <w:r>
        <w:rPr>
          <w:rFonts w:ascii="Times New Roman" w:hAnsi="Times New Roman"/>
          <w:sz w:val="20"/>
        </w:rPr>
        <w:t xml:space="preserve"> </w:t>
      </w:r>
      <w:r>
        <w:rPr>
          <w:rFonts w:ascii="Times New Roman;serif" w:hAnsi="Times New Roman;serif"/>
          <w:b w:val="false"/>
          <w:sz w:val="20"/>
        </w:rPr>
        <w:t>million of the Company’s common stock over the 12-month period ending August 2, 2023 (the “Repurchase Program”). On November 8, 2022, the Company’s Board of Directors authorized an increase to the total available amount under its Repurchase Program to $150.0</w:t>
      </w:r>
      <w:r>
        <w:rPr>
          <w:rFonts w:ascii="Times New Roman" w:hAnsi="Times New Roman"/>
          <w:sz w:val="20"/>
        </w:rPr>
        <w:t xml:space="preserve"> </w:t>
      </w:r>
      <w:r>
        <w:rPr>
          <w:rFonts w:ascii="Times New Roman;serif" w:hAnsi="Times New Roman;serif"/>
          <w:b w:val="false"/>
          <w:sz w:val="20"/>
        </w:rPr>
        <w:t>million and extended the program through December 31, 2023. In February 2023, the Company’s Board of Directors further increased the total available amount under the Repurchase Program to $200.0</w:t>
      </w:r>
      <w:r>
        <w:rPr>
          <w:rFonts w:ascii="Times New Roman" w:hAnsi="Times New Roman"/>
          <w:sz w:val="20"/>
        </w:rPr>
        <w:t xml:space="preserve"> </w:t>
      </w:r>
      <w:r>
        <w:rPr>
          <w:rFonts w:ascii="Times New Roman;serif" w:hAnsi="Times New Roman;serif"/>
          <w:b w:val="false"/>
          <w:sz w:val="20"/>
        </w:rPr>
        <w:t>million effective February 28, 2023.</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summary of the stock repurchase activity under the Repurchase Program, is summarized as follows (in thousands, except share and per share amounts):</w:t>
      </w:r>
    </w:p>
    <w:tbl>
      <w:tblPr>
        <w:tblW w:w="6742" w:type="dxa"/>
        <w:jc w:val="left"/>
        <w:tblInd w:w="0" w:type="dxa"/>
        <w:tblLayout w:type="fixed"/>
        <w:tblCellMar>
          <w:top w:w="28" w:type="dxa"/>
          <w:left w:w="28" w:type="dxa"/>
          <w:bottom w:w="28" w:type="dxa"/>
          <w:right w:w="28" w:type="dxa"/>
        </w:tblCellMar>
      </w:tblPr>
      <w:tblGrid>
        <w:gridCol w:w="3616"/>
        <w:gridCol w:w="146"/>
        <w:gridCol w:w="213"/>
        <w:gridCol w:w="942"/>
        <w:gridCol w:w="146"/>
        <w:gridCol w:w="146"/>
        <w:gridCol w:w="211"/>
        <w:gridCol w:w="931"/>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xml:space="preserve">Ended </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w:t>
              <w:br/>
              <w:t xml:space="preserve">Ended </w:t>
              <w:b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repurchased</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2,024,046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3,895,737</w:t>
            </w:r>
          </w:p>
        </w:tc>
        <w:tc>
          <w:tcPr>
            <w:tcW w:w="391" w:type="dxa"/>
            <w:tcBorders/>
            <w:vAlign w:val="center"/>
          </w:tcPr>
          <w:p>
            <w:pPr>
              <w:pStyle w:val="TableContents"/>
              <w:bidi w:val="0"/>
              <w:spacing w:before="0" w:after="0"/>
              <w:ind w:left="0" w:right="0" w:hanging="0"/>
              <w:jc w:val="left"/>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price per share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13.43</w:t>
            </w:r>
          </w:p>
        </w:tc>
        <w:tc>
          <w:tcPr>
            <w:tcW w:w="391" w:type="dxa"/>
            <w:tcBorders/>
            <w:vAlign w:val="center"/>
          </w:tcPr>
          <w:p>
            <w:pPr>
              <w:pStyle w:val="TableContents"/>
              <w:bidi w:val="0"/>
              <w:spacing w:before="0" w:after="0"/>
              <w:ind w:left="0" w:right="0" w:hanging="0"/>
              <w:jc w:val="left"/>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Costs recorded to accumulated deficit</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repurchase costs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52,252</w:t>
            </w:r>
          </w:p>
        </w:tc>
        <w:tc>
          <w:tcPr>
            <w:tcW w:w="391" w:type="dxa"/>
            <w:tcBorders/>
            <w:vAlign w:val="center"/>
          </w:tcPr>
          <w:p>
            <w:pPr>
              <w:pStyle w:val="TableContents"/>
              <w:bidi w:val="0"/>
              <w:spacing w:before="0" w:after="0"/>
              <w:ind w:left="0" w:right="0" w:firstLine="200"/>
              <w:jc w:val="left"/>
              <w:rPr/>
            </w:pPr>
            <w:r>
              <w:rPr/>
              <w:t> </w:t>
            </w:r>
          </w:p>
        </w:tc>
      </w:tr>
      <w:tr>
        <w:trPr/>
        <w:tc>
          <w:tcPr>
            <w:tcW w:w="36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associated costs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recorded to 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As of June 30, 2023, the remaining authorized value of shares available to be repurchased under this program was approximately $87.1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80" w:after="180"/>
        <w:jc w:val="left"/>
        <w:rPr>
          <w:rFonts w:ascii="Times New Roman" w:hAnsi="Times New Roman"/>
          <w:sz w:val="20"/>
        </w:rPr>
      </w:pPr>
      <w:r>
        <w:rPr>
          <w:rFonts w:ascii="Times New Roman;serif" w:hAnsi="Times New Roman;serif"/>
          <w:b w:val="false"/>
          <w:sz w:val="20"/>
        </w:rPr>
        <w:t>Repurchased shares of common stock are retired. The par value of repurchased shares is deducted from common stock and the excess repurchase price over par value is reflected as a reduction to accumulated deficit. Additional associated costs include the related brokerage commissions and excise taxes on share repurchases.</w:t>
      </w:r>
      <w:r>
        <w:rPr>
          <w:rFonts w:ascii="Times New Roman" w:hAnsi="Times New Roman"/>
          <w:sz w:val="20"/>
        </w:rPr>
        <w:t xml:space="preserve"> </w:t>
      </w:r>
    </w:p>
    <w:p>
      <w:pPr>
        <w:pStyle w:val="TextBody"/>
        <w:bidi w:val="0"/>
        <w:spacing w:before="0" w:after="180"/>
        <w:jc w:val="left"/>
        <w:rPr>
          <w:rFonts w:ascii="Times New Roman;serif" w:hAnsi="Times New Roman;serif"/>
          <w:b/>
          <w:i/>
          <w:sz w:val="20"/>
        </w:rPr>
      </w:pPr>
      <w:r>
        <w:rPr>
          <w:rFonts w:ascii="Times New Roman;serif" w:hAnsi="Times New Roman;serif"/>
          <w:b/>
          <w:i/>
          <w:sz w:val="20"/>
        </w:rPr>
        <w:t>Preferred Stock</w:t>
      </w:r>
    </w:p>
    <w:p>
      <w:pPr>
        <w:pStyle w:val="TextBody"/>
        <w:bidi w:val="0"/>
        <w:spacing w:before="180" w:after="180"/>
        <w:jc w:val="left"/>
        <w:rPr>
          <w:rFonts w:ascii="Times New Roman" w:hAnsi="Times New Roman"/>
          <w:sz w:val="20"/>
        </w:rPr>
      </w:pPr>
      <w:r>
        <w:rPr>
          <w:rFonts w:ascii="Times New Roman;serif" w:hAnsi="Times New Roman;serif"/>
          <w:b w:val="false"/>
          <w:sz w:val="20"/>
        </w:rPr>
        <w:t>As of June 30, 2023 and December 31, 2022, 250,000,000</w:t>
      </w:r>
      <w:r>
        <w:rPr>
          <w:rFonts w:ascii="Times New Roman" w:hAnsi="Times New Roman"/>
          <w:sz w:val="20"/>
        </w:rPr>
        <w:t xml:space="preserve"> </w:t>
      </w:r>
      <w:r>
        <w:rPr>
          <w:rFonts w:ascii="Times New Roman;serif" w:hAnsi="Times New Roman;serif"/>
          <w:b w:val="false"/>
          <w:sz w:val="20"/>
        </w:rPr>
        <w:t>shares of Preferred Stock were authorized, and no</w:t>
      </w:r>
      <w:r>
        <w:rPr>
          <w:rFonts w:ascii="Times New Roman" w:hAnsi="Times New Roman"/>
          <w:sz w:val="20"/>
        </w:rPr>
        <w:t xml:space="preserve"> </w:t>
      </w:r>
      <w:r>
        <w:rPr>
          <w:rFonts w:ascii="Times New Roman;serif" w:hAnsi="Times New Roman;serif"/>
          <w:b w:val="false"/>
          <w:sz w:val="20"/>
        </w:rPr>
        <w:t>Preferred Stock was issued or outstanding.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11. Commitments and Contingencies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There have been no material changes to the Company’s contractual obligations as compared to December 31, 2022.</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For all pending matters, the Company believes it has meritorious defenses and intends to defend vigorously or otherwise seek indemnification from other parties as appropriate. However, the Company has recorded a liability of $4.9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at June 30, 2023 and December 31, 2022, respectively, for matters that it believes a loss is both probable and estimable. This is included in accrued liabilities in the accompanying condensed consolidated balance sheets.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360" w:after="180"/>
        <w:jc w:val="left"/>
        <w:rPr>
          <w:rFonts w:ascii="Times New Roman" w:hAnsi="Times New Roman"/>
          <w:sz w:val="20"/>
        </w:rPr>
      </w:pPr>
      <w:r>
        <w:rPr>
          <w:rFonts w:ascii="Times New Roman;serif" w:hAnsi="Times New Roman;serif"/>
          <w:b/>
          <w:sz w:val="20"/>
        </w:rPr>
        <w:t>Note 12. Related Party Transactions</w:t>
      </w:r>
      <w:r>
        <w:rPr>
          <w:rFonts w:ascii="Times New Roman" w:hAnsi="Times New Roman"/>
          <w:sz w:val="20"/>
        </w:rPr>
        <w:t xml:space="preserve"> </w:t>
      </w:r>
    </w:p>
    <w:p>
      <w:pPr>
        <w:pStyle w:val="TextBody"/>
        <w:bidi w:val="0"/>
        <w:spacing w:before="0" w:after="180"/>
        <w:jc w:val="both"/>
        <w:rPr>
          <w:rFonts w:ascii="Times New Roman" w:hAnsi="Times New Roman"/>
          <w:sz w:val="20"/>
        </w:rPr>
      </w:pP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material related party transactions.</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13. Net Income Per Share</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Basic and diluted net income per share was calculated as follows:</w:t>
      </w:r>
    </w:p>
    <w:tbl>
      <w:tblPr>
        <w:tblW w:w="10205" w:type="dxa"/>
        <w:jc w:val="left"/>
        <w:tblInd w:w="0" w:type="dxa"/>
        <w:tblLayout w:type="fixed"/>
        <w:tblCellMar>
          <w:top w:w="28" w:type="dxa"/>
          <w:left w:w="28" w:type="dxa"/>
          <w:bottom w:w="28" w:type="dxa"/>
          <w:right w:w="28" w:type="dxa"/>
        </w:tblCellMar>
      </w:tblPr>
      <w:tblGrid>
        <w:gridCol w:w="3584"/>
        <w:gridCol w:w="146"/>
        <w:gridCol w:w="211"/>
        <w:gridCol w:w="1141"/>
        <w:gridCol w:w="146"/>
        <w:gridCol w:w="146"/>
        <w:gridCol w:w="211"/>
        <w:gridCol w:w="1141"/>
        <w:gridCol w:w="146"/>
        <w:gridCol w:w="146"/>
        <w:gridCol w:w="211"/>
        <w:gridCol w:w="1141"/>
        <w:gridCol w:w="146"/>
        <w:gridCol w:w="146"/>
        <w:gridCol w:w="211"/>
        <w:gridCol w:w="1141"/>
        <w:gridCol w:w="191"/>
      </w:tblGrid>
      <w:tr>
        <w:trPr/>
        <w:tc>
          <w:tcPr>
            <w:tcW w:w="3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84" w:type="dxa"/>
            <w:tcBorders/>
            <w:vAlign w:val="center"/>
          </w:tcPr>
          <w:p>
            <w:pPr>
              <w:pStyle w:val="TableContents"/>
              <w:bidi w:val="0"/>
              <w:spacing w:before="0" w:after="0"/>
              <w:ind w:left="0" w:right="0" w:hanging="0"/>
              <w:jc w:val="center"/>
              <w:rPr>
                <w:rFonts w:cs="Times New Roman;serif"/>
                <w:bCs/>
                <w:iCs/>
                <w:szCs w:val="16"/>
              </w:rPr>
            </w:pPr>
            <w:r>
              <w:rPr>
                <w:rFonts w:cs="Times New Roman;serif"/>
                <w:bCs/>
                <w:iCs/>
                <w:szCs w:val="16"/>
              </w:rPr>
              <w:t>﻿</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income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91" w:type="dxa"/>
            <w:tcBorders/>
            <w:vAlign w:val="center"/>
          </w:tcPr>
          <w:p>
            <w:pPr>
              <w:pStyle w:val="TableContents"/>
              <w:bidi w:val="0"/>
              <w:spacing w:before="0" w:after="0"/>
              <w:ind w:left="0" w:right="0" w:hanging="0"/>
              <w:jc w:val="lef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91" w:type="dxa"/>
            <w:tcBorders/>
            <w:vAlign w:val="center"/>
          </w:tcPr>
          <w:p>
            <w:pPr>
              <w:pStyle w:val="TableContents"/>
              <w:bidi w:val="0"/>
              <w:spacing w:before="0" w:after="0"/>
              <w:ind w:left="0" w:right="0" w:hanging="0"/>
              <w:jc w:val="lef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91" w:type="dxa"/>
            <w:tcBorders/>
            <w:vAlign w:val="center"/>
          </w:tcPr>
          <w:p>
            <w:pPr>
              <w:pStyle w:val="TableContents"/>
              <w:bidi w:val="0"/>
              <w:spacing w:before="0" w:after="0"/>
              <w:ind w:left="0" w:right="0" w:hanging="0"/>
              <w:jc w:val="righ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(in thousands)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191" w:type="dxa"/>
            <w:tcBorders/>
            <w:vAlign w:val="center"/>
          </w:tcPr>
          <w:p>
            <w:pPr>
              <w:pStyle w:val="TableContents"/>
              <w:bidi w:val="0"/>
              <w:spacing w:before="0" w:after="0"/>
              <w:ind w:left="0" w:right="0" w:hanging="0"/>
              <w:jc w:val="lef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1352"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91" w:type="dxa"/>
            <w:tcBorders/>
            <w:vAlign w:val="center"/>
          </w:tcPr>
          <w:p>
            <w:pPr>
              <w:pStyle w:val="TableContents"/>
              <w:bidi w:val="0"/>
              <w:spacing w:before="0" w:after="0"/>
              <w:ind w:left="0" w:right="0" w:hanging="0"/>
              <w:jc w:val="righ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144,112,028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150,748,211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144,982,459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150,644,034</w:t>
            </w:r>
          </w:p>
        </w:tc>
        <w:tc>
          <w:tcPr>
            <w:tcW w:w="191" w:type="dxa"/>
            <w:tcBorders/>
            <w:vAlign w:val="center"/>
          </w:tcPr>
          <w:p>
            <w:pPr>
              <w:pStyle w:val="TableContents"/>
              <w:bidi w:val="0"/>
              <w:spacing w:before="0" w:after="0"/>
              <w:ind w:left="0" w:right="0" w:hanging="0"/>
              <w:jc w:val="lef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stock options to purchase shares and restricted stock units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1,226,892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1,612,139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1,912,331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1,717,754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145,338,920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152,360,350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146,894,790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152,361,788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For the three months ended June 30, 2023 and 2022, 4,961,441</w:t>
      </w:r>
      <w:r>
        <w:rPr>
          <w:rFonts w:ascii="Times New Roman" w:hAnsi="Times New Roman"/>
          <w:sz w:val="20"/>
        </w:rPr>
        <w:t xml:space="preserve"> </w:t>
      </w:r>
      <w:r>
        <w:rPr>
          <w:rFonts w:ascii="Times New Roman;serif" w:hAnsi="Times New Roman;serif"/>
          <w:b w:val="false"/>
          <w:sz w:val="20"/>
        </w:rPr>
        <w:t>and 2,533,594</w:t>
      </w:r>
      <w:r>
        <w:rPr>
          <w:rFonts w:ascii="Times New Roman" w:hAnsi="Times New Roman"/>
          <w:sz w:val="20"/>
        </w:rPr>
        <w:t xml:space="preserve"> </w:t>
      </w:r>
      <w:r>
        <w:rPr>
          <w:rFonts w:ascii="Times New Roman;serif" w:hAnsi="Times New Roman;serif"/>
          <w:b w:val="false"/>
          <w:sz w:val="20"/>
        </w:rPr>
        <w:t>stock options and RSUs were excluded from the calculation of diluted net income per share, respectively, because their effects were anti-dilutive. For the six months ended June 30, 2023 and 2022, 4,681,847</w:t>
      </w:r>
      <w:r>
        <w:rPr>
          <w:rFonts w:ascii="Times New Roman" w:hAnsi="Times New Roman"/>
          <w:sz w:val="20"/>
        </w:rPr>
        <w:t xml:space="preserve"> </w:t>
      </w:r>
      <w:r>
        <w:rPr>
          <w:rFonts w:ascii="Times New Roman;serif" w:hAnsi="Times New Roman;serif"/>
          <w:b w:val="false"/>
          <w:sz w:val="20"/>
        </w:rPr>
        <w:t>and 2,292,520</w:t>
      </w:r>
      <w:r>
        <w:rPr>
          <w:rFonts w:ascii="Times New Roman" w:hAnsi="Times New Roman"/>
          <w:sz w:val="20"/>
        </w:rPr>
        <w:t xml:space="preserve"> </w:t>
      </w:r>
      <w:r>
        <w:rPr>
          <w:rFonts w:ascii="Times New Roman;serif" w:hAnsi="Times New Roman;serif"/>
          <w:b w:val="false"/>
          <w:sz w:val="20"/>
        </w:rPr>
        <w:t>stock options and RSUs were excluded from the calculation of diluted net income per share, respectively, because their effects were anti-dilutive.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14. Reportable Segments</w:t>
      </w:r>
    </w:p>
    <w:p>
      <w:pPr>
        <w:pStyle w:val="TextBody"/>
        <w:bidi w:val="0"/>
        <w:spacing w:before="0" w:after="180"/>
        <w:jc w:val="left"/>
        <w:rPr>
          <w:rFonts w:ascii="Times New Roman" w:hAnsi="Times New Roman"/>
          <w:sz w:val="20"/>
        </w:rPr>
      </w:pPr>
      <w:r>
        <w:rPr>
          <w:rFonts w:ascii="Times New Roman;serif" w:hAnsi="Times New Roman;serif"/>
          <w:b w:val="false"/>
          <w:sz w:val="20"/>
        </w:rPr>
        <w:t>We have two</w:t>
      </w:r>
      <w:r>
        <w:rPr>
          <w:rFonts w:ascii="Times New Roman" w:hAnsi="Times New Roman"/>
          <w:sz w:val="20"/>
        </w:rPr>
        <w:t xml:space="preserve"> </w:t>
      </w:r>
      <w:r>
        <w:rPr>
          <w:rFonts w:ascii="Times New Roman;serif" w:hAnsi="Times New Roman;serif"/>
          <w:b w:val="false"/>
          <w:sz w:val="20"/>
        </w:rPr>
        <w:t>reportable segments, Americas and International. Our chief operating decision maker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8, “Revenues.”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is a description of our two reportable segments:</w:t>
      </w:r>
    </w:p>
    <w:p>
      <w:pPr>
        <w:pStyle w:val="TextBody"/>
        <w:bidi w:val="0"/>
        <w:spacing w:before="0" w:after="120"/>
        <w:jc w:val="left"/>
        <w:rPr>
          <w:rFonts w:ascii="Times New Roman" w:hAnsi="Times New Roman"/>
          <w:sz w:val="20"/>
        </w:rPr>
      </w:pPr>
      <w:r>
        <w:rPr>
          <w:rFonts w:ascii="Times New Roman;serif" w:hAnsi="Times New Roman;serif"/>
          <w:b/>
          <w:i/>
          <w:sz w:val="20"/>
        </w:rPr>
        <w:t xml:space="preserve">Americas. </w:t>
      </w:r>
      <w:r>
        <w:rPr>
          <w:rFonts w:ascii="Times New Roman;serif" w:hAnsi="Times New Roman;serif"/>
          <w:b w:val="false"/>
          <w:sz w:val="20"/>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pStyle w:val="TextBody"/>
        <w:bidi w:val="0"/>
        <w:spacing w:before="0" w:after="180"/>
        <w:jc w:val="left"/>
        <w:rPr>
          <w:rFonts w:ascii="Times New Roman" w:hAnsi="Times New Roman"/>
          <w:sz w:val="20"/>
        </w:rPr>
      </w:pPr>
      <w:r>
        <w:rPr>
          <w:rFonts w:ascii="Times New Roman;serif" w:hAnsi="Times New Roman;serif"/>
          <w:b/>
          <w:i/>
          <w:sz w:val="20"/>
        </w:rPr>
        <w:t xml:space="preserve">International. </w:t>
      </w:r>
      <w:r>
        <w:rPr>
          <w:rFonts w:ascii="Times New Roman;serif" w:hAnsi="Times New Roman;serif"/>
          <w:b w:val="false"/>
          <w:sz w:val="20"/>
        </w:rPr>
        <w:t>The International segment provides services similar to our Americas segment in regions outside of the Americas. We primarily deliver our solutions across multiple vertical industries in the Europe, India, and Asia Pacific markets.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reconciliation of Segment Adjusted EBITDA to net income for the three and six months ended June 30, 2023 and 2022 is as follows (in thousands):</w:t>
      </w:r>
    </w:p>
    <w:tbl>
      <w:tblPr>
        <w:tblW w:w="9340" w:type="dxa"/>
        <w:jc w:val="left"/>
        <w:tblInd w:w="0" w:type="dxa"/>
        <w:tblLayout w:type="fixed"/>
        <w:tblCellMar>
          <w:top w:w="28" w:type="dxa"/>
          <w:left w:w="28" w:type="dxa"/>
          <w:bottom w:w="28" w:type="dxa"/>
          <w:right w:w="28" w:type="dxa"/>
        </w:tblCellMar>
      </w:tblPr>
      <w:tblGrid>
        <w:gridCol w:w="3971"/>
        <w:gridCol w:w="146"/>
        <w:gridCol w:w="231"/>
        <w:gridCol w:w="741"/>
        <w:gridCol w:w="160"/>
        <w:gridCol w:w="160"/>
        <w:gridCol w:w="231"/>
        <w:gridCol w:w="741"/>
        <w:gridCol w:w="246"/>
        <w:gridCol w:w="146"/>
        <w:gridCol w:w="211"/>
        <w:gridCol w:w="781"/>
        <w:gridCol w:w="146"/>
        <w:gridCol w:w="146"/>
        <w:gridCol w:w="211"/>
        <w:gridCol w:w="781"/>
        <w:gridCol w:w="291"/>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9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10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52,324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52,954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99,773</w:t>
            </w:r>
          </w:p>
        </w:tc>
        <w:tc>
          <w:tcPr>
            <w:tcW w:w="291" w:type="dxa"/>
            <w:tcBorders/>
            <w:vAlign w:val="center"/>
          </w:tcPr>
          <w:p>
            <w:pPr>
              <w:pStyle w:val="TableContents"/>
              <w:bidi w:val="0"/>
              <w:spacing w:before="0" w:after="0"/>
              <w:ind w:left="0" w:right="0" w:firstLine="100"/>
              <w:jc w:val="left"/>
              <w:rPr/>
            </w:pPr>
            <w:r>
              <w:rPr/>
              <w:t> </w:t>
            </w:r>
          </w:p>
        </w:tc>
      </w:tr>
      <w:tr>
        <w:trPr/>
        <w:tc>
          <w:tcPr>
            <w:tcW w:w="39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10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55,971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60,834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114,434</w:t>
            </w:r>
          </w:p>
        </w:tc>
        <w:tc>
          <w:tcPr>
            <w:tcW w:w="291" w:type="dxa"/>
            <w:tcBorders/>
            <w:vAlign w:val="center"/>
          </w:tcPr>
          <w:p>
            <w:pPr>
              <w:pStyle w:val="TableContents"/>
              <w:bidi w:val="0"/>
              <w:spacing w:before="0" w:after="0"/>
              <w:ind w:left="0" w:right="0" w:hanging="0"/>
              <w:jc w:val="left"/>
              <w:rPr/>
            </w:pPr>
            <w:r>
              <w:rPr/>
              <w:t> </w:t>
            </w:r>
          </w:p>
        </w:tc>
      </w:tr>
      <w:tr>
        <w:trPr/>
        <w:tc>
          <w:tcPr>
            <w:tcW w:w="3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to net income:</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9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10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291" w:type="dxa"/>
            <w:tcBorders/>
            <w:vAlign w:val="center"/>
          </w:tcPr>
          <w:p>
            <w:pPr>
              <w:pStyle w:val="TableContents"/>
              <w:bidi w:val="0"/>
              <w:spacing w:before="0" w:after="0"/>
              <w:ind w:left="0" w:right="0" w:firstLine="100"/>
              <w:jc w:val="left"/>
              <w:rPr/>
            </w:pPr>
            <w:r>
              <w:rPr/>
              <w:t> </w:t>
            </w:r>
          </w:p>
        </w:tc>
      </w:tr>
      <w:tr>
        <w:trPr/>
        <w:tc>
          <w:tcPr>
            <w:tcW w:w="39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10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10,367</w:t>
            </w:r>
          </w:p>
        </w:tc>
        <w:tc>
          <w:tcPr>
            <w:tcW w:w="291" w:type="dxa"/>
            <w:tcBorders/>
            <w:vAlign w:val="center"/>
          </w:tcPr>
          <w:p>
            <w:pPr>
              <w:pStyle w:val="TableContents"/>
              <w:bidi w:val="0"/>
              <w:spacing w:before="0" w:after="0"/>
              <w:ind w:left="0" w:right="0" w:firstLine="100"/>
              <w:jc w:val="left"/>
              <w:rPr/>
            </w:pPr>
            <w:r>
              <w:rPr/>
              <w:t> </w:t>
            </w:r>
          </w:p>
        </w:tc>
      </w:tr>
      <w:tr>
        <w:trPr/>
        <w:tc>
          <w:tcPr>
            <w:tcW w:w="39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10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68,441</w:t>
            </w:r>
          </w:p>
        </w:tc>
        <w:tc>
          <w:tcPr>
            <w:tcW w:w="291" w:type="dxa"/>
            <w:tcBorders/>
            <w:vAlign w:val="center"/>
          </w:tcPr>
          <w:p>
            <w:pPr>
              <w:pStyle w:val="TableContents"/>
              <w:bidi w:val="0"/>
              <w:spacing w:before="0" w:after="0"/>
              <w:ind w:left="0" w:right="0" w:firstLine="100"/>
              <w:jc w:val="left"/>
              <w:rPr/>
            </w:pPr>
            <w:r>
              <w:rPr/>
              <w:t> </w:t>
            </w:r>
          </w:p>
        </w:tc>
      </w:tr>
      <w:tr>
        <w:trPr/>
        <w:tc>
          <w:tcPr>
            <w:tcW w:w="39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10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291" w:type="dxa"/>
            <w:tcBorders/>
            <w:vAlign w:val="center"/>
          </w:tcPr>
          <w:p>
            <w:pPr>
              <w:pStyle w:val="TableContents"/>
              <w:bidi w:val="0"/>
              <w:spacing w:before="0" w:after="0"/>
              <w:ind w:left="0" w:right="0" w:firstLine="100"/>
              <w:jc w:val="left"/>
              <w:rPr/>
            </w:pPr>
            <w:r>
              <w:rPr/>
              <w:t> </w:t>
            </w:r>
          </w:p>
        </w:tc>
      </w:tr>
      <w:tr>
        <w:trPr/>
        <w:tc>
          <w:tcPr>
            <w:tcW w:w="397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Transaction and acquisition-related charges </w:t>
            </w:r>
            <w:r>
              <w:rPr>
                <w:rFonts w:ascii="Times New Roman;serif" w:hAnsi="Times New Roman;serif"/>
                <w:b w:val="false"/>
                <w:sz w:val="13"/>
              </w:rPr>
              <w:t>(a)</w:t>
            </w:r>
          </w:p>
        </w:tc>
        <w:tc>
          <w:tcPr>
            <w:tcW w:w="146" w:type="dxa"/>
            <w:tcBorders/>
            <w:vAlign w:val="center"/>
          </w:tcPr>
          <w:p>
            <w:pPr>
              <w:pStyle w:val="TableContents"/>
              <w:bidi w:val="0"/>
              <w:spacing w:before="0" w:after="0"/>
              <w:ind w:left="10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2,677</w:t>
            </w:r>
          </w:p>
        </w:tc>
        <w:tc>
          <w:tcPr>
            <w:tcW w:w="291" w:type="dxa"/>
            <w:tcBorders/>
            <w:vAlign w:val="center"/>
          </w:tcPr>
          <w:p>
            <w:pPr>
              <w:pStyle w:val="TableContents"/>
              <w:bidi w:val="0"/>
              <w:spacing w:before="0" w:after="0"/>
              <w:ind w:left="0" w:right="0" w:firstLine="100"/>
              <w:jc w:val="left"/>
              <w:rPr/>
            </w:pPr>
            <w:r>
              <w:rPr/>
              <w:t> </w:t>
            </w:r>
          </w:p>
        </w:tc>
      </w:tr>
      <w:tr>
        <w:trPr/>
        <w:tc>
          <w:tcPr>
            <w:tcW w:w="397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(b)</w:t>
            </w:r>
          </w:p>
        </w:tc>
        <w:tc>
          <w:tcPr>
            <w:tcW w:w="146" w:type="dxa"/>
            <w:tcBorders/>
            <w:vAlign w:val="center"/>
          </w:tcPr>
          <w:p>
            <w:pPr>
              <w:pStyle w:val="TableContents"/>
              <w:bidi w:val="0"/>
              <w:spacing w:before="0" w:after="0"/>
              <w:ind w:left="10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9,782</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14,236</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11,707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27,249</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(a)</w:t>
      </w:r>
    </w:p>
    <w:p>
      <w:pPr>
        <w:pStyle w:val="TextBody"/>
        <w:bidi w:val="0"/>
        <w:spacing w:before="120" w:after="0"/>
        <w:jc w:val="left"/>
        <w:rPr>
          <w:rFonts w:ascii="Times New Roman;serif" w:hAnsi="Times New Roman;serif"/>
          <w:b w:val="false"/>
          <w:sz w:val="16"/>
        </w:rPr>
      </w:pPr>
      <w:r>
        <w:rPr>
          <w:rFonts w:ascii="Times New Roman;serif" w:hAnsi="Times New Roman;serif"/>
          <w:b w:val="false"/>
          <w:sz w:val="16"/>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six months ended June 30, 2023 and 2022 include a transaction bonus expense related to one of the Company’s 2021 acquisitions.</w:t>
      </w:r>
    </w:p>
    <w:p>
      <w:pPr>
        <w:pStyle w:val="TextBody"/>
        <w:bidi w:val="0"/>
        <w:spacing w:before="0" w:after="180"/>
        <w:jc w:val="left"/>
        <w:rPr>
          <w:rFonts w:ascii="Times New Roman" w:hAnsi="Times New Roman"/>
          <w:b w:val="false"/>
          <w:sz w:val="16"/>
        </w:rPr>
      </w:pPr>
      <w:r>
        <w:rPr>
          <w:rFonts w:ascii="Times New Roman" w:hAnsi="Times New Roman"/>
          <w:b w:val="false"/>
          <w:sz w:val="16"/>
        </w:rPr>
        <w:t>(b)</w:t>
      </w:r>
    </w:p>
    <w:p>
      <w:pPr>
        <w:pStyle w:val="TextBody"/>
        <w:bidi w:val="0"/>
        <w:spacing w:before="0" w:after="180"/>
        <w:jc w:val="left"/>
        <w:rPr>
          <w:rFonts w:ascii="Times New Roman;serif" w:hAnsi="Times New Roman;serif"/>
          <w:b w:val="false"/>
          <w:sz w:val="16"/>
        </w:rPr>
      </w:pPr>
      <w:r>
        <w:rPr>
          <w:rFonts w:ascii="Times New Roman;serif" w:hAnsi="Times New Roman;serif"/>
          <w:b w:val="false"/>
          <w:sz w:val="16"/>
        </w:rPr>
        <w:t>Represents charges from organizational restructuring and integration activities, non-cash, and other charges primarily related to nonrecurring legal exposures, foreign currency (gains) losses, and (gains) losses on the sale of assets.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i/>
          <w:sz w:val="20"/>
        </w:rPr>
        <w:t>Geographic Information</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 bases revenues by geographic region in which the revenues and invoicing are recorded. Other than the United States, no</w:t>
      </w:r>
      <w:r>
        <w:rPr>
          <w:rFonts w:ascii="Times New Roman" w:hAnsi="Times New Roman"/>
          <w:sz w:val="20"/>
        </w:rPr>
        <w:t xml:space="preserve"> </w:t>
      </w:r>
      <w:r>
        <w:rPr>
          <w:rFonts w:ascii="Times New Roman;serif" w:hAnsi="Times New Roman;serif"/>
          <w:b w:val="false"/>
          <w:sz w:val="20"/>
        </w:rPr>
        <w:t>single country accounted for 10% or more of our total revenues during these periods.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summarizes revenues by geographical region (in thousands):</w:t>
      </w:r>
    </w:p>
    <w:tbl>
      <w:tblPr>
        <w:tblW w:w="6762" w:type="dxa"/>
        <w:jc w:val="left"/>
        <w:tblInd w:w="0" w:type="dxa"/>
        <w:tblLayout w:type="fixed"/>
        <w:tblCellMar>
          <w:top w:w="28" w:type="dxa"/>
          <w:left w:w="28" w:type="dxa"/>
          <w:bottom w:w="28" w:type="dxa"/>
          <w:right w:w="28" w:type="dxa"/>
        </w:tblCellMar>
      </w:tblPr>
      <w:tblGrid>
        <w:gridCol w:w="1321"/>
        <w:gridCol w:w="146"/>
        <w:gridCol w:w="211"/>
        <w:gridCol w:w="781"/>
        <w:gridCol w:w="166"/>
        <w:gridCol w:w="146"/>
        <w:gridCol w:w="211"/>
        <w:gridCol w:w="781"/>
        <w:gridCol w:w="266"/>
        <w:gridCol w:w="146"/>
        <w:gridCol w:w="211"/>
        <w:gridCol w:w="781"/>
        <w:gridCol w:w="166"/>
        <w:gridCol w:w="146"/>
        <w:gridCol w:w="211"/>
        <w:gridCol w:w="781"/>
        <w:gridCol w:w="2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3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170,591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330,679</w:t>
            </w:r>
          </w:p>
        </w:tc>
        <w:tc>
          <w:tcPr>
            <w:tcW w:w="291" w:type="dxa"/>
            <w:tcBorders/>
            <w:vAlign w:val="center"/>
          </w:tcPr>
          <w:p>
            <w:pPr>
              <w:pStyle w:val="TableContents"/>
              <w:bidi w:val="0"/>
              <w:spacing w:before="0" w:after="0"/>
              <w:ind w:left="0" w:right="0" w:firstLine="100"/>
              <w:jc w:val="left"/>
              <w:rPr/>
            </w:pPr>
            <w:r>
              <w:rPr/>
              <w:t> </w:t>
            </w:r>
          </w:p>
        </w:tc>
      </w:tr>
      <w:tr>
        <w:trPr/>
        <w:tc>
          <w:tcPr>
            <w:tcW w:w="13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33,044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64,785</w:t>
            </w:r>
          </w:p>
        </w:tc>
        <w:tc>
          <w:tcPr>
            <w:tcW w:w="291" w:type="dxa"/>
            <w:tcBorders/>
            <w:vAlign w:val="center"/>
          </w:tcPr>
          <w:p>
            <w:pPr>
              <w:pStyle w:val="TableContents"/>
              <w:bidi w:val="0"/>
              <w:spacing w:before="0" w:after="0"/>
              <w:ind w:left="0" w:right="0" w:firstLine="100"/>
              <w:jc w:val="left"/>
              <w:rPr/>
            </w:pPr>
            <w:r>
              <w:rPr/>
              <w:t> </w:t>
            </w:r>
          </w:p>
        </w:tc>
      </w:tr>
      <w:tr>
        <w:trPr/>
        <w:tc>
          <w:tcPr>
            <w:tcW w:w="13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Eliminations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following table sets forth net long-lived assets by geographic area (in thousands):</w:t>
      </w:r>
    </w:p>
    <w:tbl>
      <w:tblPr>
        <w:tblW w:w="6267" w:type="dxa"/>
        <w:jc w:val="left"/>
        <w:tblInd w:w="0" w:type="dxa"/>
        <w:tblLayout w:type="fixed"/>
        <w:tblCellMar>
          <w:top w:w="28" w:type="dxa"/>
          <w:left w:w="28" w:type="dxa"/>
          <w:bottom w:w="28" w:type="dxa"/>
          <w:right w:w="28" w:type="dxa"/>
        </w:tblCellMar>
      </w:tblPr>
      <w:tblGrid>
        <w:gridCol w:w="2896"/>
        <w:gridCol w:w="146"/>
        <w:gridCol w:w="211"/>
        <w:gridCol w:w="931"/>
        <w:gridCol w:w="146"/>
        <w:gridCol w:w="146"/>
        <w:gridCol w:w="277"/>
        <w:gridCol w:w="1223"/>
        <w:gridCol w:w="2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Long-lived assets, net</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8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United States, country of domicile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1,086,824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1,134,201</w:t>
            </w:r>
          </w:p>
        </w:tc>
        <w:tc>
          <w:tcPr>
            <w:tcW w:w="291" w:type="dxa"/>
            <w:tcBorders/>
            <w:vAlign w:val="center"/>
          </w:tcPr>
          <w:p>
            <w:pPr>
              <w:pStyle w:val="TableContents"/>
              <w:bidi w:val="0"/>
              <w:spacing w:before="0" w:after="0"/>
              <w:ind w:left="0" w:right="0" w:firstLine="100"/>
              <w:jc w:val="left"/>
              <w:rPr/>
            </w:pPr>
            <w:r>
              <w:rPr/>
              <w:t> </w:t>
            </w:r>
          </w:p>
        </w:tc>
      </w:tr>
      <w:tr>
        <w:trPr/>
        <w:tc>
          <w:tcPr>
            <w:tcW w:w="28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All other countries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180,258</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long-lived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1,261,317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1,314,459</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r>
        <w:rPr>
          <w:rFonts w:ascii="Times New Roman;serif" w:hAnsi="Times New Roman;serif"/>
          <w:b/>
          <w:sz w:val="20"/>
        </w:rPr>
        <w:t>Note 15. Subsequent Events</w:t>
      </w:r>
    </w:p>
    <w:p>
      <w:pPr>
        <w:pStyle w:val="TextBody"/>
        <w:bidi w:val="0"/>
        <w:spacing w:before="180" w:after="180"/>
        <w:jc w:val="left"/>
        <w:rPr>
          <w:rFonts w:ascii="Times New Roman" w:hAnsi="Times New Roman"/>
          <w:sz w:val="20"/>
        </w:rPr>
      </w:pPr>
      <w:r>
        <w:rPr>
          <w:rFonts w:ascii="Times New Roman;serif" w:hAnsi="Times New Roman;serif"/>
          <w:b w:val="false"/>
          <w:sz w:val="20"/>
        </w:rPr>
        <w:t>On August 8, 2023, the Company’s Board of Directors declared a one-time special cash dividend of $1.50</w:t>
      </w:r>
      <w:r>
        <w:rPr>
          <w:rFonts w:ascii="Times New Roman" w:hAnsi="Times New Roman"/>
          <w:sz w:val="20"/>
        </w:rPr>
        <w:t xml:space="preserve"> </w:t>
      </w:r>
      <w:r>
        <w:rPr>
          <w:rFonts w:ascii="Times New Roman;serif" w:hAnsi="Times New Roman;serif"/>
          <w:b w:val="false"/>
          <w:sz w:val="20"/>
        </w:rPr>
        <w:t>per share to stockholders of record at the close of business on August 21, 2023. The cash dividend is expected to be paid on August 31,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bookmarkStart w:id="9" w:name="item_2_managements_discussion"/>
      <w:bookmarkEnd w:id="9"/>
      <w:r>
        <w:rPr>
          <w:rFonts w:ascii="Times New Roman;serif" w:hAnsi="Times New Roman;serif"/>
          <w:b/>
          <w:sz w:val="20"/>
        </w:rPr>
        <w:t>Item 2. Management’s Discussion and Analysis of Financial Condition and Results of Operations.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discussion and analysis of First Advantage Corporation’s financial condition and results of operations is provided as a supplement to the condensed consolidated financial statements for the three and six months ended June 30, 2023, and should be read in conjunction with the audited consolidated financial statements for the year ended December 31, 2022, our “Risk Factors,” and “Management’s Discussion and Analysis of Financial Condition and Results of Operations” included in the Company’s Annual Report on Form 10-K for the year ended December 31, 2022.</w:t>
      </w:r>
    </w:p>
    <w:p>
      <w:pPr>
        <w:pStyle w:val="TextBody"/>
        <w:bidi w:val="0"/>
        <w:spacing w:before="0" w:after="18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These forward-looking statements are subject to various risks, uncertainties, assumptions, or changes in circumstances that are difficult to predict or quantify. Such risks and uncertainties include, but are not limited to, the following: negative changes in external events beyond our control, including our customers’ onboarding volumes, economic drivers which are sensitive to macroeconomic cycles, such as interest rate volatility and inflation, geopolitical unrest, uncertainty in financial markets (including as a result of recent bank failures and events affecting financial institutions), and the COVID-19 pandemic; our operations in a highly regulated industry and the fact that we are subject to numerous and evolving laws and regulations, including with respect to personal data, data security, and artificial intelligence;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the timing, manner and volume of repurchases of common stock pursuant to our share repurchase program;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the indemnification provisions in our contracts with our customers and third-party data suppliers;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For additional information on these and other factors that could cause First Advantage’s actual results to differ materially from expected results, please see our Annual Report on Form 10-K for the year ended December 31, 2022,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sz w:val="20"/>
        </w:rPr>
        <w:t>Glossary of Selected Terminology</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terms are used in this Form 10-Q, unless otherwise noted or indicated by the context:</w:t>
      </w:r>
    </w:p>
    <w:p>
      <w:pPr>
        <w:pStyle w:val="TextBody"/>
        <w:bidi w:val="0"/>
        <w:spacing w:before="120" w:after="0"/>
        <w:jc w:val="left"/>
        <w:rPr/>
      </w:pPr>
      <w:r>
        <w:rPr/>
        <w:t>•</w:t>
      </w:r>
    </w:p>
    <w:p>
      <w:pPr>
        <w:pStyle w:val="TextBody"/>
        <w:bidi w:val="0"/>
        <w:spacing w:before="120" w:after="0"/>
        <w:jc w:val="left"/>
        <w:rPr/>
      </w:pPr>
      <w:r>
        <w:rPr/>
        <w:t>“</w:t>
      </w:r>
      <w:r>
        <w:rPr>
          <w:rFonts w:ascii="Times New Roman;serif" w:hAnsi="Times New Roman;serif"/>
          <w:b w:val="false"/>
          <w:sz w:val="20"/>
        </w:rPr>
        <w:t>Americas” in regards to our business, means the United States, Canada, and Latin America;</w:t>
      </w:r>
    </w:p>
    <w:p>
      <w:pPr>
        <w:pStyle w:val="TextBody"/>
        <w:bidi w:val="0"/>
        <w:spacing w:before="120" w:after="0"/>
        <w:jc w:val="both"/>
        <w:rPr/>
      </w:pPr>
      <w:r>
        <w:rPr/>
        <w:t>•</w:t>
      </w:r>
    </w:p>
    <w:p>
      <w:pPr>
        <w:pStyle w:val="TextBody"/>
        <w:bidi w:val="0"/>
        <w:spacing w:before="120" w:after="0"/>
        <w:jc w:val="both"/>
        <w:rPr/>
      </w:pPr>
      <w:r>
        <w:rPr/>
        <w:t>“</w:t>
      </w:r>
      <w:r>
        <w:rPr>
          <w:rFonts w:ascii="Times New Roman;serif" w:hAnsi="Times New Roman;serif"/>
          <w:b w:val="false"/>
          <w:sz w:val="20"/>
        </w:rPr>
        <w:t>Enterprise customers” means our customers who contribute $500,000 or more to our revenues in a calendar year;</w:t>
      </w:r>
    </w:p>
    <w:p>
      <w:pPr>
        <w:pStyle w:val="TextBody"/>
        <w:bidi w:val="0"/>
        <w:spacing w:before="120" w:after="0"/>
        <w:jc w:val="both"/>
        <w:rPr/>
      </w:pPr>
      <w:r>
        <w:rPr/>
        <w:t>•</w:t>
      </w:r>
    </w:p>
    <w:p>
      <w:pPr>
        <w:pStyle w:val="TextBody"/>
        <w:bidi w:val="0"/>
        <w:spacing w:before="120" w:after="0"/>
        <w:jc w:val="both"/>
        <w:rPr/>
      </w:pPr>
      <w:r>
        <w:rPr/>
        <w:t>“</w:t>
      </w:r>
      <w:r>
        <w:rPr>
          <w:rFonts w:ascii="Times New Roman;serif" w:hAnsi="Times New Roman;serif"/>
          <w:b w:val="false"/>
          <w:sz w:val="20"/>
        </w:rPr>
        <w:t xml:space="preserve">First Advantage,” the “Company,” “we,” “us,” and “our” mean the business of First Advantage Corporation and its subsidiaries; </w:t>
      </w:r>
    </w:p>
    <w:p>
      <w:pPr>
        <w:pStyle w:val="TextBody"/>
        <w:bidi w:val="0"/>
        <w:spacing w:before="120" w:after="0"/>
        <w:jc w:val="left"/>
        <w:rPr/>
      </w:pPr>
      <w:r>
        <w:rPr/>
        <w:t>•</w:t>
      </w:r>
    </w:p>
    <w:p>
      <w:pPr>
        <w:pStyle w:val="TextBody"/>
        <w:bidi w:val="0"/>
        <w:spacing w:before="120" w:after="0"/>
        <w:jc w:val="left"/>
        <w:rPr/>
      </w:pPr>
      <w:r>
        <w:rPr/>
        <w:t>“</w:t>
      </w:r>
      <w:r>
        <w:rPr>
          <w:rFonts w:ascii="Times New Roman;serif" w:hAnsi="Times New Roman;serif"/>
          <w:b w:val="false"/>
          <w:sz w:val="20"/>
        </w:rPr>
        <w:t>International” in regards to our business, means all geographical regions outside of the United States, Canada, and Latin America;</w:t>
      </w:r>
    </w:p>
    <w:p>
      <w:pPr>
        <w:pStyle w:val="TextBody"/>
        <w:bidi w:val="0"/>
        <w:spacing w:before="120" w:after="180"/>
        <w:jc w:val="left"/>
        <w:rPr/>
      </w:pPr>
      <w:r>
        <w:rPr/>
        <w:t>•</w:t>
      </w:r>
    </w:p>
    <w:p>
      <w:pPr>
        <w:pStyle w:val="TextBody"/>
        <w:bidi w:val="0"/>
        <w:spacing w:before="120" w:after="180"/>
        <w:jc w:val="left"/>
        <w:rPr/>
      </w:pPr>
      <w:r>
        <w:rPr/>
        <w:t>“</w:t>
      </w:r>
      <w:r>
        <w:rPr>
          <w:rFonts w:ascii="Times New Roman;serif" w:hAnsi="Times New Roman;serif"/>
          <w:b w:val="false"/>
          <w:sz w:val="20"/>
        </w:rPr>
        <w:t>Revenues attributable to the Company’s acquisitions” means revenues recognized in the first year following each acquisition; and</w:t>
      </w:r>
    </w:p>
    <w:p>
      <w:pPr>
        <w:pStyle w:val="TextBody"/>
        <w:bidi w:val="0"/>
        <w:spacing w:before="120" w:after="180"/>
        <w:jc w:val="left"/>
        <w:rPr/>
      </w:pPr>
      <w:r>
        <w:rPr/>
        <w:t>•</w:t>
      </w:r>
    </w:p>
    <w:p>
      <w:pPr>
        <w:pStyle w:val="TextBody"/>
        <w:bidi w:val="0"/>
        <w:spacing w:before="120" w:after="180"/>
        <w:jc w:val="left"/>
        <w:rPr/>
      </w:pPr>
      <w:r>
        <w:rPr/>
        <w:t>“</w:t>
      </w:r>
      <w:r>
        <w:rPr>
          <w:rFonts w:ascii="Times New Roman;serif" w:hAnsi="Times New Roman;serif"/>
          <w:b w:val="false"/>
          <w:sz w:val="20"/>
        </w:rPr>
        <w:t>Silver Lake” means Silver Lake Group, L.L.C., together with its affiliates, successors, and assignees.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serif" w:hAnsi="Times New Roman;serif"/>
          <w:b/>
          <w:sz w:val="20"/>
        </w:rPr>
      </w:pPr>
      <w:r>
        <w:rPr>
          <w:rFonts w:ascii="Times New Roman;serif" w:hAnsi="Times New Roman;serif"/>
          <w:b/>
          <w:sz w:val="20"/>
        </w:rPr>
        <w:t>Website and Social Media Disclosure</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First Advantage is a leading global provider of employment background screening and verification solutions. We deliver innovative services and insights that help our customers manage risk and hire the best talent. Enabled by our proprietary technology, our products help companies protect their brands and provide safer environments for their customers and their most important resources: employees, contractors, contingent workers, tenants, and drivers.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approximately 33,000 customers are global enterprises, mid-sized companies, and small companies, and our products and solutions are used by personnel in recruiting, human resources, risk, compliance, vendor management, safety, and/or security.</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pStyle w:val="TextBody"/>
        <w:bidi w:val="0"/>
        <w:spacing w:before="0" w:after="180"/>
        <w:jc w:val="left"/>
        <w:rPr>
          <w:rFonts w:ascii="Times New Roman" w:hAnsi="Times New Roman"/>
          <w:sz w:val="20"/>
        </w:rPr>
      </w:pPr>
      <w:r>
        <w:rPr>
          <w:rFonts w:ascii="Times New Roman;serif" w:hAnsi="Times New Roman;serif"/>
          <w:b w:val="false"/>
          <w:sz w:val="20"/>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visibility into their expected future order volumes, although these can be difficult to accurately forecast due to the dynamic nature of forecasting hiring and business needs. We typically bill our customers at the end of each month and recognize revenues as completed orders are reported or otherwise made available to our customers. Over 92% of the criminal searches performed in the United States in 2022 were completed the same day they were submitted.</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We generated revenues of $185.3 million for the three months ended June 30, 2023, as compared to $201.6 million for the three months ended June 30, 2022 and generated revenues of $360.8 million for the six months ended June 30, 2023, as compared to $391.4 million for the six months ended June 30, 2022. Approximately 86% of our revenues for the six months ended June 30, 2023 was generated in the Americas, predominantly in the United States, while the remaining 14% was generated in our International segment. Other than the United States, no single country accounted for 10% or more of our total revenues for the three and six months ended June 30, 2023. Please refer to “Results of Operations” for further details.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sz w:val="20"/>
        </w:rPr>
        <w:t>Segments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We manage our business and report our financial results in two reportable segments, Americas and International:</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pPr>
      <w:r>
        <w:rPr>
          <w:rFonts w:ascii="Times New Roman;serif" w:hAnsi="Times New Roman;serif"/>
          <w:b/>
          <w:i/>
          <w:sz w:val="20"/>
        </w:rPr>
        <w:t xml:space="preserve">Americas. </w:t>
      </w:r>
      <w:r>
        <w:rPr>
          <w:rFonts w:ascii="Times New Roman;serif" w:hAnsi="Times New Roman;serif"/>
          <w:b w:val="false"/>
          <w:sz w:val="20"/>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pStyle w:val="TextBody"/>
        <w:bidi w:val="0"/>
        <w:spacing w:before="0" w:after="180"/>
        <w:jc w:val="left"/>
        <w:rPr/>
      </w:pPr>
      <w:r>
        <w:rPr/>
        <w:t>•</w:t>
      </w:r>
    </w:p>
    <w:p>
      <w:pPr>
        <w:pStyle w:val="TextBody"/>
        <w:bidi w:val="0"/>
        <w:spacing w:before="0" w:after="180"/>
        <w:jc w:val="left"/>
        <w:rPr/>
      </w:pPr>
      <w:r>
        <w:rPr>
          <w:rFonts w:ascii="Times New Roman;serif" w:hAnsi="Times New Roman;serif"/>
          <w:b/>
          <w:i/>
          <w:sz w:val="20"/>
        </w:rPr>
        <w:t xml:space="preserve">International. </w:t>
      </w:r>
      <w:r>
        <w:rPr>
          <w:rFonts w:ascii="Times New Roman;serif" w:hAnsi="Times New Roman;serif"/>
          <w:b w:val="false"/>
          <w:sz w:val="20"/>
        </w:rPr>
        <w:t>The International segment provides services similar to our Americas segment in regions outside of the Americas. We primarily deliver our solutions across multiple vertical industries in the Europe, India, and Asia Pacific markets.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serif" w:hAnsi="Times New Roman;serif"/>
          <w:b/>
          <w:sz w:val="20"/>
        </w:rPr>
      </w:pPr>
      <w:r>
        <w:rPr>
          <w:rFonts w:ascii="Times New Roman;serif" w:hAnsi="Times New Roman;serif"/>
          <w:b/>
          <w:sz w:val="20"/>
        </w:rPr>
        <w:t>Seasonality</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typically decline in the fourth quarter heading into the holiday season. We expect that further growth in e-commerce, the continued digital transformation of the economy, and other economic forces may impact future seasonality, but we are unable to predict these potential shifts and how our business may be impacted.</w:t>
      </w:r>
    </w:p>
    <w:p>
      <w:pPr>
        <w:pStyle w:val="TextBody"/>
        <w:bidi w:val="0"/>
        <w:spacing w:before="0" w:after="180"/>
        <w:jc w:val="left"/>
        <w:rPr>
          <w:rFonts w:ascii="Times New Roman;serif" w:hAnsi="Times New Roman;serif"/>
          <w:b/>
          <w:sz w:val="20"/>
        </w:rPr>
      </w:pPr>
      <w:r>
        <w:rPr>
          <w:rFonts w:ascii="Times New Roman;serif" w:hAnsi="Times New Roman;serif"/>
          <w:b/>
          <w:sz w:val="20"/>
        </w:rPr>
        <w:t>Recent Developments</w:t>
      </w:r>
    </w:p>
    <w:p>
      <w:pPr>
        <w:pStyle w:val="TextBody"/>
        <w:bidi w:val="0"/>
        <w:spacing w:before="0" w:after="180"/>
        <w:jc w:val="left"/>
        <w:rPr>
          <w:rFonts w:ascii="Times New Roman;serif" w:hAnsi="Times New Roman;serif"/>
          <w:b/>
          <w:i/>
          <w:sz w:val="20"/>
        </w:rPr>
      </w:pPr>
      <w:r>
        <w:rPr>
          <w:rFonts w:ascii="Times New Roman;serif" w:hAnsi="Times New Roman;serif"/>
          <w:b/>
          <w:i/>
          <w:sz w:val="20"/>
        </w:rPr>
        <w:t>Current Economic Conditions</w:t>
      </w:r>
    </w:p>
    <w:p>
      <w:pPr>
        <w:pStyle w:val="TextBody"/>
        <w:bidi w:val="0"/>
        <w:spacing w:before="0" w:after="180"/>
        <w:jc w:val="left"/>
        <w:rPr>
          <w:rFonts w:ascii="Times New Roman" w:hAnsi="Times New Roman"/>
          <w:sz w:val="20"/>
        </w:rPr>
      </w:pPr>
      <w:r>
        <w:rPr>
          <w:rFonts w:ascii="Times New Roman;serif" w:hAnsi="Times New Roman;serif"/>
          <w:b w:val="false"/>
          <w:sz w:val="20"/>
        </w:rPr>
        <w:t>Macroeconomic factors, including inflation, increased interest rates, instability in the global banking system, the prolonged COVID-19 pandemic, global supply chain constraints, and global economic and geopolitical developments, have negatively impacted significant portions of the global economy, and created volatility in the financial markets.</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While our overall productivity has not been materially adversely impacted, we have experienced, and may continue to experience, the lengthening of certain sales cycles. 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Despite the continuing uncertainty associated with these events, we are confident in the long-term overall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 For additional information, see our “Risk Factors” and “Management’s Discussion and Analysis of Financial Condition and Results of Operations” included in the Company’s Annual Report on Form 10-K for the year ended December 31, 2022.</w:t>
      </w:r>
    </w:p>
    <w:p>
      <w:pPr>
        <w:pStyle w:val="TextBody"/>
        <w:bidi w:val="0"/>
        <w:spacing w:before="0" w:after="180"/>
        <w:jc w:val="left"/>
        <w:rPr>
          <w:rFonts w:ascii="Times New Roman;serif" w:hAnsi="Times New Roman;serif"/>
          <w:b/>
          <w:sz w:val="20"/>
        </w:rPr>
      </w:pPr>
      <w:r>
        <w:rPr>
          <w:rFonts w:ascii="Times New Roman;serif" w:hAnsi="Times New Roman;serif"/>
          <w:b/>
          <w:sz w:val="20"/>
        </w:rPr>
        <w:t>Recently Issued Accounting Standards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See Note 2 to the condensed consolidated financial statements for disclosure of the impact that recent accounting pronouncements may have on the condensed consolidated financial statements.</w:t>
      </w:r>
    </w:p>
    <w:p>
      <w:pPr>
        <w:pStyle w:val="TextBody"/>
        <w:bidi w:val="0"/>
        <w:spacing w:before="0" w:after="18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We incur the following expenses related to our cost of revenues and operating expenses:</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pPr>
      <w:r>
        <w:rPr>
          <w:rFonts w:ascii="Times New Roman;serif" w:hAnsi="Times New Roman;serif"/>
          <w:b w:val="false"/>
          <w:i/>
          <w:sz w:val="20"/>
        </w:rPr>
        <w:t xml:space="preserve">Cost of Services: </w:t>
      </w:r>
      <w:r>
        <w:rPr>
          <w:rFonts w:ascii="Times New Roman;serif" w:hAnsi="Times New Roman;serif"/>
          <w:b w:val="false"/>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0" w:after="120"/>
        <w:jc w:val="left"/>
        <w:rPr/>
      </w:pPr>
      <w:r>
        <w:rPr/>
        <w:t>•</w:t>
      </w:r>
    </w:p>
    <w:p>
      <w:pPr>
        <w:pStyle w:val="TextBody"/>
        <w:bidi w:val="0"/>
        <w:spacing w:before="0" w:after="120"/>
        <w:jc w:val="left"/>
        <w:rPr/>
      </w:pPr>
      <w:r>
        <w:rPr>
          <w:rFonts w:ascii="Times New Roman;serif" w:hAnsi="Times New Roman;serif"/>
          <w:b w:val="false"/>
          <w:i/>
          <w:sz w:val="20"/>
        </w:rPr>
        <w:t>Product and Technology Expense</w:t>
      </w:r>
      <w:r>
        <w:rPr>
          <w:rFonts w:ascii="Times New Roman;serif" w:hAnsi="Times New Roman;serif"/>
          <w:b w:val="false"/>
          <w:sz w:val="20"/>
        </w:rPr>
        <w:t xml:space="preserve">: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 </w:t>
      </w:r>
    </w:p>
    <w:p>
      <w:pPr>
        <w:pStyle w:val="TextBody"/>
        <w:bidi w:val="0"/>
        <w:spacing w:before="0" w:after="120"/>
        <w:jc w:val="left"/>
        <w:rPr/>
      </w:pPr>
      <w:r>
        <w:rPr/>
        <w:t>•</w:t>
      </w:r>
    </w:p>
    <w:p>
      <w:pPr>
        <w:pStyle w:val="TextBody"/>
        <w:bidi w:val="0"/>
        <w:spacing w:before="0" w:after="120"/>
        <w:jc w:val="left"/>
        <w:rPr/>
      </w:pPr>
      <w:r>
        <w:rPr>
          <w:rFonts w:ascii="Times New Roman;serif" w:hAnsi="Times New Roman;serif"/>
          <w:b w:val="false"/>
          <w:i/>
          <w:sz w:val="20"/>
        </w:rPr>
        <w:t>Selling, General, and Administrative Expense</w:t>
      </w:r>
      <w:r>
        <w:rPr>
          <w:rFonts w:ascii="Times New Roman;serif" w:hAnsi="Times New Roman;serif"/>
          <w:b w:val="false"/>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 </w:t>
      </w:r>
    </w:p>
    <w:p>
      <w:pPr>
        <w:pStyle w:val="TextBody"/>
        <w:bidi w:val="0"/>
        <w:spacing w:before="0" w:after="180"/>
        <w:jc w:val="left"/>
        <w:rPr/>
      </w:pPr>
      <w:r>
        <w:rPr/>
        <w:t>•</w:t>
      </w:r>
    </w:p>
    <w:p>
      <w:pPr>
        <w:pStyle w:val="TextBody"/>
        <w:bidi w:val="0"/>
        <w:spacing w:before="0" w:after="180"/>
        <w:jc w:val="left"/>
        <w:rPr/>
      </w:pPr>
      <w:r>
        <w:rPr>
          <w:rFonts w:ascii="Times New Roman;serif" w:hAnsi="Times New Roman;serif"/>
          <w:b w:val="false"/>
          <w:i/>
          <w:sz w:val="20"/>
        </w:rPr>
        <w:t>Depreciation and Amortizatio</w:t>
      </w:r>
      <w:r>
        <w:rPr>
          <w:rFonts w:ascii="Times New Roman;serif" w:hAnsi="Times New Roman;serif"/>
          <w:b w:val="false"/>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see in the business in order to align with our overall financial objectives. While we expect internal operating expenses to increase in absolute dollars to support our continued growth, we believe that, in the long term, operating expenses will decline gradually as a percentage of total revenues in the future as our business grows and our operating efficiency and automation initiatives continue to advance.</w:t>
      </w:r>
    </w:p>
    <w:p>
      <w:pPr>
        <w:pStyle w:val="TextBody"/>
        <w:bidi w:val="0"/>
        <w:spacing w:before="0" w:after="180"/>
        <w:jc w:val="left"/>
        <w:rPr>
          <w:rFonts w:ascii="Times New Roman;serif" w:hAnsi="Times New Roman;serif"/>
          <w:b/>
          <w:i/>
          <w:sz w:val="20"/>
        </w:rPr>
      </w:pPr>
      <w:r>
        <w:rPr>
          <w:rFonts w:ascii="Times New Roman;serif" w:hAnsi="Times New Roman;serif"/>
          <w:b/>
          <w:i/>
          <w:sz w:val="20"/>
        </w:rPr>
        <w:t>Other Expense, Net</w:t>
      </w:r>
    </w:p>
    <w:p>
      <w:pPr>
        <w:pStyle w:val="TextBody"/>
        <w:bidi w:val="0"/>
        <w:spacing w:before="0" w:after="180"/>
        <w:jc w:val="left"/>
        <w:rPr>
          <w:rFonts w:ascii="Times New Roman" w:hAnsi="Times New Roman"/>
          <w:sz w:val="20"/>
        </w:rPr>
      </w:pPr>
      <w:r>
        <w:rPr>
          <w:rFonts w:ascii="Times New Roman;serif" w:hAnsi="Times New Roman;serif"/>
          <w:b w:val="false"/>
          <w:sz w:val="20"/>
        </w:rPr>
        <w:t>Our other expense, net consists of the following:</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pPr>
      <w:r>
        <w:rPr>
          <w:rFonts w:ascii="Times New Roman;serif" w:hAnsi="Times New Roman;serif"/>
          <w:b w:val="false"/>
          <w:i/>
          <w:sz w:val="20"/>
        </w:rPr>
        <w:t>Interest Expense, Net</w:t>
      </w:r>
      <w:r>
        <w:rPr>
          <w:rFonts w:ascii="Times New Roman;serif" w:hAnsi="Times New Roman;serif"/>
          <w:b w:val="false"/>
          <w:sz w:val="20"/>
        </w:rPr>
        <w:t>: Relates primarily to our debt service costs, the interest-related unrealized gains and losses of our interest rate derivative instruments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i/>
          <w:sz w:val="20"/>
        </w:rPr>
        <w:t>Provision for Income Taxes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serif" w:hAnsi="Times New Roman;serif"/>
          <w:b/>
          <w:i/>
          <w:sz w:val="20"/>
        </w:rPr>
      </w:pPr>
      <w:r>
        <w:rPr>
          <w:rFonts w:ascii="Times New Roman;serif" w:hAnsi="Times New Roman;serif"/>
          <w:b/>
          <w:i/>
          <w:sz w:val="20"/>
        </w:rPr>
        <w:t>Comparison of Results of Operations for the three and six months ended June 30, 2023 compared to the three and six months ended June 30, 2022</w:t>
      </w:r>
    </w:p>
    <w:tbl>
      <w:tblPr>
        <w:tblW w:w="10205" w:type="dxa"/>
        <w:jc w:val="left"/>
        <w:tblInd w:w="0" w:type="dxa"/>
        <w:tblLayout w:type="fixed"/>
        <w:tblCellMar>
          <w:top w:w="28" w:type="dxa"/>
          <w:left w:w="28" w:type="dxa"/>
          <w:bottom w:w="28" w:type="dxa"/>
          <w:right w:w="28" w:type="dxa"/>
        </w:tblCellMar>
      </w:tblPr>
      <w:tblGrid>
        <w:gridCol w:w="3974"/>
        <w:gridCol w:w="146"/>
        <w:gridCol w:w="211"/>
        <w:gridCol w:w="781"/>
        <w:gridCol w:w="271"/>
        <w:gridCol w:w="146"/>
        <w:gridCol w:w="211"/>
        <w:gridCol w:w="781"/>
        <w:gridCol w:w="546"/>
        <w:gridCol w:w="146"/>
        <w:gridCol w:w="211"/>
        <w:gridCol w:w="781"/>
        <w:gridCol w:w="271"/>
        <w:gridCol w:w="146"/>
        <w:gridCol w:w="211"/>
        <w:gridCol w:w="781"/>
        <w:gridCol w:w="591"/>
      </w:tblGrid>
      <w:tr>
        <w:trPr/>
        <w:tc>
          <w:tcPr>
            <w:tcW w:w="3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591" w:type="dxa"/>
            <w:tcBorders/>
            <w:vAlign w:val="center"/>
          </w:tcPr>
          <w:p>
            <w:pPr>
              <w:pStyle w:val="TableContents"/>
              <w:bidi w:val="0"/>
              <w:spacing w:before="0" w:after="0"/>
              <w:ind w:left="0" w:right="0" w:hanging="0"/>
              <w:jc w:val="left"/>
              <w:rPr/>
            </w:pPr>
            <w:r>
              <w:rPr/>
              <w:t> </w:t>
            </w:r>
          </w:p>
        </w:tc>
      </w:tr>
      <w:tr>
        <w:trPr/>
        <w:tc>
          <w:tcPr>
            <w:tcW w:w="397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7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Cost of services (exclusive of depreciation and amortization below)</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100,292</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184,058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196,723</w:t>
            </w:r>
          </w:p>
        </w:tc>
        <w:tc>
          <w:tcPr>
            <w:tcW w:w="591" w:type="dxa"/>
            <w:tcBorders/>
            <w:vAlign w:val="center"/>
          </w:tcPr>
          <w:p>
            <w:pPr>
              <w:pStyle w:val="TableContents"/>
              <w:bidi w:val="0"/>
              <w:spacing w:before="0" w:after="0"/>
              <w:ind w:left="0" w:right="0" w:firstLine="200"/>
              <w:jc w:val="left"/>
              <w:rPr/>
            </w:pPr>
            <w:r>
              <w:rPr/>
              <w:t> </w:t>
            </w:r>
          </w:p>
        </w:tc>
      </w:tr>
      <w:tr>
        <w:trPr/>
        <w:tc>
          <w:tcPr>
            <w:tcW w:w="397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12,946</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26,719</w:t>
            </w:r>
          </w:p>
        </w:tc>
        <w:tc>
          <w:tcPr>
            <w:tcW w:w="591" w:type="dxa"/>
            <w:tcBorders/>
            <w:vAlign w:val="center"/>
          </w:tcPr>
          <w:p>
            <w:pPr>
              <w:pStyle w:val="TableContents"/>
              <w:bidi w:val="0"/>
              <w:spacing w:before="0" w:after="0"/>
              <w:ind w:left="0" w:right="0" w:firstLine="200"/>
              <w:jc w:val="left"/>
              <w:rPr/>
            </w:pPr>
            <w:r>
              <w:rPr/>
              <w:t> </w:t>
            </w:r>
          </w:p>
        </w:tc>
      </w:tr>
      <w:tr>
        <w:trPr/>
        <w:tc>
          <w:tcPr>
            <w:tcW w:w="397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29,982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31,136</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58,664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59,681</w:t>
            </w:r>
          </w:p>
        </w:tc>
        <w:tc>
          <w:tcPr>
            <w:tcW w:w="591" w:type="dxa"/>
            <w:tcBorders/>
            <w:vAlign w:val="center"/>
          </w:tcPr>
          <w:p>
            <w:pPr>
              <w:pStyle w:val="TableContents"/>
              <w:bidi w:val="0"/>
              <w:spacing w:before="0" w:after="0"/>
              <w:ind w:left="0" w:right="0" w:firstLine="200"/>
              <w:jc w:val="left"/>
              <w:rPr/>
            </w:pPr>
            <w:r>
              <w:rPr/>
              <w:t> </w:t>
            </w:r>
          </w:p>
        </w:tc>
      </w:tr>
      <w:tr>
        <w:trPr/>
        <w:tc>
          <w:tcPr>
            <w:tcW w:w="397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34,407</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68,441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97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167,678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178,781</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331,911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351,564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28,924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7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974"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19,668</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37,616</w:t>
            </w:r>
          </w:p>
        </w:tc>
        <w:tc>
          <w:tcPr>
            <w:tcW w:w="591" w:type="dxa"/>
            <w:tcBorders/>
            <w:vAlign w:val="center"/>
          </w:tcPr>
          <w:p>
            <w:pPr>
              <w:pStyle w:val="TableContents"/>
              <w:bidi w:val="0"/>
              <w:spacing w:before="0" w:after="0"/>
              <w:ind w:left="0" w:right="0" w:firstLine="200"/>
              <w:jc w:val="left"/>
              <w:rPr/>
            </w:pPr>
            <w:r>
              <w:rPr/>
              <w:t> </w:t>
            </w:r>
          </w:p>
        </w:tc>
      </w:tr>
      <w:tr>
        <w:trPr/>
        <w:tc>
          <w:tcPr>
            <w:tcW w:w="397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i/>
          <w:sz w:val="20"/>
        </w:rPr>
        <w:t>Revenues</w:t>
      </w:r>
      <w:r>
        <w:rPr>
          <w:rFonts w:ascii="Times New Roman" w:hAnsi="Times New Roman"/>
          <w:sz w:val="20"/>
        </w:rPr>
        <w:t xml:space="preserve"> </w:t>
      </w:r>
    </w:p>
    <w:tbl>
      <w:tblPr>
        <w:tblW w:w="6762" w:type="dxa"/>
        <w:jc w:val="left"/>
        <w:tblInd w:w="0" w:type="dxa"/>
        <w:tblLayout w:type="fixed"/>
        <w:tblCellMar>
          <w:top w:w="28" w:type="dxa"/>
          <w:left w:w="28" w:type="dxa"/>
          <w:bottom w:w="28" w:type="dxa"/>
          <w:right w:w="28" w:type="dxa"/>
        </w:tblCellMar>
      </w:tblPr>
      <w:tblGrid>
        <w:gridCol w:w="1321"/>
        <w:gridCol w:w="146"/>
        <w:gridCol w:w="211"/>
        <w:gridCol w:w="781"/>
        <w:gridCol w:w="166"/>
        <w:gridCol w:w="146"/>
        <w:gridCol w:w="211"/>
        <w:gridCol w:w="781"/>
        <w:gridCol w:w="266"/>
        <w:gridCol w:w="146"/>
        <w:gridCol w:w="211"/>
        <w:gridCol w:w="781"/>
        <w:gridCol w:w="166"/>
        <w:gridCol w:w="146"/>
        <w:gridCol w:w="211"/>
        <w:gridCol w:w="781"/>
        <w:gridCol w:w="2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3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170,591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330,679</w:t>
            </w:r>
          </w:p>
        </w:tc>
        <w:tc>
          <w:tcPr>
            <w:tcW w:w="291" w:type="dxa"/>
            <w:tcBorders/>
            <w:vAlign w:val="center"/>
          </w:tcPr>
          <w:p>
            <w:pPr>
              <w:pStyle w:val="TableContents"/>
              <w:bidi w:val="0"/>
              <w:spacing w:before="0" w:after="0"/>
              <w:ind w:left="0" w:right="0" w:firstLine="100"/>
              <w:jc w:val="left"/>
              <w:rPr/>
            </w:pPr>
            <w:r>
              <w:rPr/>
              <w:t> </w:t>
            </w:r>
          </w:p>
        </w:tc>
      </w:tr>
      <w:tr>
        <w:trPr/>
        <w:tc>
          <w:tcPr>
            <w:tcW w:w="13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33,044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64,785</w:t>
            </w:r>
          </w:p>
        </w:tc>
        <w:tc>
          <w:tcPr>
            <w:tcW w:w="291" w:type="dxa"/>
            <w:tcBorders/>
            <w:vAlign w:val="center"/>
          </w:tcPr>
          <w:p>
            <w:pPr>
              <w:pStyle w:val="TableContents"/>
              <w:bidi w:val="0"/>
              <w:spacing w:before="0" w:after="0"/>
              <w:ind w:left="0" w:right="0" w:firstLine="100"/>
              <w:jc w:val="left"/>
              <w:rPr/>
            </w:pPr>
            <w:r>
              <w:rPr/>
              <w:t> </w:t>
            </w:r>
          </w:p>
        </w:tc>
      </w:tr>
      <w:tr>
        <w:trPr/>
        <w:tc>
          <w:tcPr>
            <w:tcW w:w="13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Eliminations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Revenues were $185.3 million for the three months ended June 30, 2023, compared to $201.6 million for the three months ended June 30, 2022. Revenues for the three months ended June 30, 2023 decreased by $16.2 million, or 8.1%, compared to the three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decrease in revenues was primarily due to:</w:t>
      </w:r>
      <w:r>
        <w:rPr>
          <w:rFonts w:ascii="Times New Roman" w:hAnsi="Times New Roman"/>
          <w:sz w:val="20"/>
        </w:rPr>
        <w:t xml:space="preserve"> </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net decrease of $25.6 million in existing customer revenues primarily driven by reduced demand from customers more impacted by macroeconomic events, the elevated levels of growth experienced in 2022 due to the post-pandemic recovery that did not sustain into 2023, and the impact of lost accounts. In the Americas segment, certain industry verticals were impacted by reduced hiring activity resulting in lower revenues. In the International segment, declines were more significantly experienced in India and APAC markets. Together, these decreases were partially offset by ongoing contribution from upselling and cross-selling existing customers, contributing $7.1 million of additional revenues, and increased revenues from certain existing customers not impacted by the macroeconomic declines.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decrease in revenues was offset by:</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increased revenues of $9.4 million primarily attributable to new customers in our Americas segment.</w:t>
      </w:r>
    </w:p>
    <w:p>
      <w:pPr>
        <w:pStyle w:val="TextBody"/>
        <w:bidi w:val="0"/>
        <w:spacing w:before="180" w:after="180"/>
        <w:jc w:val="left"/>
        <w:rPr>
          <w:rFonts w:ascii="Times New Roman" w:hAnsi="Times New Roman"/>
          <w:sz w:val="20"/>
        </w:rPr>
      </w:pPr>
      <w:r>
        <w:rPr>
          <w:rFonts w:ascii="Times New Roman;serif" w:hAnsi="Times New Roman;serif"/>
          <w:b w:val="false"/>
          <w:sz w:val="20"/>
        </w:rPr>
        <w:t>Revenues were $360.8 million for the six months ended June 30, 2023, compared to $391.4 million for the six months ended June 30, 2022. Revenues for the six months ended June 30, 2023 decreased by $30.6 million, or 7.8%, compared to the six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decrease in revenues was primarily due to:</w:t>
      </w:r>
      <w:r>
        <w:rPr>
          <w:rFonts w:ascii="Times New Roman" w:hAnsi="Times New Roman"/>
          <w:sz w:val="20"/>
        </w:rPr>
        <w:t xml:space="preserve"> </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net decrease of $47.6 million in existing customer revenues primarily driven by reduced demand from customers more impacted by macroeconomic events, the elevated levels of growth experienced in 2022 due to the post-pandemic recovery that did not sustain into 2023, and the impact of lost accounts. In the Americas segment, certain industry verticals were impacted by reduced hiring activity resulting in lower revenues. In the International segment, declines were more significantly experienced in the India and APAC markets. Together, these decreases were partially offset by ongoing strength in upselling and cross-selling existing customers, contributing $16.4 million of additional revenues, and increased revenues from certain existing customers not impacted by the macroeconomic declines.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decrease in revenues was offset by:</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increased revenues of $17.0 million primarily attributable to new customers in our Americas segment.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Pricing remained relatively stable across all periods.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i/>
          <w:sz w:val="20"/>
        </w:rPr>
        <w:t>Cost of Services</w:t>
      </w:r>
      <w:r>
        <w:rPr>
          <w:rFonts w:ascii="Times New Roman" w:hAnsi="Times New Roman"/>
          <w:sz w:val="20"/>
        </w:rPr>
        <w:t xml:space="preserve"> </w:t>
      </w:r>
    </w:p>
    <w:tbl>
      <w:tblPr>
        <w:tblW w:w="8532" w:type="dxa"/>
        <w:jc w:val="left"/>
        <w:tblInd w:w="0" w:type="dxa"/>
        <w:tblLayout w:type="fixed"/>
        <w:tblCellMar>
          <w:top w:w="28" w:type="dxa"/>
          <w:left w:w="28" w:type="dxa"/>
          <w:bottom w:w="28" w:type="dxa"/>
          <w:right w:w="28" w:type="dxa"/>
        </w:tblCellMar>
      </w:tblPr>
      <w:tblGrid>
        <w:gridCol w:w="2851"/>
        <w:gridCol w:w="146"/>
        <w:gridCol w:w="211"/>
        <w:gridCol w:w="781"/>
        <w:gridCol w:w="271"/>
        <w:gridCol w:w="146"/>
        <w:gridCol w:w="211"/>
        <w:gridCol w:w="781"/>
        <w:gridCol w:w="271"/>
        <w:gridCol w:w="146"/>
        <w:gridCol w:w="211"/>
        <w:gridCol w:w="781"/>
        <w:gridCol w:w="271"/>
        <w:gridCol w:w="146"/>
        <w:gridCol w:w="211"/>
        <w:gridCol w:w="781"/>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316"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100,292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184,058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196,723</w:t>
            </w:r>
          </w:p>
        </w:tc>
        <w:tc>
          <w:tcPr>
            <w:tcW w:w="316"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 as a %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Cost of services was $93.0 million for the three months ended June 30, 2023, compared to $100.3 million for the three months ended June 30, 2022. Cost of services for the three months ended June 30, 2023 decreased by $7.3 million, or 7.3%, compared to the three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decrease in cost of services was primarily due to:</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$4.6 million decrease in personnel expenses in our operations and customer care functions as a result of cost savings actions taken by the Company in late 2022 and 2023, as well as productivity efficiencies from the implementation of additional automation programs; and</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decrease in variable third-party data expenses of $2.9 million as a result of continued automation, decreased revenues, and variation in customer ordering mix.</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Cost of services as a percentage of revenues was 50.2% for the three months ended June 30, 2023, compared to 49.8% for the three months ended June 30, 2022. The cost of services percentage of revenues in the second quarter of 2023 was impacted by increases in certain third-party data costs due to variation in customer ordering mix. This increase was partially offset by cost savings from the Company’s continued implementation of automation and other process efficiencies, as well as certain cost savings actions taken by the Company in late 2022 and 2023.</w:t>
      </w:r>
    </w:p>
    <w:p>
      <w:pPr>
        <w:pStyle w:val="TextBody"/>
        <w:bidi w:val="0"/>
        <w:spacing w:before="180" w:after="180"/>
        <w:jc w:val="left"/>
        <w:rPr>
          <w:rFonts w:ascii="Times New Roman" w:hAnsi="Times New Roman"/>
          <w:sz w:val="20"/>
        </w:rPr>
      </w:pPr>
      <w:r>
        <w:rPr>
          <w:rFonts w:ascii="Times New Roman;serif" w:hAnsi="Times New Roman;serif"/>
          <w:b w:val="false"/>
          <w:sz w:val="20"/>
        </w:rPr>
        <w:t>Cost of services was $184.1 million for the six months ended June 30, 2023, compared to $196.7 million for the six months ended June 30, 2022. Cost of services for the six months ended June 30, 2023 decreased by $12.7 million, or 6.4%, compared to the six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decrease in cost of services was primarily due to:</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$7.8 million decrease in personnel expenses in our operations and customer care functions as a result of cost savings actions taken by the Company in late 2022 and 2023, as well as productivity efficiencies from the implementation of additional automation programs; and</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decrease in variable third-party data expenses of $5.8 million as a result of continued automation, decreased revenues, and variation in customer ordering mix.</w:t>
      </w:r>
    </w:p>
    <w:p>
      <w:pPr>
        <w:pStyle w:val="TextBody"/>
        <w:bidi w:val="0"/>
        <w:spacing w:before="180" w:after="180"/>
        <w:jc w:val="left"/>
        <w:rPr>
          <w:rFonts w:ascii="Times New Roman" w:hAnsi="Times New Roman"/>
          <w:sz w:val="20"/>
        </w:rPr>
      </w:pPr>
      <w:r>
        <w:rPr>
          <w:rFonts w:ascii="Times New Roman;serif" w:hAnsi="Times New Roman;serif"/>
          <w:b w:val="false"/>
          <w:sz w:val="20"/>
        </w:rPr>
        <w:t>The decrease in cost of services was partially offset by:</w:t>
      </w:r>
      <w:r>
        <w:rPr>
          <w:rFonts w:ascii="Times New Roman" w:hAnsi="Times New Roman"/>
          <w:sz w:val="20"/>
        </w:rPr>
        <w:t xml:space="preserve"> </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foreign currency exchange losses of $0.8 million due to the impact of foreign exchange rate volatility.</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Cost of services as a percentage of revenues was 51.0% for the six months ended June 30, 2023, compared to 50.3% for the six months ended June 30, 2022. The cost of services percentage of revenues for the six months ended June 30, 2023 was impacted by increases in certain third-party data costs due to variation in customer ordering mix. This increase was partially offset by cost savings from the Company’s continued implementation of automation and other process efficiencies, as well as certain cost savings actions taken by the Company in late 2022 and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i/>
          <w:sz w:val="20"/>
        </w:rPr>
        <w:t>Product and Technology Expense</w:t>
      </w:r>
      <w:r>
        <w:rPr>
          <w:rFonts w:ascii="Times New Roman" w:hAnsi="Times New Roman"/>
          <w:sz w:val="20"/>
        </w:rPr>
        <w:t xml:space="preserve"> </w:t>
      </w:r>
    </w:p>
    <w:tbl>
      <w:tblPr>
        <w:tblW w:w="7737" w:type="dxa"/>
        <w:jc w:val="left"/>
        <w:tblInd w:w="0" w:type="dxa"/>
        <w:tblLayout w:type="fixed"/>
        <w:tblCellMar>
          <w:top w:w="28" w:type="dxa"/>
          <w:left w:w="28" w:type="dxa"/>
          <w:bottom w:w="28" w:type="dxa"/>
          <w:right w:w="28" w:type="dxa"/>
        </w:tblCellMar>
      </w:tblPr>
      <w:tblGrid>
        <w:gridCol w:w="2776"/>
        <w:gridCol w:w="146"/>
        <w:gridCol w:w="231"/>
        <w:gridCol w:w="741"/>
        <w:gridCol w:w="160"/>
        <w:gridCol w:w="160"/>
        <w:gridCol w:w="231"/>
        <w:gridCol w:w="741"/>
        <w:gridCol w:w="146"/>
        <w:gridCol w:w="146"/>
        <w:gridCol w:w="211"/>
        <w:gridCol w:w="677"/>
        <w:gridCol w:w="146"/>
        <w:gridCol w:w="146"/>
        <w:gridCol w:w="211"/>
        <w:gridCol w:w="677"/>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and technology expense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26,719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Product and technology expense was $12.6 million for the three months ended June 30, 2023, compared to $12.9 million for the three months ended June 30, 2022. Product and technology expense for the three months ended June 30, 2023 decreased by a nominal amount, compared to the three months ended June 30, 2022.</w:t>
      </w:r>
      <w:r>
        <w:rPr>
          <w:rFonts w:ascii="Times New Roman" w:hAnsi="Times New Roman"/>
          <w:sz w:val="20"/>
        </w:rPr>
        <w:t xml:space="preserve"> </w:t>
      </w:r>
    </w:p>
    <w:p>
      <w:pPr>
        <w:pStyle w:val="TextBody"/>
        <w:bidi w:val="0"/>
        <w:spacing w:before="180" w:after="180"/>
        <w:jc w:val="left"/>
        <w:rPr>
          <w:rFonts w:ascii="Times New Roman" w:hAnsi="Times New Roman"/>
          <w:sz w:val="20"/>
        </w:rPr>
      </w:pPr>
      <w:r>
        <w:rPr>
          <w:rFonts w:ascii="Times New Roman;serif" w:hAnsi="Times New Roman;serif"/>
          <w:b w:val="false"/>
          <w:sz w:val="20"/>
        </w:rPr>
        <w:t>Product and technology expense was $25.3 million for the six months ended June 30, 2023, compared to $26.7 million for the six months ended June 30, 2022. Product and technology expense for the six months ended June 30, 2023 decreased by $1.5 million, or 5.4%, compared to the six months ended June 30, 2022.</w:t>
      </w:r>
      <w:r>
        <w:rPr>
          <w:rFonts w:ascii="Times New Roman" w:hAnsi="Times New Roman"/>
          <w:sz w:val="20"/>
        </w:rPr>
        <w:t xml:space="preserve"> </w:t>
      </w:r>
    </w:p>
    <w:p>
      <w:pPr>
        <w:pStyle w:val="TextBody"/>
        <w:bidi w:val="0"/>
        <w:spacing w:before="180" w:after="180"/>
        <w:jc w:val="left"/>
        <w:rPr>
          <w:rFonts w:ascii="Times New Roman" w:hAnsi="Times New Roman"/>
          <w:sz w:val="20"/>
        </w:rPr>
      </w:pPr>
      <w:r>
        <w:rPr>
          <w:rFonts w:ascii="Times New Roman;serif" w:hAnsi="Times New Roman;serif"/>
          <w:b w:val="false"/>
          <w:sz w:val="20"/>
        </w:rPr>
        <w:t>The decrease in product and technology expense was primarily due to:</w:t>
      </w:r>
      <w:r>
        <w:rPr>
          <w:rFonts w:ascii="Times New Roman" w:hAnsi="Times New Roman"/>
          <w:sz w:val="20"/>
        </w:rPr>
        <w:t xml:space="preserve"> </w:t>
      </w:r>
    </w:p>
    <w:p>
      <w:pPr>
        <w:pStyle w:val="TextBody"/>
        <w:bidi w:val="0"/>
        <w:spacing w:before="180" w:after="180"/>
        <w:jc w:val="left"/>
        <w:rPr/>
      </w:pPr>
      <w:r>
        <w:rPr/>
        <w:t>•</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a $3.0 million decrease in personnel expenses primarily due to decreases in bonus expenses.</w:t>
      </w:r>
    </w:p>
    <w:p>
      <w:pPr>
        <w:pStyle w:val="TextBody"/>
        <w:bidi w:val="0"/>
        <w:spacing w:before="180" w:after="180"/>
        <w:jc w:val="left"/>
        <w:rPr>
          <w:rFonts w:ascii="Times New Roman" w:hAnsi="Times New Roman"/>
          <w:sz w:val="20"/>
        </w:rPr>
      </w:pPr>
      <w:r>
        <w:rPr>
          <w:rFonts w:ascii="Times New Roman;serif" w:hAnsi="Times New Roman;serif"/>
          <w:b w:val="false"/>
          <w:sz w:val="20"/>
        </w:rPr>
        <w:t>The decrease in product and technology expense was partially offset by:</w:t>
      </w:r>
      <w:r>
        <w:rPr>
          <w:rFonts w:ascii="Times New Roman" w:hAnsi="Times New Roman"/>
          <w:sz w:val="20"/>
        </w:rPr>
        <w:t xml:space="preserve"> </w:t>
      </w:r>
    </w:p>
    <w:p>
      <w:pPr>
        <w:pStyle w:val="TextBody"/>
        <w:bidi w:val="0"/>
        <w:spacing w:before="180" w:after="180"/>
        <w:jc w:val="left"/>
        <w:rPr/>
      </w:pPr>
      <w:r>
        <w:rPr/>
        <w:t>•</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a $1.8 million increase in software licensing expenses.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i/>
          <w:sz w:val="20"/>
        </w:rPr>
        <w:t>Selling, General, and Administrative Expense</w:t>
      </w:r>
      <w:r>
        <w:rPr>
          <w:rFonts w:ascii="Times New Roman" w:hAnsi="Times New Roman"/>
          <w:sz w:val="20"/>
        </w:rPr>
        <w:t xml:space="preserve"> </w:t>
      </w:r>
    </w:p>
    <w:tbl>
      <w:tblPr>
        <w:tblW w:w="8667" w:type="dxa"/>
        <w:jc w:val="left"/>
        <w:tblInd w:w="0" w:type="dxa"/>
        <w:tblLayout w:type="fixed"/>
        <w:tblCellMar>
          <w:top w:w="28" w:type="dxa"/>
          <w:left w:w="28" w:type="dxa"/>
          <w:bottom w:w="28" w:type="dxa"/>
          <w:right w:w="28" w:type="dxa"/>
        </w:tblCellMar>
      </w:tblPr>
      <w:tblGrid>
        <w:gridCol w:w="3706"/>
        <w:gridCol w:w="146"/>
        <w:gridCol w:w="231"/>
        <w:gridCol w:w="741"/>
        <w:gridCol w:w="160"/>
        <w:gridCol w:w="160"/>
        <w:gridCol w:w="231"/>
        <w:gridCol w:w="741"/>
        <w:gridCol w:w="146"/>
        <w:gridCol w:w="146"/>
        <w:gridCol w:w="211"/>
        <w:gridCol w:w="677"/>
        <w:gridCol w:w="146"/>
        <w:gridCol w:w="146"/>
        <w:gridCol w:w="211"/>
        <w:gridCol w:w="677"/>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29,982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59,681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Selling, general, and administrative expense was $30.0 million for the three months ended June 30, 2023, compared to $31.1 million for the three months ended June 30, 2022. Selling, general, and administrative expense for the three months ended June 30, 2023 decreased by $1.2 million, or 3.7%, compared to the three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Selling, general, and administrative expense decreased primarily due to:</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$2.1 million decrease in commissions and bonus expenses due to lower performance against internal targets;</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 $0.7 million decrease in personnel expenses as well as certain other cost savings actions taken by the Company in late 2022 and 2023; and</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 xml:space="preserve">a number of other corporate expenses that decreased primarily as a result of cost savings actions taken by the Company in 2023. </w:t>
      </w:r>
    </w:p>
    <w:p>
      <w:pPr>
        <w:pStyle w:val="TextBody"/>
        <w:bidi w:val="0"/>
        <w:spacing w:before="0" w:after="180"/>
        <w:jc w:val="left"/>
        <w:rPr>
          <w:rFonts w:ascii="Times New Roman" w:hAnsi="Times New Roman"/>
          <w:sz w:val="20"/>
        </w:rPr>
      </w:pPr>
      <w:r>
        <w:rPr>
          <w:rFonts w:ascii="Times New Roman;serif" w:hAnsi="Times New Roman;serif"/>
          <w:b w:val="false"/>
          <w:sz w:val="20"/>
        </w:rPr>
        <w:t>The decrease in selling, general, and administrative expense was partially offset by:</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$1.4 million increase in share-based compensation expense primarily as a result of a modification to the vesting terms of outstanding unvested and unearned performance-based equity awards; and</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 xml:space="preserve">a $0.8 million increase in expenses related to the impairment of certain operating lease assets resulting from office space exited during the quarter. </w:t>
      </w:r>
    </w:p>
    <w:p>
      <w:pPr>
        <w:pStyle w:val="TextBody"/>
        <w:bidi w:val="0"/>
        <w:spacing w:before="180" w:after="180"/>
        <w:jc w:val="left"/>
        <w:rPr>
          <w:rFonts w:ascii="Times New Roman" w:hAnsi="Times New Roman"/>
          <w:sz w:val="20"/>
        </w:rPr>
      </w:pPr>
      <w:r>
        <w:rPr>
          <w:rFonts w:ascii="Times New Roman;serif" w:hAnsi="Times New Roman;serif"/>
          <w:b w:val="false"/>
          <w:sz w:val="20"/>
        </w:rPr>
        <w:t>Selling, general, and administrative expense was $58.7 million for the six months ended June 30, 2023, compared to $59.7 million for the six months ended June 30, 2022. Selling, general, and administrative expense for the six months ended June 30, 2023 decreased by $1.0 million, or 1.7%, compared to the six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Selling, general, and administrative expense decreased primarily due to:</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$3.9 million decrease in commissions and bonus expenses due to lower performance against internal targets;</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 xml:space="preserve">a $1.4 million decrease in personnel expenses as well as certain other cost savings actions taken by the Company in late 2022 and 2023; and </w:t>
      </w:r>
    </w:p>
    <w:p>
      <w:pPr>
        <w:pStyle w:val="TextBody"/>
        <w:bidi w:val="0"/>
        <w:spacing w:before="0" w:after="180"/>
        <w:jc w:val="left"/>
        <w:rPr/>
      </w:pPr>
      <w:r>
        <w:rPr/>
        <w:t>•</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 xml:space="preserve">a number of other corporate expenses that decreased primarily as a result of cost savings actions taken by the Company in 2023. </w:t>
      </w:r>
    </w:p>
    <w:p>
      <w:pPr>
        <w:pStyle w:val="TextBody"/>
        <w:bidi w:val="0"/>
        <w:spacing w:before="0" w:after="180"/>
        <w:jc w:val="left"/>
        <w:rPr>
          <w:rFonts w:ascii="Times New Roman" w:hAnsi="Times New Roman"/>
          <w:sz w:val="20"/>
        </w:rPr>
      </w:pPr>
      <w:r>
        <w:rPr>
          <w:rFonts w:ascii="Times New Roman;serif" w:hAnsi="Times New Roman;serif"/>
          <w:b w:val="false"/>
          <w:sz w:val="20"/>
        </w:rPr>
        <w:t>The decrease in selling, general, and administrative expense was partially offset by:</w:t>
      </w:r>
      <w:r>
        <w:rPr>
          <w:rFonts w:ascii="Times New Roman" w:hAnsi="Times New Roman"/>
          <w:sz w:val="20"/>
        </w:rPr>
        <w:t xml:space="preserve"> </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$2.0 million increase in expenses related to litigation activities in the ordinary course of business;</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$1.9 million increase in expenses related to the impairment of certain operating lease assets resulting from office space exited during the quarter;</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 $1.3 million increase in share-based compensation expense primarily as a result of a modification to the vesting terms of outstanding unvested and unearned performance-based equity awards; and</w:t>
      </w:r>
    </w:p>
    <w:p>
      <w:pPr>
        <w:pStyle w:val="TextBody"/>
        <w:bidi w:val="0"/>
        <w:spacing w:before="0" w:after="120"/>
        <w:jc w:val="left"/>
        <w:rPr/>
      </w:pPr>
      <w:r>
        <w:rPr/>
        <w:t>•</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foreign currency exchange losses of $0.7 million due to the impact of foreign exchange rate volatility.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i/>
          <w:sz w:val="20"/>
        </w:rPr>
        <w:t>Depreciation and Amortization</w:t>
      </w:r>
      <w:r>
        <w:rPr>
          <w:rFonts w:ascii="Times New Roman" w:hAnsi="Times New Roman"/>
          <w:sz w:val="20"/>
        </w:rPr>
        <w:t xml:space="preserve"> </w:t>
      </w:r>
    </w:p>
    <w:tbl>
      <w:tblPr>
        <w:tblW w:w="7557" w:type="dxa"/>
        <w:jc w:val="left"/>
        <w:tblInd w:w="0" w:type="dxa"/>
        <w:tblLayout w:type="fixed"/>
        <w:tblCellMar>
          <w:top w:w="28" w:type="dxa"/>
          <w:left w:w="28" w:type="dxa"/>
          <w:bottom w:w="28" w:type="dxa"/>
          <w:right w:w="28" w:type="dxa"/>
        </w:tblCellMar>
      </w:tblPr>
      <w:tblGrid>
        <w:gridCol w:w="2596"/>
        <w:gridCol w:w="146"/>
        <w:gridCol w:w="231"/>
        <w:gridCol w:w="741"/>
        <w:gridCol w:w="160"/>
        <w:gridCol w:w="160"/>
        <w:gridCol w:w="231"/>
        <w:gridCol w:w="741"/>
        <w:gridCol w:w="146"/>
        <w:gridCol w:w="146"/>
        <w:gridCol w:w="211"/>
        <w:gridCol w:w="677"/>
        <w:gridCol w:w="146"/>
        <w:gridCol w:w="146"/>
        <w:gridCol w:w="211"/>
        <w:gridCol w:w="677"/>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68,441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Depreciation and amortization was $32.1 million for the three months ended June 30, 2023, compared to $34.4 million for the three months ended June 30, 2022. Depreciation and amortization for the three months ended June 30, 2023 decreased by $2.4 million, or 6.8%, compared to the three months ended June 30, 2022. This decrease was partially offset by increases in depreciation related to assets placed in service during the three months ended June 30, 2023.</w:t>
      </w:r>
      <w:r>
        <w:rPr>
          <w:rFonts w:ascii="Times New Roman" w:hAnsi="Times New Roman"/>
          <w:sz w:val="20"/>
        </w:rPr>
        <w:t xml:space="preserve"> </w:t>
      </w:r>
    </w:p>
    <w:p>
      <w:pPr>
        <w:pStyle w:val="TextBody"/>
        <w:bidi w:val="0"/>
        <w:spacing w:before="180" w:after="180"/>
        <w:jc w:val="left"/>
        <w:rPr>
          <w:rFonts w:ascii="Times New Roman" w:hAnsi="Times New Roman"/>
          <w:sz w:val="20"/>
        </w:rPr>
      </w:pPr>
      <w:r>
        <w:rPr>
          <w:rFonts w:ascii="Times New Roman;serif" w:hAnsi="Times New Roman;serif"/>
          <w:b w:val="false"/>
          <w:sz w:val="20"/>
        </w:rPr>
        <w:t>Depreciation and amortization was $63.9 million for the six months ended June 30, 2023, compared to $68.4 million for the six months ended June 30, 2022. Depreciation and amortization for the six months ended June 30, 2023 decreased by $4.5 million, or 6.6%, compared to the six months ended June 30, 2022. This decrease was partially offset by increases in depreciation related to assets placed in service during the six months ended June 30, 2023.</w:t>
      </w:r>
      <w:r>
        <w:rPr>
          <w:rFonts w:ascii="Times New Roman" w:hAnsi="Times New Roman"/>
          <w:sz w:val="20"/>
        </w:rPr>
        <w:t xml:space="preserve"> </w:t>
      </w:r>
    </w:p>
    <w:p>
      <w:pPr>
        <w:pStyle w:val="TextBody"/>
        <w:bidi w:val="0"/>
        <w:spacing w:before="0" w:after="180"/>
        <w:jc w:val="left"/>
        <w:rPr>
          <w:rFonts w:ascii="Times New Roman;serif" w:hAnsi="Times New Roman;serif"/>
          <w:b w:val="false"/>
          <w:i/>
          <w:sz w:val="20"/>
        </w:rPr>
      </w:pPr>
      <w:r>
        <w:rPr>
          <w:rFonts w:ascii="Times New Roman;serif" w:hAnsi="Times New Roman;serif"/>
          <w:b w:val="false"/>
          <w:i/>
          <w:sz w:val="20"/>
        </w:rPr>
        <w:t>Interest Expense, Net</w:t>
      </w:r>
    </w:p>
    <w:tbl>
      <w:tblPr>
        <w:tblW w:w="6732" w:type="dxa"/>
        <w:jc w:val="left"/>
        <w:tblInd w:w="0" w:type="dxa"/>
        <w:tblLayout w:type="fixed"/>
        <w:tblCellMar>
          <w:top w:w="28" w:type="dxa"/>
          <w:left w:w="28" w:type="dxa"/>
          <w:bottom w:w="28" w:type="dxa"/>
          <w:right w:w="28" w:type="dxa"/>
        </w:tblCellMar>
      </w:tblPr>
      <w:tblGrid>
        <w:gridCol w:w="1771"/>
        <w:gridCol w:w="146"/>
        <w:gridCol w:w="257"/>
        <w:gridCol w:w="697"/>
        <w:gridCol w:w="178"/>
        <w:gridCol w:w="178"/>
        <w:gridCol w:w="257"/>
        <w:gridCol w:w="697"/>
        <w:gridCol w:w="146"/>
        <w:gridCol w:w="146"/>
        <w:gridCol w:w="222"/>
        <w:gridCol w:w="713"/>
        <w:gridCol w:w="154"/>
        <w:gridCol w:w="154"/>
        <w:gridCol w:w="222"/>
        <w:gridCol w:w="603"/>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Interest expense, net was $3.9 million for the three months ended June 30, 2023, compared to $3.1 million for the three months ended June 30, 2022. Interest expense for the three months ended June 30, 2023 increased by $0.8 million, compared to the three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increase in interest expense was primarily attributable to higher interest expense on the First Lien Credit Facility as a result of increasing interest rates. Increases in interest expense were offset by interest income of $4.4 million earned on cash held within interest bearing accounts and $3.1 million of unrealized gains on the Company’s interest rate collar and swap.</w:t>
      </w:r>
      <w:r>
        <w:rPr>
          <w:rFonts w:ascii="Times New Roman" w:hAnsi="Times New Roman"/>
          <w:sz w:val="20"/>
        </w:rPr>
        <w:t xml:space="preserve"> </w:t>
      </w:r>
    </w:p>
    <w:p>
      <w:pPr>
        <w:pStyle w:val="TextBody"/>
        <w:bidi w:val="0"/>
        <w:spacing w:before="180" w:after="180"/>
        <w:jc w:val="left"/>
        <w:rPr>
          <w:rFonts w:ascii="Times New Roman" w:hAnsi="Times New Roman"/>
          <w:sz w:val="20"/>
        </w:rPr>
      </w:pPr>
      <w:r>
        <w:rPr>
          <w:rFonts w:ascii="Times New Roman;serif" w:hAnsi="Times New Roman;serif"/>
          <w:b w:val="false"/>
          <w:sz w:val="20"/>
        </w:rPr>
        <w:t>Interest expense, net was $12.6 million for the six months ended June 30, 2023, compared to $2.3 million for the six months ended June 30, 2022. Interest expense for the six months ended June 30, 2023 increased by $10.3 million, compared to the six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increase in interest expense was primarily attributable to higher interest expense on the First Lien Credit Facility as a result of increasing interest rates. Increases in interest expense were offset by interest income of $8.2 million earned on cash held within interest bearing accounts and $1.2 million of unrealized gains on the Company’s interest rate collar and swap.</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tbl>
      <w:tblPr>
        <w:tblW w:w="7242" w:type="dxa"/>
        <w:jc w:val="left"/>
        <w:tblInd w:w="0" w:type="dxa"/>
        <w:tblLayout w:type="fixed"/>
        <w:tblCellMar>
          <w:top w:w="28" w:type="dxa"/>
          <w:left w:w="28" w:type="dxa"/>
          <w:bottom w:w="28" w:type="dxa"/>
          <w:right w:w="28" w:type="dxa"/>
        </w:tblCellMar>
      </w:tblPr>
      <w:tblGrid>
        <w:gridCol w:w="2281"/>
        <w:gridCol w:w="146"/>
        <w:gridCol w:w="257"/>
        <w:gridCol w:w="697"/>
        <w:gridCol w:w="178"/>
        <w:gridCol w:w="178"/>
        <w:gridCol w:w="257"/>
        <w:gridCol w:w="697"/>
        <w:gridCol w:w="146"/>
        <w:gridCol w:w="146"/>
        <w:gridCol w:w="222"/>
        <w:gridCol w:w="603"/>
        <w:gridCol w:w="154"/>
        <w:gridCol w:w="154"/>
        <w:gridCol w:w="222"/>
        <w:gridCol w:w="713"/>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Our provision for income taxes was $4.0 million for the three months ended June 30, 2023, compared to $5.4 million for the three months ended June 30, 2022. Our provision for income taxes for the three months ended June 30, 2023 decreased by $1.5 million, compared to the three months ended June 30, 2022.</w:t>
      </w:r>
      <w:r>
        <w:rPr>
          <w:rFonts w:ascii="Times New Roman" w:hAnsi="Times New Roman"/>
          <w:sz w:val="20"/>
        </w:rPr>
        <w:t xml:space="preserve"> </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decrease in our provision for income taxes was primarily due to the decrease of income before income taxes during the three months ended June 30, 2023, as compared to the three months ended June 30, 2022.</w:t>
      </w:r>
    </w:p>
    <w:p>
      <w:pPr>
        <w:pStyle w:val="TextBody"/>
        <w:bidi w:val="0"/>
        <w:spacing w:before="180" w:after="180"/>
        <w:jc w:val="left"/>
        <w:rPr>
          <w:rFonts w:ascii="Times New Roman" w:hAnsi="Times New Roman"/>
          <w:sz w:val="20"/>
        </w:rPr>
      </w:pPr>
      <w:r>
        <w:rPr>
          <w:rFonts w:ascii="Times New Roman;serif" w:hAnsi="Times New Roman;serif"/>
          <w:b w:val="false"/>
          <w:sz w:val="20"/>
        </w:rPr>
        <w:t>Our provision for income taxes was $4.6 million for the six months ended June 30, 2023, compared to $10.4 million for the six months ended June 30, 2022. Our provision for income taxes for the six months ended June 30, 2023 decreased by $5.7 million, compared to the six months ended June 30, 2022.</w:t>
      </w:r>
      <w:r>
        <w:rPr>
          <w:rFonts w:ascii="Times New Roman" w:hAnsi="Times New Roman"/>
          <w:sz w:val="20"/>
        </w:rPr>
        <w:t xml:space="preserve"> </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decrease in our provision for income taxes was primarily due to the decrease of income before income taxes during the six months ended June 30, 2023, as compared to the six months ended June 30,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left"/>
        <w:rPr>
          <w:rFonts w:ascii="Times New Roman" w:hAnsi="Times New Roman"/>
          <w:sz w:val="20"/>
        </w:rPr>
      </w:pPr>
      <w:r>
        <w:rPr>
          <w:rFonts w:ascii="Times New Roman;serif" w:hAnsi="Times New Roman;serif"/>
          <w:b w:val="false"/>
          <w:i/>
          <w:sz w:val="20"/>
        </w:rPr>
        <w:t>Net Income and Net Income Margin</w:t>
      </w:r>
      <w:r>
        <w:rPr>
          <w:rFonts w:ascii="Times New Roman" w:hAnsi="Times New Roman"/>
          <w:sz w:val="20"/>
        </w:rPr>
        <w:t xml:space="preserve"> </w:t>
      </w:r>
    </w:p>
    <w:tbl>
      <w:tblPr>
        <w:tblW w:w="7855" w:type="dxa"/>
        <w:jc w:val="left"/>
        <w:tblInd w:w="0" w:type="dxa"/>
        <w:tblLayout w:type="fixed"/>
        <w:tblCellMar>
          <w:top w:w="28" w:type="dxa"/>
          <w:left w:w="28" w:type="dxa"/>
          <w:bottom w:w="28" w:type="dxa"/>
          <w:right w:w="28" w:type="dxa"/>
        </w:tblCellMar>
      </w:tblPr>
      <w:tblGrid>
        <w:gridCol w:w="2521"/>
        <w:gridCol w:w="146"/>
        <w:gridCol w:w="229"/>
        <w:gridCol w:w="620"/>
        <w:gridCol w:w="294"/>
        <w:gridCol w:w="158"/>
        <w:gridCol w:w="229"/>
        <w:gridCol w:w="734"/>
        <w:gridCol w:w="271"/>
        <w:gridCol w:w="146"/>
        <w:gridCol w:w="211"/>
        <w:gridCol w:w="676"/>
        <w:gridCol w:w="271"/>
        <w:gridCol w:w="146"/>
        <w:gridCol w:w="211"/>
        <w:gridCol w:w="676"/>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8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294"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316"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margin</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Net income was $9.8 million for the three months ended June 30, 2023, compared to $14.2 million for the three months ended June 30, 2022. Net income for the three months ended June 30, 2023 decreased by $4.5 million compared to the three months ended June 30, 2022.</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Net income margin was 5.3% for the three months ended June 30, 2023 compared to 7.1% for the three months ended June 30, 2022, as reduced demand from customers more impacted by macroeconomic events contributed to lower revenues and profitability, particularly as the Company cycled over the growth experienced in 2022 due to the post-pandemic recovery.</w:t>
      </w:r>
    </w:p>
    <w:p>
      <w:pPr>
        <w:pStyle w:val="TextBody"/>
        <w:bidi w:val="0"/>
        <w:spacing w:before="180" w:after="180"/>
        <w:jc w:val="left"/>
        <w:rPr>
          <w:rFonts w:ascii="Times New Roman" w:hAnsi="Times New Roman"/>
          <w:sz w:val="20"/>
        </w:rPr>
      </w:pPr>
      <w:r>
        <w:rPr>
          <w:rFonts w:ascii="Times New Roman;serif" w:hAnsi="Times New Roman;serif"/>
          <w:b w:val="false"/>
          <w:sz w:val="20"/>
        </w:rPr>
        <w:t>Net income was $11.7 million for the six months ended June 30, 2023, compared to $27.2 million for the six months ended June 30, 2022. Net income for the six months ended June 30, 2023 decreased by $15.5 million compared to the six months ended June 30, 2022.</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Net income margin was 3.2% for the six months ended June 30, 2023 compared to 7.0% for the six months ended June 30, 2022, as reduced demand from customers more impacted by macroeconomic events contributed to lower revenues and profitability, particularly as the Company cycled over the growth experienced in 2022 due to the post-pandemic recovery.</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serif" w:hAnsi="Times New Roman;serif"/>
          <w:b/>
          <w:sz w:val="20"/>
        </w:rPr>
      </w:pPr>
      <w:r>
        <w:rPr>
          <w:rFonts w:ascii="Times New Roman;serif" w:hAnsi="Times New Roman;serif"/>
          <w:b/>
          <w:sz w:val="20"/>
        </w:rPr>
        <w:t>Key Operating and Financial Metrics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serif" w:hAnsi="Times New Roman;serif"/>
          <w:b/>
          <w:i/>
          <w:sz w:val="20"/>
        </w:rPr>
        <w:t>Adjusted EBITDA and Adjusted EBITDA Margin</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sz w:val="20"/>
        </w:rPr>
      </w:pPr>
      <w:r>
        <w:rPr>
          <w:rFonts w:ascii="Times New Roman;serif" w:hAnsi="Times New Roman;serif"/>
          <w:b w:val="false"/>
          <w:sz w:val="20"/>
        </w:rPr>
        <w:t>Adjusted EBITDA was $56.0 million for the three months ended June 30, 2023 and represented an Adjusted EBITDA Margin of 30.2%. Adjusted EBITDA was $60.8 million for the three months ended June 30, 2022 and represented an Adjusted EBITDA Margin of 30.2%. Adjusted EBITDA for the three months ended June 30, 2023 decreased by $4.9 million, or 8.0%, compared to the three months ended June 30,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Adjusted EBITDA was $104.5 million for the six months ended June 30, 2023 and represented an Adjusted EBITDA Margin of 29.0%. Adjusted EBITDA was $114.4 million for the six months ended June 30, 2022 and represented an Adjusted EBITDA Margin of 29.2%. Adjusted EBITDA for the six months ended June 30, 2023 decreased by $9.9 million, or 8.7%, compared to the six months ended June 30, 2022.</w:t>
      </w:r>
      <w:r>
        <w:rPr>
          <w:rFonts w:ascii="Times New Roman" w:hAnsi="Times New Roman"/>
          <w:sz w:val="20"/>
        </w:rPr>
        <w:t xml:space="preserve"> </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Adjusted EBITDA declined as macroeconomic events impacted our revenues attributed to existing customers. Decreases were further impacted by the effects of changes in foreign currencies.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 in late 2022 and 2023.</w:t>
      </w:r>
    </w:p>
    <w:p>
      <w:pPr>
        <w:pStyle w:val="TextBody"/>
        <w:bidi w:val="0"/>
        <w:spacing w:before="180" w:after="180"/>
        <w:jc w:val="left"/>
        <w:rPr>
          <w:rFonts w:ascii="Times New Roman" w:hAnsi="Times New Roman"/>
          <w:sz w:val="20"/>
        </w:rPr>
      </w:pPr>
      <w:r>
        <w:rPr>
          <w:rFonts w:ascii="Times New Roman;serif" w:hAnsi="Times New Roman;serif"/>
          <w:b w:val="false"/>
          <w:sz w:val="20"/>
        </w:rPr>
        <w:t>The following table presents a reconciliation of Adjusted EBITDA for the periods presented.</w:t>
      </w:r>
      <w:r>
        <w:rPr>
          <w:rFonts w:ascii="Times New Roman" w:hAnsi="Times New Roman"/>
          <w:sz w:val="20"/>
        </w:rPr>
        <w:t xml:space="preserve"> </w:t>
      </w:r>
    </w:p>
    <w:tbl>
      <w:tblPr>
        <w:tblW w:w="9060" w:type="dxa"/>
        <w:jc w:val="left"/>
        <w:tblInd w:w="0" w:type="dxa"/>
        <w:tblLayout w:type="fixed"/>
        <w:tblCellMar>
          <w:top w:w="28" w:type="dxa"/>
          <w:left w:w="28" w:type="dxa"/>
          <w:bottom w:w="28" w:type="dxa"/>
          <w:right w:w="28" w:type="dxa"/>
        </w:tblCellMar>
      </w:tblPr>
      <w:tblGrid>
        <w:gridCol w:w="3871"/>
        <w:gridCol w:w="146"/>
        <w:gridCol w:w="231"/>
        <w:gridCol w:w="741"/>
        <w:gridCol w:w="160"/>
        <w:gridCol w:w="160"/>
        <w:gridCol w:w="231"/>
        <w:gridCol w:w="741"/>
        <w:gridCol w:w="146"/>
        <w:gridCol w:w="146"/>
        <w:gridCol w:w="211"/>
        <w:gridCol w:w="781"/>
        <w:gridCol w:w="146"/>
        <w:gridCol w:w="146"/>
        <w:gridCol w:w="211"/>
        <w:gridCol w:w="781"/>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10,367</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68,441</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Transaction and acquisition-related charges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2,677</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(b)</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55,971</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60,834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104,531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114,434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(a)</w:t>
      </w:r>
    </w:p>
    <w:p>
      <w:pPr>
        <w:pStyle w:val="TextBody"/>
        <w:bidi w:val="0"/>
        <w:spacing w:before="120" w:after="0"/>
        <w:jc w:val="left"/>
        <w:rPr>
          <w:rFonts w:ascii="Times New Roman;serif" w:hAnsi="Times New Roman;serif"/>
          <w:b w:val="false"/>
          <w:sz w:val="16"/>
        </w:rPr>
      </w:pPr>
      <w:r>
        <w:rPr>
          <w:rFonts w:ascii="Times New Roman;serif" w:hAnsi="Times New Roman;serif"/>
          <w:b w:val="false"/>
          <w:sz w:val="16"/>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six months ended June 30, 2023 and 2022 include a transaction bonus expense related to one of the Company’s 2021 acquisitions.</w:t>
      </w:r>
    </w:p>
    <w:p>
      <w:pPr>
        <w:pStyle w:val="TextBody"/>
        <w:bidi w:val="0"/>
        <w:spacing w:before="0" w:after="180"/>
        <w:jc w:val="left"/>
        <w:rPr>
          <w:rFonts w:ascii="Times New Roman" w:hAnsi="Times New Roman"/>
          <w:b w:val="false"/>
          <w:sz w:val="16"/>
        </w:rPr>
      </w:pPr>
      <w:r>
        <w:rPr>
          <w:rFonts w:ascii="Times New Roman" w:hAnsi="Times New Roman"/>
          <w:b w:val="false"/>
          <w:sz w:val="16"/>
        </w:rPr>
        <w:t>(b)</w:t>
      </w:r>
    </w:p>
    <w:p>
      <w:pPr>
        <w:pStyle w:val="TextBody"/>
        <w:bidi w:val="0"/>
        <w:spacing w:before="0" w:after="180"/>
        <w:jc w:val="left"/>
        <w:rPr>
          <w:rFonts w:ascii="Times New Roman;serif" w:hAnsi="Times New Roman;serif"/>
          <w:b w:val="false"/>
          <w:sz w:val="16"/>
        </w:rPr>
      </w:pPr>
      <w:r>
        <w:rPr>
          <w:rFonts w:ascii="Times New Roman;serif" w:hAnsi="Times New Roman;serif"/>
          <w:b w:val="false"/>
          <w:sz w:val="16"/>
        </w:rPr>
        <w:t>Represents charges from organizational restructuring and integration activities, non-cash, and other charges primarily related to nonrecurring legal exposures, foreign currency (gains) losses, and (gains) losses on the sale of assets.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val="false"/>
          <w:sz w:val="20"/>
        </w:rPr>
        <w:t>We define Adjusted EBITDA Margin as Adjusted EBITDA divided by total revenues. The following table presents the calculation of Adjusted EBITDA Margin for the periods presented.</w:t>
      </w:r>
      <w:r>
        <w:rPr>
          <w:rFonts w:ascii="Times New Roman" w:hAnsi="Times New Roman"/>
          <w:sz w:val="20"/>
        </w:rPr>
        <w:t xml:space="preserve"> </w:t>
      </w:r>
    </w:p>
    <w:tbl>
      <w:tblPr>
        <w:tblW w:w="8322" w:type="dxa"/>
        <w:jc w:val="left"/>
        <w:tblInd w:w="0" w:type="dxa"/>
        <w:tblLayout w:type="fixed"/>
        <w:tblCellMar>
          <w:top w:w="28" w:type="dxa"/>
          <w:left w:w="28" w:type="dxa"/>
          <w:bottom w:w="28" w:type="dxa"/>
          <w:right w:w="28" w:type="dxa"/>
        </w:tblCellMar>
      </w:tblPr>
      <w:tblGrid>
        <w:gridCol w:w="2521"/>
        <w:gridCol w:w="146"/>
        <w:gridCol w:w="211"/>
        <w:gridCol w:w="781"/>
        <w:gridCol w:w="301"/>
        <w:gridCol w:w="146"/>
        <w:gridCol w:w="211"/>
        <w:gridCol w:w="781"/>
        <w:gridCol w:w="301"/>
        <w:gridCol w:w="146"/>
        <w:gridCol w:w="211"/>
        <w:gridCol w:w="781"/>
        <w:gridCol w:w="301"/>
        <w:gridCol w:w="146"/>
        <w:gridCol w:w="211"/>
        <w:gridCol w:w="781"/>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55,971</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60,834</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104,531</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114,434</w:t>
            </w:r>
          </w:p>
        </w:tc>
        <w:tc>
          <w:tcPr>
            <w:tcW w:w="346"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346"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30.2</w:t>
            </w:r>
          </w:p>
        </w:tc>
        <w:tc>
          <w:tcPr>
            <w:tcW w:w="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30.2</w:t>
            </w:r>
          </w:p>
        </w:tc>
        <w:tc>
          <w:tcPr>
            <w:tcW w:w="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29.0</w:t>
            </w:r>
          </w:p>
        </w:tc>
        <w:tc>
          <w:tcPr>
            <w:tcW w:w="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29.2</w:t>
            </w:r>
          </w:p>
        </w:tc>
        <w:tc>
          <w:tcPr>
            <w:tcW w:w="3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180" w:after="180"/>
        <w:jc w:val="left"/>
        <w:rPr>
          <w:rFonts w:ascii="Times New Roman" w:hAnsi="Times New Roman"/>
          <w:sz w:val="20"/>
        </w:rPr>
      </w:pPr>
      <w:r>
        <w:rPr>
          <w:rFonts w:ascii="Times New Roman;serif" w:hAnsi="Times New Roman;serif"/>
          <w:b w:val="false"/>
          <w:sz w:val="20"/>
        </w:rPr>
        <w:t>The following table presents a calculation of Adjusted EBITDA by segment for the periods presented. See Note 14, “Reportable Segments” to the condensed consolidated financial statements for a reconciliation of Adjusted EBITDA for the periods presented by segment.</w:t>
      </w:r>
      <w:r>
        <w:rPr>
          <w:rFonts w:ascii="Times New Roman" w:hAnsi="Times New Roman"/>
          <w:sz w:val="20"/>
        </w:rPr>
        <w:t xml:space="preserve"> </w:t>
      </w:r>
    </w:p>
    <w:tbl>
      <w:tblPr>
        <w:tblW w:w="8572" w:type="dxa"/>
        <w:jc w:val="left"/>
        <w:tblInd w:w="0" w:type="dxa"/>
        <w:tblLayout w:type="fixed"/>
        <w:tblCellMar>
          <w:top w:w="28" w:type="dxa"/>
          <w:left w:w="28" w:type="dxa"/>
          <w:bottom w:w="28" w:type="dxa"/>
          <w:right w:w="28" w:type="dxa"/>
        </w:tblCellMar>
      </w:tblPr>
      <w:tblGrid>
        <w:gridCol w:w="2701"/>
        <w:gridCol w:w="146"/>
        <w:gridCol w:w="211"/>
        <w:gridCol w:w="781"/>
        <w:gridCol w:w="301"/>
        <w:gridCol w:w="146"/>
        <w:gridCol w:w="211"/>
        <w:gridCol w:w="781"/>
        <w:gridCol w:w="301"/>
        <w:gridCol w:w="146"/>
        <w:gridCol w:w="211"/>
        <w:gridCol w:w="781"/>
        <w:gridCol w:w="301"/>
        <w:gridCol w:w="146"/>
        <w:gridCol w:w="211"/>
        <w:gridCol w:w="781"/>
        <w:gridCol w:w="41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Adjusted EBITDA </w:t>
            </w:r>
            <w:r>
              <w:rPr>
                <w:rFonts w:ascii="Times New Roman;serif" w:hAnsi="Times New Roman;serif"/>
                <w:b w:val="false"/>
                <w:sz w:val="13"/>
              </w:rPr>
              <w:t>(1)</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52,324</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52,954</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96,980</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99,773</w:t>
            </w:r>
          </w:p>
        </w:tc>
        <w:tc>
          <w:tcPr>
            <w:tcW w:w="416" w:type="dxa"/>
            <w:tcBorders/>
            <w:vAlign w:val="center"/>
          </w:tcPr>
          <w:p>
            <w:pPr>
              <w:pStyle w:val="TableContents"/>
              <w:bidi w:val="0"/>
              <w:spacing w:before="0" w:after="0"/>
              <w:ind w:left="0" w:right="0" w:firstLine="100"/>
              <w:jc w:val="left"/>
              <w:rPr/>
            </w:pPr>
            <w:r>
              <w:rPr/>
              <w:t> </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3,647</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7,551</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14,661</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55,971</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60,834</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104,531</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114,434</w:t>
            </w:r>
          </w:p>
        </w:tc>
        <w:tc>
          <w:tcPr>
            <w:tcW w:w="4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hanging="0"/>
              <w:jc w:val="righ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162,682</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170,591</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314,738</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330,679</w:t>
            </w:r>
          </w:p>
        </w:tc>
        <w:tc>
          <w:tcPr>
            <w:tcW w:w="416" w:type="dxa"/>
            <w:tcBorders/>
            <w:vAlign w:val="center"/>
          </w:tcPr>
          <w:p>
            <w:pPr>
              <w:pStyle w:val="TableContents"/>
              <w:bidi w:val="0"/>
              <w:spacing w:before="0" w:after="0"/>
              <w:ind w:left="0" w:right="0" w:firstLine="100"/>
              <w:jc w:val="left"/>
              <w:rPr/>
            </w:pPr>
            <w:r>
              <w:rPr/>
              <w:t> </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24,113</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33,044</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48,961</w:t>
            </w:r>
          </w:p>
        </w:tc>
        <w:tc>
          <w:tcPr>
            <w:tcW w:w="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64,785</w:t>
            </w:r>
          </w:p>
        </w:tc>
        <w:tc>
          <w:tcPr>
            <w:tcW w:w="416" w:type="dxa"/>
            <w:tcBorders/>
            <w:vAlign w:val="center"/>
          </w:tcPr>
          <w:p>
            <w:pPr>
              <w:pStyle w:val="TableContents"/>
              <w:bidi w:val="0"/>
              <w:spacing w:before="0" w:after="0"/>
              <w:ind w:left="0" w:right="0" w:firstLine="100"/>
              <w:jc w:val="left"/>
              <w:rPr/>
            </w:pPr>
            <w:r>
              <w:rPr/>
              <w:t> </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intersegment eliminations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(2,864</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185,315</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201,561</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360,835</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391,442</w:t>
            </w:r>
          </w:p>
        </w:tc>
        <w:tc>
          <w:tcPr>
            <w:tcW w:w="41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01"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hanging="0"/>
              <w:jc w:val="righ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Margin</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30.2</w:t>
            </w:r>
          </w:p>
        </w:tc>
        <w:tc>
          <w:tcPr>
            <w:tcW w:w="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30.2</w:t>
            </w:r>
          </w:p>
        </w:tc>
        <w:tc>
          <w:tcPr>
            <w:tcW w:w="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29.0</w:t>
            </w:r>
          </w:p>
        </w:tc>
        <w:tc>
          <w:tcPr>
            <w:tcW w:w="30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29.2</w:t>
            </w:r>
          </w:p>
        </w:tc>
        <w:tc>
          <w:tcPr>
            <w:tcW w:w="4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120" w:after="180"/>
        <w:jc w:val="left"/>
        <w:rPr>
          <w:rFonts w:ascii="Times New Roman" w:hAnsi="Times New Roman"/>
          <w:b w:val="false"/>
          <w:sz w:val="16"/>
        </w:rPr>
      </w:pPr>
      <w:r>
        <w:rPr>
          <w:rFonts w:ascii="Times New Roman" w:hAnsi="Times New Roman"/>
          <w:b w:val="false"/>
          <w:sz w:val="16"/>
        </w:rPr>
        <w:t>(1)</w:t>
      </w:r>
    </w:p>
    <w:p>
      <w:pPr>
        <w:pStyle w:val="TextBody"/>
        <w:bidi w:val="0"/>
        <w:spacing w:before="120" w:after="180"/>
        <w:jc w:val="left"/>
        <w:rPr>
          <w:rFonts w:ascii="Times New Roman;serif" w:hAnsi="Times New Roman;serif"/>
          <w:b w:val="false"/>
          <w:sz w:val="16"/>
        </w:rPr>
      </w:pPr>
      <w:r>
        <w:rPr>
          <w:rFonts w:ascii="Times New Roman;serif" w:hAnsi="Times New Roman;serif"/>
          <w:b w:val="false"/>
          <w:sz w:val="16"/>
        </w:rPr>
        <w:t xml:space="preserve">See the reconciliation of net income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left"/>
        <w:rPr>
          <w:rFonts w:ascii="Times New Roman;serif" w:hAnsi="Times New Roman;serif"/>
          <w:b/>
          <w:i/>
          <w:sz w:val="20"/>
        </w:rPr>
      </w:pPr>
      <w:r>
        <w:rPr>
          <w:rFonts w:ascii="Times New Roman;serif" w:hAnsi="Times New Roman;serif"/>
          <w:b/>
          <w:i/>
          <w:sz w:val="20"/>
        </w:rPr>
        <w:t>Adjusted Net Income and Adjusted Diluted Earnings Per Share</w:t>
      </w:r>
    </w:p>
    <w:p>
      <w:pPr>
        <w:pStyle w:val="TextBody"/>
        <w:bidi w:val="0"/>
        <w:spacing w:before="0" w:after="180"/>
        <w:jc w:val="left"/>
        <w:rPr>
          <w:rFonts w:ascii="Times New Roman" w:hAnsi="Times New Roman"/>
          <w:sz w:val="20"/>
        </w:rPr>
      </w:pPr>
      <w:r>
        <w:rPr>
          <w:rFonts w:ascii="Times New Roman;serif" w:hAnsi="Times New Roman;serif"/>
          <w:b w:val="false"/>
          <w:sz w:val="20"/>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Adjusted Net Income was $34.8 million for the three months ended June 30, 2023, compared to $38.0 million for the three months ended June 30, 2022. Adjusted Net Income for the three months ended June 30, 2023 decreased by $3.2 million, or 8.4%, compared to the three months ended June 30, 2022.</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Adjusted Diluted Earnings Per Share was $0.24 for the three months ended June 30, 2023 decreased by $0.01, or 4.0% compared to the three months ended June 30, 2022.</w:t>
      </w:r>
    </w:p>
    <w:p>
      <w:pPr>
        <w:pStyle w:val="TextBody"/>
        <w:bidi w:val="0"/>
        <w:spacing w:before="0" w:after="180"/>
        <w:jc w:val="left"/>
        <w:rPr>
          <w:rFonts w:ascii="Times New Roman" w:hAnsi="Times New Roman"/>
          <w:sz w:val="20"/>
        </w:rPr>
      </w:pPr>
      <w:r>
        <w:rPr>
          <w:rFonts w:ascii="Times New Roman;serif" w:hAnsi="Times New Roman;serif"/>
          <w:b w:val="false"/>
          <w:sz w:val="20"/>
        </w:rPr>
        <w:t>Adjusted Net Income was $63.2 million for the six months ended June 30, 2023, compared to $71.5 million for the six months ended June 30, 2022. Adjusted Net Income for the six months ended June 30, 2023 decreased by $8.3 million, or 11.6%, compared to the six months ended June 30, 2022.</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Adjusted Diluted Earnings Per Share was $0.43 for the six months ended June 30, 2023 decreased by $0.04, or 8.5% compared to the six months ended June 30, 2022.</w:t>
      </w:r>
    </w:p>
    <w:p>
      <w:pPr>
        <w:pStyle w:val="TextBody"/>
        <w:bidi w:val="0"/>
        <w:spacing w:before="0" w:after="180"/>
        <w:jc w:val="left"/>
        <w:rPr>
          <w:rFonts w:ascii="Times New Roman" w:hAnsi="Times New Roman"/>
          <w:sz w:val="20"/>
        </w:rPr>
      </w:pPr>
      <w:r>
        <w:rPr>
          <w:rFonts w:ascii="Times New Roman;serif" w:hAnsi="Times New Roman;serif"/>
          <w:b w:val="false"/>
          <w:sz w:val="20"/>
        </w:rPr>
        <w:t>Adjusted Net Income and Adjusted Diluted Earnings Per Share declined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tables present a reconciliation of Adjusted Net Income for the periods presented.</w:t>
      </w:r>
    </w:p>
    <w:tbl>
      <w:tblPr>
        <w:tblW w:w="9352" w:type="dxa"/>
        <w:jc w:val="left"/>
        <w:tblInd w:w="0" w:type="dxa"/>
        <w:tblLayout w:type="fixed"/>
        <w:tblCellMar>
          <w:top w:w="28" w:type="dxa"/>
          <w:left w:w="28" w:type="dxa"/>
          <w:bottom w:w="28" w:type="dxa"/>
          <w:right w:w="28" w:type="dxa"/>
        </w:tblCellMar>
      </w:tblPr>
      <w:tblGrid>
        <w:gridCol w:w="4351"/>
        <w:gridCol w:w="146"/>
        <w:gridCol w:w="231"/>
        <w:gridCol w:w="741"/>
        <w:gridCol w:w="160"/>
        <w:gridCol w:w="160"/>
        <w:gridCol w:w="231"/>
        <w:gridCol w:w="741"/>
        <w:gridCol w:w="166"/>
        <w:gridCol w:w="146"/>
        <w:gridCol w:w="211"/>
        <w:gridCol w:w="677"/>
        <w:gridCol w:w="146"/>
        <w:gridCol w:w="146"/>
        <w:gridCol w:w="211"/>
        <w:gridCol w:w="677"/>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27,249</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3,968</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provision for income taxes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37,616</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Debt-related charges</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Acquisition-related depreciation and amortization</w:t>
            </w:r>
            <w:r>
              <w:rPr>
                <w:rFonts w:ascii="Times New Roman;serif" w:hAnsi="Times New Roman;serif"/>
                <w:b w:val="false"/>
                <w:sz w:val="13"/>
              </w:rPr>
              <w:t>(b)</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25,470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58,144</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Transaction and acquisition-related charges</w:t>
            </w:r>
            <w:r>
              <w:rPr>
                <w:rFonts w:ascii="Times New Roman;serif" w:hAnsi="Times New Roman;serif"/>
                <w:b w:val="false"/>
                <w:sz w:val="13"/>
              </w:rPr>
              <w:t>(c)</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2,677</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(d)</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Net Income before income tax effect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45,531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95,391</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Less: Income tax effect</w:t>
            </w:r>
            <w:r>
              <w:rPr>
                <w:rFonts w:ascii="Times New Roman;serif" w:hAnsi="Times New Roman;serif"/>
                <w:b w:val="false"/>
                <w:sz w:val="13"/>
              </w:rPr>
              <w:t>(e)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10,705</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23,888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Net Income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34,826</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38,006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63,190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71,503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left"/>
        <w:rPr>
          <w:rFonts w:ascii="Times New Roman;serif" w:hAnsi="Times New Roman;serif"/>
          <w:b w:val="false"/>
          <w:sz w:val="20"/>
        </w:rPr>
      </w:pPr>
      <w:r>
        <w:rPr>
          <w:rFonts w:ascii="Times New Roman;serif" w:hAnsi="Times New Roman;serif"/>
          <w:b w:val="false"/>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2724"/>
        <w:gridCol w:w="146"/>
        <w:gridCol w:w="211"/>
        <w:gridCol w:w="1141"/>
        <w:gridCol w:w="166"/>
        <w:gridCol w:w="146"/>
        <w:gridCol w:w="211"/>
        <w:gridCol w:w="1141"/>
        <w:gridCol w:w="546"/>
        <w:gridCol w:w="146"/>
        <w:gridCol w:w="211"/>
        <w:gridCol w:w="1141"/>
        <w:gridCol w:w="166"/>
        <w:gridCol w:w="146"/>
        <w:gridCol w:w="211"/>
        <w:gridCol w:w="1141"/>
        <w:gridCol w:w="611"/>
      </w:tblGrid>
      <w:tr>
        <w:trPr/>
        <w:tc>
          <w:tcPr>
            <w:tcW w:w="2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per share (GAAP)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611" w:type="dxa"/>
            <w:tcBorders/>
            <w:vAlign w:val="center"/>
          </w:tcPr>
          <w:p>
            <w:pPr>
              <w:pStyle w:val="TableContents"/>
              <w:bidi w:val="0"/>
              <w:spacing w:before="0" w:after="0"/>
              <w:ind w:left="0" w:right="0" w:hanging="0"/>
              <w:jc w:val="left"/>
              <w:rPr/>
            </w:pPr>
            <w:r>
              <w:rPr/>
              <w:t> </w:t>
            </w:r>
          </w:p>
        </w:tc>
      </w:tr>
      <w:tr>
        <w:trPr/>
        <w:tc>
          <w:tcPr>
            <w:tcW w:w="272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Adjusted Net Income adjustments per share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7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611" w:type="dxa"/>
            <w:tcBorders/>
            <w:vAlign w:val="center"/>
          </w:tcPr>
          <w:p>
            <w:pPr>
              <w:pStyle w:val="TableContents"/>
              <w:bidi w:val="0"/>
              <w:spacing w:before="0" w:after="0"/>
              <w:ind w:left="0" w:right="0" w:firstLine="200"/>
              <w:jc w:val="left"/>
              <w:rPr/>
            </w:pPr>
            <w:r>
              <w:rPr/>
              <w:t> </w:t>
            </w:r>
          </w:p>
        </w:tc>
      </w:tr>
      <w:tr>
        <w:trPr/>
        <w:tc>
          <w:tcPr>
            <w:tcW w:w="2724" w:type="dxa"/>
            <w:tcBorders/>
            <w:vAlign w:val="center"/>
          </w:tcPr>
          <w:p>
            <w:pPr>
              <w:pStyle w:val="TableContents"/>
              <w:bidi w:val="0"/>
              <w:spacing w:before="0" w:after="0"/>
              <w:ind w:left="0" w:right="0" w:firstLine="200"/>
              <w:jc w:val="left"/>
              <w:rPr>
                <w:rFonts w:ascii="Times New Roman" w:hAnsi="Times New Roman"/>
                <w:sz w:val="20"/>
              </w:rPr>
            </w:pPr>
            <w:r>
              <w:rPr>
                <w:rFonts w:ascii="Times New Roman;serif" w:hAnsi="Times New Roman;serif"/>
                <w:b w:val="false"/>
                <w:sz w:val="20"/>
              </w:rPr>
              <w:t xml:space="preserve">Debt-related charges </w:t>
            </w:r>
            <w:r>
              <w:rPr>
                <w:rFonts w:ascii="Times New Roman;serif" w:hAnsi="Times New Roman;serif"/>
                <w:b w:val="false"/>
                <w:sz w:val="13"/>
              </w:rPr>
              <w:t>(a)</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24" w:type="dxa"/>
            <w:tcBorders/>
            <w:vAlign w:val="center"/>
          </w:tcPr>
          <w:p>
            <w:pPr>
              <w:pStyle w:val="TableContents"/>
              <w:bidi w:val="0"/>
              <w:spacing w:before="0" w:after="0"/>
              <w:ind w:left="0" w:right="0" w:firstLine="200"/>
              <w:jc w:val="left"/>
              <w:rPr>
                <w:rFonts w:ascii="Times New Roman" w:hAnsi="Times New Roman"/>
                <w:sz w:val="20"/>
              </w:rPr>
            </w:pPr>
            <w:r>
              <w:rPr>
                <w:rFonts w:ascii="Times New Roman;serif" w:hAnsi="Times New Roman;serif"/>
                <w:b w:val="false"/>
                <w:sz w:val="20"/>
              </w:rPr>
              <w:t xml:space="preserve">Acquisition-related depreciation and amortization </w:t>
            </w:r>
            <w:r>
              <w:rPr>
                <w:rFonts w:ascii="Times New Roman;serif" w:hAnsi="Times New Roman;serif"/>
                <w:b w:val="false"/>
                <w:sz w:val="13"/>
              </w:rPr>
              <w:t>(b)</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0.38</w:t>
            </w:r>
          </w:p>
        </w:tc>
        <w:tc>
          <w:tcPr>
            <w:tcW w:w="611" w:type="dxa"/>
            <w:tcBorders/>
            <w:vAlign w:val="center"/>
          </w:tcPr>
          <w:p>
            <w:pPr>
              <w:pStyle w:val="TableContents"/>
              <w:bidi w:val="0"/>
              <w:spacing w:before="0" w:after="0"/>
              <w:ind w:left="0" w:right="0" w:firstLine="200"/>
              <w:jc w:val="left"/>
              <w:rPr/>
            </w:pPr>
            <w:r>
              <w:rPr/>
              <w:t> </w:t>
            </w:r>
          </w:p>
        </w:tc>
      </w:tr>
      <w:tr>
        <w:trPr/>
        <w:tc>
          <w:tcPr>
            <w:tcW w:w="27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611" w:type="dxa"/>
            <w:tcBorders/>
            <w:vAlign w:val="center"/>
          </w:tcPr>
          <w:p>
            <w:pPr>
              <w:pStyle w:val="TableContents"/>
              <w:bidi w:val="0"/>
              <w:spacing w:before="0" w:after="0"/>
              <w:ind w:left="0" w:right="0" w:firstLine="200"/>
              <w:jc w:val="left"/>
              <w:rPr/>
            </w:pPr>
            <w:r>
              <w:rPr/>
              <w:t> </w:t>
            </w:r>
          </w:p>
        </w:tc>
      </w:tr>
      <w:tr>
        <w:trPr/>
        <w:tc>
          <w:tcPr>
            <w:tcW w:w="2724" w:type="dxa"/>
            <w:tcBorders/>
            <w:vAlign w:val="center"/>
          </w:tcPr>
          <w:p>
            <w:pPr>
              <w:pStyle w:val="TableContents"/>
              <w:bidi w:val="0"/>
              <w:spacing w:before="0" w:after="0"/>
              <w:ind w:left="0" w:right="0" w:firstLine="200"/>
              <w:jc w:val="left"/>
              <w:rPr>
                <w:rFonts w:ascii="Times New Roman" w:hAnsi="Times New Roman"/>
                <w:sz w:val="20"/>
              </w:rPr>
            </w:pPr>
            <w:r>
              <w:rPr>
                <w:rFonts w:ascii="Times New Roman;serif" w:hAnsi="Times New Roman;serif"/>
                <w:b w:val="false"/>
                <w:sz w:val="20"/>
              </w:rPr>
              <w:t xml:space="preserve">Transaction and acquisition related charges </w:t>
            </w:r>
            <w:r>
              <w:rPr>
                <w:rFonts w:ascii="Times New Roman;serif" w:hAnsi="Times New Roman;serif"/>
                <w:b w:val="false"/>
                <w:sz w:val="13"/>
              </w:rPr>
              <w:t>(c)</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611" w:type="dxa"/>
            <w:tcBorders/>
            <w:vAlign w:val="center"/>
          </w:tcPr>
          <w:p>
            <w:pPr>
              <w:pStyle w:val="TableContents"/>
              <w:bidi w:val="0"/>
              <w:spacing w:before="0" w:after="0"/>
              <w:ind w:left="0" w:right="0" w:firstLine="200"/>
              <w:jc w:val="left"/>
              <w:rPr/>
            </w:pPr>
            <w:r>
              <w:rPr/>
              <w:t> </w:t>
            </w:r>
          </w:p>
        </w:tc>
      </w:tr>
      <w:tr>
        <w:trPr/>
        <w:tc>
          <w:tcPr>
            <w:tcW w:w="2724" w:type="dxa"/>
            <w:tcBorders/>
            <w:vAlign w:val="center"/>
          </w:tcPr>
          <w:p>
            <w:pPr>
              <w:pStyle w:val="TableContents"/>
              <w:bidi w:val="0"/>
              <w:spacing w:before="0" w:after="0"/>
              <w:ind w:left="0" w:right="0" w:firstLine="200"/>
              <w:jc w:val="left"/>
              <w:rPr>
                <w:rFonts w:ascii="Times New Roman" w:hAnsi="Times New Roman"/>
                <w:sz w:val="20"/>
              </w:rPr>
            </w:pPr>
            <w:r>
              <w:rPr>
                <w:rFonts w:ascii="Times New Roman;serif" w:hAnsi="Times New Roman;serif"/>
                <w:b w:val="false"/>
                <w:sz w:val="20"/>
              </w:rPr>
              <w:t xml:space="preserve">Integration, restructuring, and other charges </w:t>
            </w:r>
            <w:r>
              <w:rPr>
                <w:rFonts w:ascii="Times New Roman;serif" w:hAnsi="Times New Roman;serif"/>
                <w:b w:val="false"/>
                <w:sz w:val="13"/>
              </w:rPr>
              <w:t>(d)</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24" w:type="dxa"/>
            <w:tcBorders/>
            <w:vAlign w:val="center"/>
          </w:tcPr>
          <w:p>
            <w:pPr>
              <w:pStyle w:val="TableContents"/>
              <w:bidi w:val="0"/>
              <w:spacing w:before="0" w:after="0"/>
              <w:ind w:left="0" w:right="0" w:firstLine="200"/>
              <w:jc w:val="left"/>
              <w:rPr>
                <w:rFonts w:ascii="Times New Roman" w:hAnsi="Times New Roman"/>
                <w:sz w:val="20"/>
              </w:rPr>
            </w:pPr>
            <w:r>
              <w:rPr>
                <w:rFonts w:ascii="Times New Roman;serif" w:hAnsi="Times New Roman;serif"/>
                <w:b w:val="false"/>
                <w:sz w:val="20"/>
              </w:rPr>
              <w:t xml:space="preserve">Adjusted income taxes </w:t>
            </w:r>
            <w:r>
              <w:rPr>
                <w:rFonts w:ascii="Times New Roman;serif" w:hAnsi="Times New Roman;serif"/>
                <w:b w:val="false"/>
                <w:sz w:val="13"/>
              </w:rPr>
              <w:t>(e)</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24" w:type="dxa"/>
            <w:tcBorders/>
            <w:vAlign w:val="center"/>
          </w:tcPr>
          <w:p>
            <w:pPr>
              <w:pStyle w:val="TableContents"/>
              <w:bidi w:val="0"/>
              <w:spacing w:before="0" w:after="0"/>
              <w:ind w:left="0" w:right="0" w:firstLine="400"/>
              <w:jc w:val="left"/>
              <w:rPr>
                <w:rFonts w:ascii="Times New Roman;serif" w:hAnsi="Times New Roman;serif"/>
                <w:b/>
                <w:sz w:val="20"/>
              </w:rPr>
            </w:pPr>
            <w:r>
              <w:rPr>
                <w:rFonts w:ascii="Times New Roman;serif" w:hAnsi="Times New Roman;serif"/>
                <w:b/>
                <w:sz w:val="20"/>
              </w:rPr>
              <w:t>Adjusted Diluted Earnings Per Share (Non-GAAP)</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0.25</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4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0.43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0.47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27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used in computation of Adjusted Diluted Earnings Per Share: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27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Weighted average number of shares outstanding—diluted (GAAP and Non-GAAP)</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145,338,920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152,360,350</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146,894,790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152,361,788</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16"/>
        </w:rPr>
      </w:pPr>
      <w:r>
        <w:rPr>
          <w:rFonts w:ascii="Times New Roman" w:hAnsi="Times New Roman"/>
          <w:b w:val="false"/>
          <w:sz w:val="16"/>
        </w:rPr>
        <w:t>(a)</w:t>
      </w:r>
    </w:p>
    <w:p>
      <w:pPr>
        <w:pStyle w:val="TextBody"/>
        <w:bidi w:val="0"/>
        <w:spacing w:before="120" w:after="0"/>
        <w:jc w:val="left"/>
        <w:rPr>
          <w:rFonts w:ascii="Times New Roman;serif" w:hAnsi="Times New Roman;serif"/>
          <w:b w:val="false"/>
          <w:sz w:val="16"/>
        </w:rPr>
      </w:pPr>
      <w:r>
        <w:rPr>
          <w:rFonts w:ascii="Times New Roman;serif" w:hAnsi="Times New Roman;serif"/>
          <w:b w:val="false"/>
          <w:sz w:val="16"/>
        </w:rPr>
        <w:t>Represents non-cash interest expense related to the amortization of debt issuance costs for the Company’s First Lien Credit Facility (as defined below). Beginning in 2022, this adjustment also includes the impact of the change in fair value of interest rate swaps. This adjustment, which represents the difference between the fair value gains or losses and actual cash payments and receipts on the interest rate swaps, was added as a result of the increased interest rate volatility observed in 2022.</w:t>
      </w:r>
    </w:p>
    <w:p>
      <w:pPr>
        <w:pStyle w:val="TextBody"/>
        <w:bidi w:val="0"/>
        <w:spacing w:before="0" w:after="0"/>
        <w:jc w:val="left"/>
        <w:rPr>
          <w:rFonts w:ascii="Times New Roman" w:hAnsi="Times New Roman"/>
          <w:b w:val="false"/>
          <w:sz w:val="16"/>
        </w:rPr>
      </w:pPr>
      <w:r>
        <w:rPr>
          <w:rFonts w:ascii="Times New Roman" w:hAnsi="Times New Roman"/>
          <w:b w:val="false"/>
          <w:sz w:val="16"/>
        </w:rPr>
        <w:t>(b)</w:t>
      </w:r>
    </w:p>
    <w:p>
      <w:pPr>
        <w:pStyle w:val="TextBody"/>
        <w:bidi w:val="0"/>
        <w:spacing w:before="0" w:after="0"/>
        <w:jc w:val="left"/>
        <w:rPr/>
      </w:pPr>
      <w:r>
        <w:rPr>
          <w:rFonts w:ascii="Times New Roman;serif" w:hAnsi="Times New Roman;serif"/>
          <w:b w:val="false"/>
          <w:sz w:val="16"/>
        </w:rPr>
        <w:t xml:space="preserve">Represents the depreciation and amortization expense related to intangible assets and developed technology assets recorded due to the application of ASC 805, </w:t>
      </w:r>
      <w:r>
        <w:rPr>
          <w:rFonts w:ascii="Times New Roman;serif" w:hAnsi="Times New Roman;serif"/>
          <w:b w:val="false"/>
          <w:i/>
          <w:sz w:val="16"/>
        </w:rPr>
        <w:t>Business Combinations</w:t>
      </w:r>
      <w:r>
        <w:rPr>
          <w:rFonts w:ascii="Times New Roman;serif" w:hAnsi="Times New Roman;serif"/>
          <w:b w:val="false"/>
          <w:sz w:val="16"/>
        </w:rPr>
        <w:t>. 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b w:val="false"/>
          <w:sz w:val="16"/>
        </w:rPr>
      </w:pPr>
      <w:r>
        <w:rPr>
          <w:rFonts w:ascii="Times New Roman" w:hAnsi="Times New Roman"/>
          <w:b w:val="false"/>
          <w:sz w:val="16"/>
        </w:rPr>
        <w:t>(c)</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six months ended June 30, 2023 and 2022 include a transaction bonus expense related to one of the Company’s 2021 acquisitions.</w:t>
      </w:r>
    </w:p>
    <w:p>
      <w:pPr>
        <w:pStyle w:val="TextBody"/>
        <w:bidi w:val="0"/>
        <w:spacing w:before="0" w:after="0"/>
        <w:jc w:val="left"/>
        <w:rPr>
          <w:rFonts w:ascii="Times New Roman" w:hAnsi="Times New Roman"/>
          <w:b w:val="false"/>
          <w:sz w:val="16"/>
        </w:rPr>
      </w:pPr>
      <w:r>
        <w:rPr>
          <w:rFonts w:ascii="Times New Roman" w:hAnsi="Times New Roman"/>
          <w:b w:val="false"/>
          <w:sz w:val="16"/>
        </w:rPr>
        <w:t>(d)</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Represents charges from organizational restructuring and integration activities, non-cash, and other charges primarily related to nonrecurring legal exposures, foreign currency (gains) losses, and (gains) losses on the sale of assets.</w:t>
      </w:r>
    </w:p>
    <w:p>
      <w:pPr>
        <w:pStyle w:val="TextBody"/>
        <w:bidi w:val="0"/>
        <w:spacing w:before="0" w:after="180"/>
        <w:jc w:val="left"/>
        <w:rPr>
          <w:rFonts w:ascii="Times New Roman" w:hAnsi="Times New Roman"/>
          <w:b w:val="false"/>
          <w:sz w:val="16"/>
        </w:rPr>
      </w:pPr>
      <w:r>
        <w:rPr>
          <w:rFonts w:ascii="Times New Roman" w:hAnsi="Times New Roman"/>
          <w:b w:val="false"/>
          <w:sz w:val="16"/>
        </w:rPr>
        <w:t>(e)</w:t>
      </w:r>
    </w:p>
    <w:p>
      <w:pPr>
        <w:pStyle w:val="TextBody"/>
        <w:bidi w:val="0"/>
        <w:spacing w:before="0" w:after="180"/>
        <w:jc w:val="left"/>
        <w:rPr>
          <w:rFonts w:ascii="Times New Roman;serif" w:hAnsi="Times New Roman;serif"/>
          <w:b w:val="false"/>
          <w:sz w:val="16"/>
        </w:rPr>
      </w:pPr>
      <w:r>
        <w:rPr>
          <w:rFonts w:ascii="Times New Roman;serif" w:hAnsi="Times New Roman;serif"/>
          <w:b w:val="false"/>
          <w:sz w:val="16"/>
        </w:rPr>
        <w:t>Effective tax rates of approximately 23.5% and 24.3% have been used to compute Adjusted Net Income and Adjusted Diluted Earnings Per Share for the three and six months ended June 30, 2023, respectively. Effective tax rates of approximately 25.0% have been used to compute Adjusted Net Income and Adjusted Diluted Earnings Per Share for the three and six months ended June 30, 2022. As of December 31, 2022, we had net operating loss carryforwards of approximately $11.0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rates shown above.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i/>
          <w:sz w:val="20"/>
        </w:rPr>
        <w:t>Liquidity</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The Company’s primary liquidity requirements are for working capital, continued investments in software development and other capital expenditures, and other strategic investments. In the second quarter of 2023 the Company fully utilized its remaining U.S. Federal income tax net operating loss carryforwards. As a result, income taxes will become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As of June 30, 2023, we had $399.1 million in cash and cash equivalents and $100.0 million available under our revolving credit facility. As of June 30, 2023,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2022.</w:t>
      </w:r>
    </w:p>
    <w:p>
      <w:pPr>
        <w:pStyle w:val="TextBody"/>
        <w:bidi w:val="0"/>
        <w:spacing w:before="0" w:after="180"/>
        <w:jc w:val="left"/>
        <w:rPr>
          <w:rFonts w:ascii="Times New Roman" w:hAnsi="Times New Roman"/>
          <w:sz w:val="20"/>
        </w:rPr>
      </w:pPr>
      <w:r>
        <w:rPr>
          <w:rFonts w:ascii="Times New Roman;serif" w:hAnsi="Times New Roman;serif"/>
          <w:b/>
          <w:i/>
          <w:sz w:val="20"/>
        </w:rPr>
        <w:t>Share Repurchase Program</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Through August 3, 2023, the Company repurchased approximately $114.5 million of shares under the Repurchase Program.</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serif" w:hAnsi="Times New Roman;serif"/>
          <w:b/>
          <w:i/>
          <w:sz w:val="20"/>
        </w:rPr>
      </w:pPr>
      <w:r>
        <w:rPr>
          <w:rFonts w:ascii="Times New Roman;serif" w:hAnsi="Times New Roman;serif"/>
          <w:b/>
          <w:i/>
          <w:sz w:val="20"/>
        </w:rPr>
        <w:t>Dividends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On August 8, 2023, the Company’s Board of Directors declared a one-time special cash dividend of $1.50 per share to stockholders of record at the close of business on August 21, 2023. The cash dividend is expected to be paid on August 31, 2023.</w:t>
      </w:r>
    </w:p>
    <w:p>
      <w:pPr>
        <w:pStyle w:val="TextBody"/>
        <w:bidi w:val="0"/>
        <w:spacing w:before="0" w:after="180"/>
        <w:jc w:val="left"/>
        <w:rPr>
          <w:rFonts w:ascii="Times New Roman" w:hAnsi="Times New Roman"/>
          <w:sz w:val="20"/>
        </w:rPr>
      </w:pPr>
      <w:r>
        <w:rPr>
          <w:rFonts w:ascii="Times New Roman;serif" w:hAnsi="Times New Roman;serif"/>
          <w:b/>
          <w:i/>
          <w:sz w:val="20"/>
        </w:rPr>
        <w:t>Long-Term Debt</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 February 2020, a new financing structure was established consisting of a new First Lien Credit Agreement (“First Lien Agreement”). The First Lien Agreement provided financing in the form of a $670.0 million term loan due January 31, 2027 (“First Lien Credit Facility”) and a $75.0 million new revolving credit facility due January 31, 2025 (“Revolver”).</w:t>
      </w:r>
    </w:p>
    <w:p>
      <w:pPr>
        <w:pStyle w:val="TextBody"/>
        <w:bidi w:val="0"/>
        <w:spacing w:before="0" w:after="180"/>
        <w:jc w:val="left"/>
        <w:rPr>
          <w:rFonts w:ascii="Times New Roman" w:hAnsi="Times New Roman"/>
          <w:sz w:val="20"/>
        </w:rPr>
      </w:pPr>
      <w:r>
        <w:rPr>
          <w:rFonts w:ascii="Times New Roman;serif" w:hAnsi="Times New Roman;serif"/>
          <w:b w:val="false"/>
          <w:sz w:val="20"/>
        </w:rPr>
        <w:t>On February 1, 2021, we amended the First Lien Agreement to fund $100.0 million of additional first lien term loans and reduce the applicable margins by 0.25%.</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 connection with the IPO, the Company entered into an amendment to increase the borrowing capacity under the Revolver from $75.0 million to $100.0 million and extend the maturity date from January 31, 2025 to July 31, 2026.</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Borrowings under the First Lien Agreement bear interest at a rate per annum equal to an applicable margin plus, at our option, either (a) a base rate or (b) LIBOR, which is subject to a floor of 0.00% per annum. In June 2023, the Credit Agreement was amended to transition the reference rate from LIBOR to SOFR (the Secured Overnight Financing Rate as administered by the Federal Reserve Bank of New York), with the addition of an applicable margin.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First Lien Credit Facility amortizes in equal quarterly installments in aggregate annual amounts equal to 1.00% of the principal amount. The Revolver has no amortization. 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 w:hAnsi="Times New Roman"/>
          <w:sz w:val="20"/>
        </w:rPr>
      </w:pPr>
      <w:r>
        <w:rPr>
          <w:rFonts w:ascii="Times New Roman;serif" w:hAnsi="Times New Roman;serif"/>
          <w:b/>
          <w:sz w:val="20"/>
        </w:rPr>
        <w:t>Cash Flow Analysis</w:t>
      </w:r>
      <w:r>
        <w:rPr>
          <w:rFonts w:ascii="Times New Roman" w:hAnsi="Times New Roman"/>
          <w:sz w:val="20"/>
        </w:rPr>
        <w:t xml:space="preserve"> </w:t>
      </w:r>
    </w:p>
    <w:p>
      <w:pPr>
        <w:pStyle w:val="TextBody"/>
        <w:bidi w:val="0"/>
        <w:spacing w:before="0" w:after="180"/>
        <w:jc w:val="left"/>
        <w:rPr>
          <w:rFonts w:ascii="Times New Roman;serif" w:hAnsi="Times New Roman;serif"/>
          <w:b/>
          <w:i/>
          <w:sz w:val="20"/>
        </w:rPr>
      </w:pPr>
      <w:r>
        <w:rPr>
          <w:rFonts w:ascii="Times New Roman;serif" w:hAnsi="Times New Roman;serif"/>
          <w:b/>
          <w:i/>
          <w:sz w:val="20"/>
        </w:rPr>
        <w:t>Comparison of Cash Flows for the six months ended June 30, 2023 compared to the six months ended June 30, 2022</w:t>
      </w:r>
    </w:p>
    <w:p>
      <w:pPr>
        <w:pStyle w:val="TextBody"/>
        <w:bidi w:val="0"/>
        <w:spacing w:before="0" w:after="180"/>
        <w:jc w:val="left"/>
        <w:rPr>
          <w:rFonts w:ascii="Times New Roman" w:hAnsi="Times New Roman"/>
          <w:sz w:val="20"/>
        </w:rPr>
      </w:pPr>
      <w:r>
        <w:rPr>
          <w:rFonts w:ascii="Times New Roman;serif" w:hAnsi="Times New Roman;serif"/>
          <w:b w:val="false"/>
          <w:sz w:val="20"/>
        </w:rPr>
        <w:t>The following table is a summary of our cash flow activity for the periods presented:</w:t>
      </w:r>
      <w:r>
        <w:rPr>
          <w:rFonts w:ascii="Times New Roman" w:hAnsi="Times New Roman"/>
          <w:sz w:val="20"/>
        </w:rPr>
        <w:t xml:space="preserve"> </w:t>
      </w:r>
    </w:p>
    <w:tbl>
      <w:tblPr>
        <w:tblW w:w="6779"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96,412</w:t>
            </w:r>
          </w:p>
        </w:tc>
        <w:tc>
          <w:tcPr>
            <w:tcW w:w="21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left"/>
        <w:rPr>
          <w:rFonts w:ascii="Times New Roman" w:hAnsi="Times New Roman"/>
          <w:sz w:val="20"/>
        </w:rPr>
      </w:pPr>
      <w:r>
        <w:rPr>
          <w:rFonts w:ascii="Times New Roman;serif" w:hAnsi="Times New Roman;serif"/>
          <w:b w:val="false"/>
          <w:i/>
          <w:sz w:val="20"/>
        </w:rPr>
        <w:t>Cash Flows from Operating Activities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Net cash provided by operating activities was $71.7 million for the six months ended June 30, 2023, compared to $96.4 million for the six months ended June 30, 2022. Net cash provided by operating activities for the six months ended June 30, 2023 decreased by $24.7 million compared to the six months ended June 30, 2022. Cash flows from operating activities were impacted by the continuation of more modest hiring activity in the Americas and softness internationally resulting from the ongoing uncertainty from the economic environment that began to impact hiring demand in late 2022.</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i/>
          <w:sz w:val="20"/>
        </w:rPr>
        <w:t>Cash Flows from Investing Activities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Net cash used in investing activities was $13.3 million for the six months ended June 30, 2023, compared to $34.4 million for the six months ended June 30, 2022. Net cash used in investing activities for the six months ended June 30, 2023 decreased by $21.0 million compared to the six months ended June 30, 2022. The cash flows used in investing activities for the six months ended June 30, 2023 were driven primarily by capitalized software development costs, which increased in 2023 as the Company continued to make incremental investments in its technology platform. Cash flows used in investing activities for the six months ended June 30, 2022 were incrementally impacted by the $19.1 million acquisition of Form I-9 Compliance, net of cash acquired.</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i/>
          <w:sz w:val="20"/>
        </w:rPr>
        <w:t>Cash Flows from Financing Activities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Net cash (used in) provided by financing activities was $(51.0) million for the six months ended June 30, 2023, compared to $0.2 million for the six months ended June 30, 2022. Cash outflows from financing activities for the six months ended June 30, 2023 were primarily driven by shares repurchased under the Company’s Repurchase Program. During the six months ended June 30, 2023, 3,895,737 shares were repurchased under the program for a total cost of $52.3 million. These outflows were offset by cash inflows related to share-based compensation activity.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bookmarkStart w:id="10" w:name="item_3_quantitative_and_qualitative"/>
      <w:bookmarkEnd w:id="10"/>
      <w:r>
        <w:rPr>
          <w:rFonts w:ascii="Times New Roman;serif" w:hAnsi="Times New Roman;serif"/>
          <w:b/>
          <w:sz w:val="20"/>
        </w:rPr>
        <w:t>Item 3. Quantitative and Qualitative Disclosures About Market Risk</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As of June 30, 2023, no material change had occurred in our market risks, compared with the disclosure in our Annual Report on Form 10-K filed with the SEC on February 28, 2023.</w:t>
      </w:r>
    </w:p>
    <w:p>
      <w:pPr>
        <w:pStyle w:val="TextBody"/>
        <w:bidi w:val="0"/>
        <w:spacing w:before="360" w:after="180"/>
        <w:jc w:val="left"/>
        <w:rPr>
          <w:rFonts w:ascii="Times New Roman;serif" w:hAnsi="Times New Roman;serif"/>
          <w:b/>
          <w:sz w:val="20"/>
        </w:rPr>
      </w:pPr>
      <w:bookmarkStart w:id="11" w:name="item_4_controls_and_procedures"/>
      <w:bookmarkEnd w:id="11"/>
      <w:r>
        <w:rPr>
          <w:rFonts w:ascii="Times New Roman;serif" w:hAnsi="Times New Roman;serif"/>
          <w:b/>
          <w:sz w:val="20"/>
        </w:rPr>
        <w:t>Item 4. Controls and Procedures.</w:t>
      </w:r>
    </w:p>
    <w:p>
      <w:pPr>
        <w:pStyle w:val="TextBody"/>
        <w:bidi w:val="0"/>
        <w:spacing w:before="0" w:after="18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During the quarter covered by this report, there were no changes in our internal control over financial reporting that materially affected, or are reasonably likely to materially affect, our internal control over financial reporting.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center"/>
        <w:rPr>
          <w:rFonts w:ascii="Times New Roman;serif" w:hAnsi="Times New Roman;serif"/>
          <w:b/>
          <w:sz w:val="20"/>
        </w:rPr>
      </w:pPr>
      <w:bookmarkStart w:id="12" w:name="part_ii_other_information"/>
      <w:bookmarkEnd w:id="12"/>
      <w:r>
        <w:rPr>
          <w:rFonts w:ascii="Times New Roman;serif" w:hAnsi="Times New Roman;serif"/>
          <w:b/>
          <w:sz w:val="20"/>
        </w:rPr>
        <w:t>PART II—OTHER INFORMATION</w:t>
      </w:r>
    </w:p>
    <w:p>
      <w:pPr>
        <w:pStyle w:val="TextBody"/>
        <w:bidi w:val="0"/>
        <w:spacing w:before="360" w:after="18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Information in response to this Item is included in “Part I — Item 1. — Note 11 — Commitments and Contingencies” and is incorporated by reference into Part II of this Quarterly Report on Form 10-Q.</w:t>
      </w:r>
    </w:p>
    <w:p>
      <w:pPr>
        <w:pStyle w:val="TextBody"/>
        <w:bidi w:val="0"/>
        <w:spacing w:before="360" w:after="18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As of June 30, 2023, no material changes had occurred in our risk factors, compared with the disclosure in our Annual Report on Form 10-K filed with the SEC on February 28, 2023.</w:t>
      </w:r>
    </w:p>
    <w:p>
      <w:pPr>
        <w:pStyle w:val="TextBody"/>
        <w:bidi w:val="0"/>
        <w:spacing w:before="360" w:after="18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Use of Proceeds, and Issuer Purchases of Equity Securities.</w:t>
      </w:r>
    </w:p>
    <w:p>
      <w:pPr>
        <w:pStyle w:val="TextBody"/>
        <w:bidi w:val="0"/>
        <w:spacing w:before="0" w:after="180"/>
        <w:jc w:val="left"/>
        <w:rPr>
          <w:rFonts w:ascii="Times New Roman" w:hAnsi="Times New Roman"/>
          <w:sz w:val="20"/>
        </w:rPr>
      </w:pPr>
      <w:r>
        <w:rPr>
          <w:rFonts w:ascii="Times New Roman;serif" w:hAnsi="Times New Roman;serif"/>
          <w:b/>
          <w:sz w:val="20"/>
        </w:rPr>
        <w:t>Use of Proceeds</w:t>
      </w:r>
      <w:r>
        <w:rPr>
          <w:rFonts w:ascii="Times New Roman" w:hAnsi="Times New Roman"/>
          <w:sz w:val="20"/>
        </w:rPr>
        <w:t xml:space="preserve"> </w:t>
      </w:r>
    </w:p>
    <w:p>
      <w:pPr>
        <w:pStyle w:val="TextBody"/>
        <w:bidi w:val="0"/>
        <w:spacing w:before="0" w:after="180"/>
        <w:jc w:val="left"/>
        <w:rPr>
          <w:rFonts w:ascii="Times New Roman" w:hAnsi="Times New Roman"/>
          <w:sz w:val="20"/>
        </w:rPr>
      </w:pPr>
      <w:r>
        <w:rPr>
          <w:rFonts w:ascii="Times New Roman;serif" w:hAnsi="Times New Roman;serif"/>
          <w:b w:val="false"/>
          <w:sz w:val="20"/>
        </w:rPr>
        <w:t>On June 25, 2021, we completed our IPO. All shares sold were registered pursuant to a registration statement on Form S-1 (File No. 333-256622), declared effective by the SEC on June 22, 2021.</w:t>
      </w:r>
      <w:r>
        <w:rPr>
          <w:rFonts w:ascii="Times New Roman" w:hAnsi="Times New Roman"/>
          <w:sz w:val="20"/>
        </w:rPr>
        <w:t xml:space="preserve">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There has been no material change in the expected use of the net proceeds from our IPO as described in our Annual Report on Form 10-K filed with the SEC on February 28, 2023.</w:t>
      </w:r>
    </w:p>
    <w:p>
      <w:pPr>
        <w:pStyle w:val="TextBody"/>
        <w:bidi w:val="0"/>
        <w:spacing w:before="0" w:after="180"/>
        <w:jc w:val="left"/>
        <w:rPr>
          <w:rFonts w:ascii="Times New Roman;serif" w:hAnsi="Times New Roman;serif"/>
          <w:b/>
          <w:sz w:val="20"/>
        </w:rPr>
      </w:pPr>
      <w:r>
        <w:rPr>
          <w:rFonts w:ascii="Times New Roman;serif" w:hAnsi="Times New Roman;serif"/>
          <w:b/>
          <w:sz w:val="20"/>
        </w:rPr>
        <w:t>Issuer Purchases of Equity Securities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The following information relates to the Company’s purchase of its common stock during each month within the second quarter of 2023:</w:t>
      </w:r>
    </w:p>
    <w:tbl>
      <w:tblPr>
        <w:tblW w:w="10205" w:type="dxa"/>
        <w:jc w:val="left"/>
        <w:tblInd w:w="0" w:type="dxa"/>
        <w:tblLayout w:type="fixed"/>
        <w:tblCellMar>
          <w:top w:w="28" w:type="dxa"/>
          <w:left w:w="28" w:type="dxa"/>
          <w:bottom w:w="28" w:type="dxa"/>
          <w:right w:w="28" w:type="dxa"/>
        </w:tblCellMar>
      </w:tblPr>
      <w:tblGrid>
        <w:gridCol w:w="969"/>
        <w:gridCol w:w="146"/>
        <w:gridCol w:w="207"/>
        <w:gridCol w:w="1321"/>
        <w:gridCol w:w="146"/>
        <w:gridCol w:w="146"/>
        <w:gridCol w:w="256"/>
        <w:gridCol w:w="694"/>
        <w:gridCol w:w="146"/>
        <w:gridCol w:w="146"/>
        <w:gridCol w:w="350"/>
        <w:gridCol w:w="2234"/>
        <w:gridCol w:w="146"/>
        <w:gridCol w:w="146"/>
        <w:gridCol w:w="461"/>
        <w:gridCol w:w="2496"/>
        <w:gridCol w:w="195"/>
      </w:tblGrid>
      <w:tr>
        <w:trPr/>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Period</w:t>
            </w:r>
          </w:p>
        </w:tc>
        <w:tc>
          <w:tcPr>
            <w:tcW w:w="146" w:type="dxa"/>
            <w:tcBorders/>
            <w:vAlign w:val="center"/>
          </w:tcPr>
          <w:p>
            <w:pPr>
              <w:pStyle w:val="TableContents"/>
              <w:bidi w:val="0"/>
              <w:spacing w:before="0" w:after="0"/>
              <w:ind w:left="0" w:right="0" w:hanging="0"/>
              <w:jc w:val="left"/>
              <w:rPr/>
            </w:pPr>
            <w:r>
              <w:rPr/>
              <w:t> </w:t>
            </w:r>
          </w:p>
        </w:tc>
        <w:tc>
          <w:tcPr>
            <w:tcW w:w="15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Average Price </w:t>
              <w:br/>
              <w:t xml:space="preserve">Paid Per Share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Plans or 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Maximum Dollar Value of Shares that May Yet Be Purchased Under the Plans or Programs </w:t>
            </w:r>
            <w:r>
              <w:rPr>
                <w:rFonts w:ascii="Times New Roman;serif" w:hAnsi="Times New Roman;serif"/>
                <w:b/>
                <w:sz w:val="11"/>
              </w:rPr>
              <w:t>(2)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4/1/2023 - 4/30/2023</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22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105,543,489</w:t>
            </w:r>
          </w:p>
        </w:tc>
        <w:tc>
          <w:tcPr>
            <w:tcW w:w="195" w:type="dxa"/>
            <w:tcBorders/>
            <w:vAlign w:val="center"/>
          </w:tcPr>
          <w:p>
            <w:pPr>
              <w:pStyle w:val="TableContents"/>
              <w:bidi w:val="0"/>
              <w:spacing w:before="0" w:after="0"/>
              <w:ind w:left="0" w:right="0" w:hanging="0"/>
              <w:jc w:val="left"/>
              <w:rPr/>
            </w:pPr>
            <w:r>
              <w:rPr/>
              <w:t> </w:t>
            </w:r>
          </w:p>
        </w:tc>
      </w:tr>
      <w:tr>
        <w:trPr/>
        <w:tc>
          <w:tcPr>
            <w:tcW w:w="9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5/1/2023 - 5/31/2023</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22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96,828,280</w:t>
            </w:r>
          </w:p>
        </w:tc>
        <w:tc>
          <w:tcPr>
            <w:tcW w:w="195" w:type="dxa"/>
            <w:tcBorders/>
            <w:vAlign w:val="center"/>
          </w:tcPr>
          <w:p>
            <w:pPr>
              <w:pStyle w:val="TableContents"/>
              <w:bidi w:val="0"/>
              <w:spacing w:before="0" w:after="0"/>
              <w:ind w:left="0" w:right="0" w:hanging="0"/>
              <w:jc w:val="left"/>
              <w:rPr/>
            </w:pPr>
            <w:r>
              <w:rPr/>
              <w:t> </w:t>
            </w:r>
          </w:p>
        </w:tc>
      </w:tr>
      <w:tr>
        <w:trPr/>
        <w:tc>
          <w:tcPr>
            <w:tcW w:w="9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6/1/2023 - 6/30/2023</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691,905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691,905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87,134,769</w:t>
            </w:r>
          </w:p>
        </w:tc>
        <w:tc>
          <w:tcPr>
            <w:tcW w:w="195" w:type="dxa"/>
            <w:tcBorders/>
            <w:vAlign w:val="center"/>
          </w:tcPr>
          <w:p>
            <w:pPr>
              <w:pStyle w:val="TableContents"/>
              <w:bidi w:val="0"/>
              <w:spacing w:before="0" w:after="0"/>
              <w:ind w:left="0" w:right="0" w:hanging="0"/>
              <w:jc w:val="left"/>
              <w:rPr/>
            </w:pPr>
            <w:r>
              <w:rPr/>
              <w:t> </w:t>
            </w:r>
          </w:p>
        </w:tc>
      </w:tr>
      <w:tr>
        <w:trPr/>
        <w:tc>
          <w:tcPr>
            <w:tcW w:w="9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2,024,046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2,024,046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87,134,769</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16"/>
        </w:rPr>
      </w:pPr>
      <w:r>
        <w:rPr>
          <w:rFonts w:ascii="Times New Roman" w:hAnsi="Times New Roman"/>
          <w:b w:val="false"/>
          <w:sz w:val="16"/>
        </w:rPr>
        <w:t>(1)</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Average price paid per share for shares purchased as part of our Repurchase Program (includes brokerage commissions).</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On August 2, 2022, the Company’s Board of Directors authorized the repurchase of up to $50.0 million of the Company’s common stock over the 12-month period ending August 2, 2023 (the “Repurchase Program”).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Through August 3, 2023, the Company repurchased approximately $114.5 million of shares under the Repurchase Program.</w:t>
      </w:r>
    </w:p>
    <w:p>
      <w:pPr>
        <w:pStyle w:val="TextBody"/>
        <w:bidi w:val="0"/>
        <w:spacing w:before="0" w:after="0"/>
        <w:jc w:val="both"/>
        <w:rPr/>
      </w:pPr>
      <w:r>
        <w:rPr/>
        <w:t> </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18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0" w:after="18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180"/>
        <w:jc w:val="left"/>
        <w:rPr>
          <w:rFonts w:ascii="Times New Roman;serif" w:hAnsi="Times New Roman;serif"/>
          <w:b/>
          <w:sz w:val="20"/>
        </w:rPr>
      </w:pPr>
      <w:bookmarkStart w:id="18" w:name="item_5_other_information"/>
      <w:bookmarkEnd w:id="18"/>
      <w:r>
        <w:rPr>
          <w:rFonts w:ascii="Times New Roman;serif" w:hAnsi="Times New Roman;serif"/>
          <w:b/>
          <w:sz w:val="20"/>
        </w:rPr>
        <w:t>Item 5. Other Information.</w:t>
      </w:r>
    </w:p>
    <w:p>
      <w:pPr>
        <w:pStyle w:val="TextBody"/>
        <w:bidi w:val="0"/>
        <w:spacing w:before="180" w:after="180"/>
        <w:jc w:val="left"/>
        <w:rPr>
          <w:rFonts w:ascii="Times New Roman" w:hAnsi="Times New Roman"/>
          <w:sz w:val="20"/>
        </w:rPr>
      </w:pPr>
      <w:r>
        <w:rPr>
          <w:rFonts w:ascii="Times New Roman;serif" w:hAnsi="Times New Roman;serif"/>
          <w:b w:val="false"/>
          <w:sz w:val="20"/>
        </w:rPr>
        <w:t>During the three months ended June 30, 2023, none of our directors or officers (as defined in Rule 16a-1(f) of the Securities Exchange Act of 1934, as amended) adopted, terminated, or modified a Rule 10b5-1</w:t>
      </w:r>
      <w:r>
        <w:rPr>
          <w:rFonts w:ascii="Times New Roman" w:hAnsi="Times New Roman"/>
          <w:sz w:val="20"/>
        </w:rPr>
        <w:t xml:space="preserve"> </w:t>
      </w:r>
      <w:r>
        <w:rPr>
          <w:rFonts w:ascii="Times New Roman;serif" w:hAnsi="Times New Roman;serif"/>
          <w:b w:val="false"/>
          <w:sz w:val="20"/>
        </w:rPr>
        <w:t>trading arrangement or non-Rule 10b5-1</w:t>
      </w:r>
      <w:r>
        <w:rPr>
          <w:rFonts w:ascii="Times New Roman" w:hAnsi="Times New Roman"/>
          <w:sz w:val="20"/>
        </w:rPr>
        <w:t xml:space="preserve"> </w:t>
      </w:r>
      <w:r>
        <w:rPr>
          <w:rFonts w:ascii="Times New Roman;serif" w:hAnsi="Times New Roman;serif"/>
          <w:b w:val="false"/>
          <w:sz w:val="20"/>
        </w:rPr>
        <w:t>trading arrangement (as such terms are defined in Item 408 of Regulation S-K).</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8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tbl>
      <w:tblPr>
        <w:tblW w:w="10205" w:type="dxa"/>
        <w:jc w:val="left"/>
        <w:tblInd w:w="0" w:type="dxa"/>
        <w:tblLayout w:type="fixed"/>
        <w:tblCellMar>
          <w:top w:w="28" w:type="dxa"/>
          <w:left w:w="28" w:type="dxa"/>
          <w:bottom w:w="28" w:type="dxa"/>
          <w:right w:w="28" w:type="dxa"/>
        </w:tblCellMar>
      </w:tblPr>
      <w:tblGrid>
        <w:gridCol w:w="783"/>
        <w:gridCol w:w="146"/>
        <w:gridCol w:w="9276"/>
      </w:tblGrid>
      <w:tr>
        <w:trPr/>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Exhibit</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Description</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18"/>
                  <w:u w:val="single"/>
                </w:rPr>
                <w:t>Amended and Restated Certificate of Incorporation of First Advantage Corporation (incorporated herein by reference to Exhibit 3.1 of First Advantage’s Form 8-K filed on June 25, 2021).</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18"/>
                  <w:u w:val="single"/>
                </w:rPr>
                <w:t>Amended and Restated Bylaws of First Advantage Corporation (incorporated herein by reference to Exhibit 3.2 of First Advantage’s Form 8-K filed on June 25, 2021).</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8"/>
              </w:rPr>
              <w:t>10.1</w:t>
            </w: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10_1.htm">
              <w:r>
                <w:rPr>
                  <w:rStyle w:val="InternetLink"/>
                  <w:rFonts w:ascii="Times New Roman;serif" w:hAnsi="Times New Roman;serif"/>
                  <w:b w:val="false"/>
                  <w:sz w:val="18"/>
                  <w:u w:val="single"/>
                </w:rPr>
                <w:t>First Amendment to First Advantage Corporation 2021 Omnibus Incentive Plan</w:t>
              </w:r>
            </w:hyperlink>
            <w:r>
              <w:rPr>
                <w:rFonts w:ascii="Times New Roman;serif" w:hAnsi="Times New Roman;serif"/>
                <w:b w:val="false"/>
                <w:sz w:val="18"/>
              </w:rPr>
              <w: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8"/>
              </w:rPr>
              <w:t>10.2</w:t>
            </w: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10_2.htm">
              <w:r>
                <w:rPr>
                  <w:rStyle w:val="InternetLink"/>
                  <w:rFonts w:ascii="Times New Roman;serif" w:hAnsi="Times New Roman;serif"/>
                  <w:b w:val="false"/>
                  <w:sz w:val="18"/>
                  <w:u w:val="single"/>
                </w:rPr>
                <w:t>Form of Notice re Amendment to Performance Award Vesting for previously issued grants, dated May 10, 2023.</w:t>
              </w:r>
            </w:hyperlink>
            <w:hyperlink w:anchor="fa-ex10_2.htm">
              <w:r>
                <w:rPr>
                  <w:rStyle w:val="InternetLink"/>
                  <w:rFonts w:ascii="Times New Roman" w:hAnsi="Times New Roman"/>
                  <w:sz w:val="18"/>
                </w:rPr>
                <w:t xml:space="preserve"> </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10_3.htm">
              <w:r>
                <w:rPr>
                  <w:rStyle w:val="InternetLink"/>
                  <w:rFonts w:ascii="Times New Roman;serif" w:hAnsi="Times New Roman;serif"/>
                  <w:b w:val="false"/>
                  <w:sz w:val="18"/>
                  <w:u w:val="single"/>
                </w:rPr>
                <w:t>Amendment No. 3 to First Lien Credit Agreement, dated as of June 23, 2023, among First Advantage Holdings, LLC, the revolving lenders party thereto, and Bank of America, N.A. as administrative agent.</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31_1.htm">
              <w:r>
                <w:rPr>
                  <w:rStyle w:val="InternetLink"/>
                  <w:rFonts w:ascii="Times New Roman;serif" w:hAnsi="Times New Roman;serif"/>
                  <w:b w:val="false"/>
                  <w:sz w:val="18"/>
                  <w:u w:val="single"/>
                </w:rPr>
                <w:t>Certification of Principal Executive Officer Pursuant to Rules 13a-14(a) and 15d-14(a) under the Securities Exchange Act of 1934, as Adopted Pursuant to Section 302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31_2.htm">
              <w:r>
                <w:rPr>
                  <w:rStyle w:val="InternetLink"/>
                  <w:rFonts w:ascii="Times New Roman;serif" w:hAnsi="Times New Roman;serif"/>
                  <w:b w:val="false"/>
                  <w:sz w:val="18"/>
                  <w:u w:val="single"/>
                </w:rPr>
                <w:t>Certification of Principal Financial Officer Pursuant to Rules 13a-14(a) and 15d-14(a) under the Securities Exchange Act of 1934, as Adopted Pursuant to Section 302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32_1.htm">
              <w:r>
                <w:rPr>
                  <w:rStyle w:val="InternetLink"/>
                  <w:rFonts w:ascii="Times New Roman;serif" w:hAnsi="Times New Roman;serif"/>
                  <w:b w:val="false"/>
                  <w:sz w:val="18"/>
                  <w:u w:val="single"/>
                </w:rPr>
                <w:t>Certification of Principal Executive Officer Pursuant to 18 U.S.C. Section 1350, as Adopted Pursuant to Section 906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a-ex32_2.htm">
              <w:r>
                <w:rPr>
                  <w:rStyle w:val="InternetLink"/>
                  <w:rFonts w:ascii="Times New Roman;serif" w:hAnsi="Times New Roman;serif"/>
                  <w:b w:val="false"/>
                  <w:sz w:val="18"/>
                  <w:u w:val="single"/>
                </w:rPr>
                <w:t>Certification of Principal Financial Officer Pursuant to 18 U.S.C. Section 1350, as Adopted Pursuant to Section 906 of the Sarbanes-Oxley Act of 2002.</w:t>
              </w:r>
            </w:hyperlink>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Instance Document – the instance document does not appear in the Interactive Data File because XBRL tags are embedded within the Inline XBRL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Schema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Calculation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Definition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Label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Presentation Linkbase Document.</w:t>
            </w:r>
          </w:p>
        </w:tc>
      </w:tr>
      <w:tr>
        <w:trPr/>
        <w:tc>
          <w:tcPr>
            <w:tcW w:w="78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Cover Page Interactive Data File (formatted as inline XBRL and contained in the Exhibit 101 attachments).</w:t>
            </w:r>
          </w:p>
        </w:tc>
      </w:tr>
    </w:tbl>
    <w:p>
      <w:pPr>
        <w:pStyle w:val="TextBody"/>
        <w:pBdr>
          <w:bottom w:val="single" w:sz="4" w:space="1" w:color="000000"/>
        </w:pBdr>
        <w:bidi w:val="0"/>
        <w:spacing w:before="0" w:after="0"/>
        <w:jc w:val="left"/>
        <w:rPr/>
      </w:pPr>
      <w:r>
        <w:rPr/>
        <w:t> </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 Compensatory arrangements for director(s) and/or executive officer(s).</w:t>
      </w:r>
    </w:p>
    <w:p>
      <w:pPr>
        <w:pStyle w:val="TextBody"/>
        <w:bidi w:val="0"/>
        <w:spacing w:before="180" w:after="0"/>
        <w:jc w:val="left"/>
        <w:rPr>
          <w:rFonts w:ascii="Times New Roman;serif" w:hAnsi="Times New Roman;serif"/>
          <w:b w:val="false"/>
          <w:sz w:val="18"/>
        </w:rPr>
      </w:pPr>
      <w:r>
        <w:rPr>
          <w:rFonts w:ascii="Times New Roman;serif" w:hAnsi="Times New Roman;serif"/>
          <w:b w:val="false"/>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817" w:type="dxa"/>
        <w:jc w:val="left"/>
        <w:tblInd w:w="0" w:type="dxa"/>
        <w:tblLayout w:type="fixed"/>
        <w:tblCellMar>
          <w:top w:w="28" w:type="dxa"/>
          <w:left w:w="28" w:type="dxa"/>
          <w:bottom w:w="28" w:type="dxa"/>
          <w:right w:w="28" w:type="dxa"/>
        </w:tblCellMar>
      </w:tblPr>
      <w:tblGrid>
        <w:gridCol w:w="1846"/>
        <w:gridCol w:w="109"/>
        <w:gridCol w:w="406"/>
        <w:gridCol w:w="44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86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 ADVANTAGE CORPORATION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Staples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Scott Staples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L. Gamsey</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David L. Gamsey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&amp; 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71" w:after="0"/>
        <w:jc w:val="right"/>
        <w:rPr/>
      </w:pPr>
      <w:bookmarkStart w:id="21" w:name="fa-ex10_1.htm"/>
      <w:bookmarkStart w:id="22" w:name="ksfaex10_1"/>
      <w:bookmarkEnd w:id="21"/>
      <w:bookmarkEnd w:id="22"/>
      <w:r>
        <w:rPr/>
        <w:t> </w:t>
      </w:r>
      <w:r>
        <w:br w:type="page"/>
      </w:r>
    </w:p>
    <w:p>
      <w:pPr>
        <w:pStyle w:val="TextBody"/>
        <w:bidi w:val="0"/>
        <w:spacing w:before="71" w:after="0"/>
        <w:jc w:val="right"/>
        <w:rPr>
          <w:rFonts w:ascii="Times New Roman;serif" w:hAnsi="Times New Roman;serif"/>
          <w:b/>
          <w:sz w:val="20"/>
        </w:rPr>
      </w:pPr>
      <w:r>
        <w:rPr>
          <w:rFonts w:ascii="Times New Roman;serif" w:hAnsi="Times New Roman;serif"/>
          <w:b/>
          <w:sz w:val="20"/>
        </w:rPr>
        <w:t>Exhibit 10.1</w:t>
      </w:r>
    </w:p>
    <w:p>
      <w:pPr>
        <w:pStyle w:val="TextBody"/>
        <w:bidi w:val="0"/>
        <w:spacing w:before="71" w:after="0"/>
        <w:jc w:val="center"/>
        <w:rPr>
          <w:rFonts w:ascii="Times New Roman;serif" w:hAnsi="Times New Roman;serif"/>
          <w:b/>
          <w:sz w:val="22"/>
        </w:rPr>
      </w:pPr>
      <w:r>
        <w:rPr>
          <w:rFonts w:ascii="Times New Roman;serif" w:hAnsi="Times New Roman;serif"/>
          <w:b/>
          <w:sz w:val="22"/>
        </w:rPr>
        <w:t>FIRST AMENDMENT TO</w:t>
      </w:r>
    </w:p>
    <w:p>
      <w:pPr>
        <w:pStyle w:val="TextBody"/>
        <w:bidi w:val="0"/>
        <w:spacing w:before="1" w:after="0"/>
        <w:jc w:val="center"/>
        <w:rPr>
          <w:rFonts w:ascii="Times New Roman;serif" w:hAnsi="Times New Roman;serif"/>
          <w:b/>
          <w:sz w:val="22"/>
        </w:rPr>
      </w:pPr>
      <w:r>
        <w:rPr>
          <w:rFonts w:ascii="Times New Roman;serif" w:hAnsi="Times New Roman;serif"/>
          <w:b/>
          <w:sz w:val="22"/>
        </w:rPr>
        <w:t>FIRST ADVANTAGE CORPORATION 2021 OMNIBUS INCENTIVE PLAN</w:t>
      </w:r>
    </w:p>
    <w:p>
      <w:pPr>
        <w:pStyle w:val="TextBody"/>
        <w:bidi w:val="0"/>
        <w:spacing w:before="9"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THIS FIRST AMENDMENT TO the First Advantage 2021 Omnibus Incentive Plan (this “</w:t>
      </w:r>
      <w:r>
        <w:rPr>
          <w:rFonts w:ascii="Times New Roman;serif" w:hAnsi="Times New Roman;serif"/>
          <w:b w:val="false"/>
          <w:sz w:val="22"/>
          <w:u w:val="single"/>
        </w:rPr>
        <w:t>Amendment</w:t>
      </w:r>
      <w:r>
        <w:rPr>
          <w:rFonts w:ascii="Times New Roman" w:hAnsi="Times New Roman"/>
          <w:sz w:val="20"/>
        </w:rPr>
        <w:t>”</w:t>
      </w:r>
      <w:r>
        <w:rPr>
          <w:rFonts w:ascii="Times New Roman;serif" w:hAnsi="Times New Roman;serif"/>
          <w:b w:val="false"/>
          <w:sz w:val="22"/>
        </w:rPr>
        <w:t>), made as of May 10, 2023, is made and adopted by First Advantage Corporation, a Delaware corporation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Capitalized terms used but not otherwise defined herein shall have the respective meanings ascribed to them in the Plan (as defined below).</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WHEREAS, the Company maintains the First Advantage 2021 Omnibus Incentive Plan (the “</w:t>
      </w:r>
      <w:r>
        <w:rPr>
          <w:rFonts w:ascii="Times New Roman;serif" w:hAnsi="Times New Roman;serif"/>
          <w:b w:val="false"/>
          <w:sz w:val="22"/>
          <w:u w:val="single"/>
        </w:rPr>
        <w:t>Plan</w:t>
      </w:r>
      <w:r>
        <w:rPr>
          <w:rFonts w:ascii="Times New Roman" w:hAnsi="Times New Roman"/>
          <w:sz w:val="20"/>
        </w:rPr>
        <w:t>”</w:t>
      </w:r>
      <w:r>
        <w:rPr>
          <w:rFonts w:ascii="Times New Roman;serif" w:hAnsi="Times New Roman;serif"/>
          <w:b w:val="false"/>
          <w:sz w:val="22"/>
        </w:rPr>
        <w:t>);</w:t>
      </w:r>
    </w:p>
    <w:p>
      <w:pPr>
        <w:pStyle w:val="TextBody"/>
        <w:bidi w:val="0"/>
        <w:spacing w:before="10" w:after="0"/>
        <w:jc w:val="left"/>
        <w:rPr/>
      </w:pPr>
      <w:r>
        <w:rPr/>
        <w:t> </w:t>
      </w:r>
    </w:p>
    <w:p>
      <w:pPr>
        <w:pStyle w:val="TextBody"/>
        <w:bidi w:val="0"/>
        <w:spacing w:before="91" w:after="0"/>
        <w:jc w:val="left"/>
        <w:rPr>
          <w:rFonts w:ascii="Times New Roman" w:hAnsi="Times New Roman"/>
          <w:sz w:val="20"/>
        </w:rPr>
      </w:pPr>
      <w:r>
        <w:rPr>
          <w:rFonts w:ascii="Times New Roman;serif" w:hAnsi="Times New Roman;serif"/>
          <w:b w:val="false"/>
          <w:sz w:val="22"/>
        </w:rPr>
        <w:t>WHEREAS, pursuant to Section 13(a) of the Plan, the Plan may be amended from time to time by the Company’s Board of Directors (the “</w:t>
      </w:r>
      <w:r>
        <w:rPr>
          <w:rFonts w:ascii="Times New Roman;serif" w:hAnsi="Times New Roman;serif"/>
          <w:b w:val="false"/>
          <w:sz w:val="22"/>
          <w:u w:val="single"/>
        </w:rPr>
        <w:t>Board</w:t>
      </w:r>
      <w:r>
        <w:rPr>
          <w:rFonts w:ascii="Times New Roman" w:hAnsi="Times New Roman"/>
          <w:sz w:val="20"/>
        </w:rPr>
        <w:t>”</w:t>
      </w:r>
      <w:r>
        <w:rPr>
          <w:rFonts w:ascii="Times New Roman;serif" w:hAnsi="Times New Roman;serif"/>
          <w:b w:val="false"/>
          <w:sz w:val="22"/>
        </w:rPr>
        <w:t>); and</w:t>
      </w:r>
    </w:p>
    <w:p>
      <w:pPr>
        <w:pStyle w:val="TextBody"/>
        <w:bidi w:val="0"/>
        <w:spacing w:before="0" w:after="0"/>
        <w:jc w:val="left"/>
        <w:rPr/>
      </w:pPr>
      <w:r>
        <w:rPr/>
        <w:t> </w:t>
      </w:r>
    </w:p>
    <w:p>
      <w:pPr>
        <w:pStyle w:val="TextBody"/>
        <w:bidi w:val="0"/>
        <w:spacing w:before="91" w:after="0"/>
        <w:jc w:val="left"/>
        <w:rPr>
          <w:rFonts w:ascii="Times New Roman;serif" w:hAnsi="Times New Roman;serif"/>
          <w:b w:val="false"/>
          <w:sz w:val="22"/>
        </w:rPr>
      </w:pPr>
      <w:r>
        <w:rPr>
          <w:rFonts w:ascii="Times New Roman;serif" w:hAnsi="Times New Roman;serif"/>
          <w:b w:val="false"/>
          <w:sz w:val="22"/>
        </w:rPr>
        <w:t>WHEREAS, the Board desires to amend the Plan as set forth herein.</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NOW, THEREFORE BE IT RESOLVED, that the Plan be amended as follows:</w:t>
      </w:r>
    </w:p>
    <w:p>
      <w:pPr>
        <w:pStyle w:val="TextBody"/>
        <w:bidi w:val="0"/>
        <w:spacing w:before="9"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1.</w:t>
      </w:r>
    </w:p>
    <w:p>
      <w:pPr>
        <w:pStyle w:val="TextBody"/>
        <w:bidi w:val="0"/>
        <w:jc w:val="left"/>
        <w:rPr>
          <w:rFonts w:ascii="Times New Roman;serif" w:hAnsi="Times New Roman;serif"/>
          <w:b w:val="false"/>
          <w:sz w:val="22"/>
        </w:rPr>
      </w:pPr>
      <w:r>
        <w:rPr>
          <w:rFonts w:ascii="Times New Roman;serif" w:hAnsi="Times New Roman;serif"/>
          <w:b w:val="false"/>
          <w:sz w:val="22"/>
        </w:rPr>
        <w:t>Section 2(i) of the Plan be revised in its entirety as follows:</w:t>
      </w:r>
    </w:p>
    <w:p>
      <w:pPr>
        <w:pStyle w:val="TextBody"/>
        <w:bidi w:val="0"/>
        <w:spacing w:before="0" w:after="0"/>
        <w:jc w:val="left"/>
        <w:rPr/>
      </w:pPr>
      <w:r>
        <w:rPr/>
        <w:t> </w:t>
      </w:r>
    </w:p>
    <w:p>
      <w:pPr>
        <w:pStyle w:val="TextBody"/>
        <w:bidi w:val="0"/>
        <w:spacing w:before="1" w:after="0"/>
        <w:jc w:val="left"/>
        <w:rPr/>
      </w:pPr>
      <w:r>
        <w:rPr/>
        <w:t>“</w:t>
      </w:r>
      <w:r>
        <w:rPr>
          <w:rFonts w:ascii="Times New Roman;serif" w:hAnsi="Times New Roman;serif"/>
          <w:b w:val="false"/>
          <w:sz w:val="22"/>
          <w:u w:val="single"/>
        </w:rPr>
        <w:t>Change in Control</w:t>
      </w:r>
      <w:r>
        <w:rPr>
          <w:rFonts w:ascii="Times New Roman" w:hAnsi="Times New Roman"/>
          <w:sz w:val="20"/>
        </w:rPr>
        <w:t xml:space="preserve">” </w:t>
      </w:r>
      <w:r>
        <w:rPr>
          <w:rFonts w:ascii="Times New Roman;serif" w:hAnsi="Times New Roman;serif"/>
          <w:b w:val="false"/>
          <w:sz w:val="22"/>
        </w:rPr>
        <w:t>means (i) the acquisition of beneficial ownership by any Person, other than the Permitted Holders, of Equity Interests of the Company representing more than 50% of the aggregate votes entitled to vote for the election of directors of the Company, unless the Permitted Holders otherwise have the right (pursuant to contract, proxy or otherwise), directly or indirectly, to designate, nominate or appoint at least half of the Board or (ii) the sale, transfer or other disposition of all or substantially all of the assets of the Company Group (taken as a whole) to any Person that is not an Affiliate, other than a Permitted Holder.</w:t>
      </w:r>
    </w:p>
    <w:p>
      <w:pPr>
        <w:pStyle w:val="TextBody"/>
        <w:bidi w:val="0"/>
        <w:spacing w:before="1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For purposes of this definition, including other defined terms used herein in connection with this definition and notwithstanding anything to the contrary in this definition or any provision of Section 13d- 3 of the Exchange Act, (A) “beneficial ownership” shall be as defined in Rules 13d-3 and 13d-5 under the Exchange Act as in effect on May 10, 2023, (B) if any group includes one or more Permitted Holders, the issued and outstanding Equity Interests of the Company, directly or indirectly owned by the Permitted Holders that are part of such group shall not be treated as being beneficially owned by such group or any other member of such group, (C) a Person or group shall not be deemed to beneficially own Equity Interests (x)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or (y) as a result of veto or approval rights in any joint venture agreement, shareholder agreement, investor rights agreement or other similar agreement and (D) a Person or group will not be deemed to beneficially own the Equity Interests of another Person as a result of its ownership of Equity Interests or other securities of such other Person’s parent (or related contractual rights) unless it owns 50% or more of the total voting power of the Equity Interests entitled to vote for the election of directors of such Person’s parent. and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71" w:after="0"/>
        <w:jc w:val="right"/>
        <w:rPr/>
      </w:pPr>
      <w:r>
        <w:rPr/>
        <w:t> </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2.</w:t>
      </w:r>
    </w:p>
    <w:p>
      <w:pPr>
        <w:pStyle w:val="TextBody"/>
        <w:bidi w:val="0"/>
        <w:jc w:val="left"/>
        <w:rPr>
          <w:rFonts w:ascii="Times New Roman;serif" w:hAnsi="Times New Roman;serif"/>
          <w:b w:val="false"/>
          <w:sz w:val="22"/>
        </w:rPr>
      </w:pPr>
      <w:r>
        <w:rPr>
          <w:rFonts w:ascii="Times New Roman;serif" w:hAnsi="Times New Roman;serif"/>
          <w:b w:val="false"/>
          <w:sz w:val="22"/>
        </w:rPr>
        <w:t>Section 2 of the Plan be revised to include the following additional definitions:</w:t>
      </w:r>
    </w:p>
    <w:p>
      <w:pPr>
        <w:pStyle w:val="TextBody"/>
        <w:bidi w:val="0"/>
        <w:spacing w:before="10" w:after="0"/>
        <w:jc w:val="left"/>
        <w:rPr/>
      </w:pPr>
      <w:r>
        <w:rPr/>
        <w:t> </w:t>
      </w:r>
    </w:p>
    <w:p>
      <w:pPr>
        <w:pStyle w:val="TextBody"/>
        <w:bidi w:val="0"/>
        <w:spacing w:before="1" w:after="0"/>
        <w:jc w:val="left"/>
        <w:rPr/>
      </w:pPr>
      <w:r>
        <w:rPr/>
        <w:t>“</w:t>
      </w:r>
      <w:r>
        <w:rPr>
          <w:rFonts w:ascii="Times New Roman;serif" w:hAnsi="Times New Roman;serif"/>
          <w:b w:val="false"/>
          <w:sz w:val="22"/>
          <w:u w:val="single"/>
        </w:rPr>
        <w:t>Equity Interests</w:t>
      </w:r>
      <w:r>
        <w:rPr>
          <w:rFonts w:ascii="Times New Roman" w:hAnsi="Times New Roman"/>
          <w:sz w:val="20"/>
        </w:rPr>
        <w:t xml:space="preserve">” </w:t>
      </w:r>
      <w:r>
        <w:rPr>
          <w:rFonts w:ascii="Times New Roman;serif" w:hAnsi="Times New Roman;serif"/>
          <w:b w:val="false"/>
          <w:sz w:val="22"/>
        </w:rPr>
        <w:t>means shares of capital stock, partnership interests, membership interests in a limited liability company, beneficial interests in a trust or other equity ownership interests in a Person.</w:t>
      </w:r>
    </w:p>
    <w:p>
      <w:pPr>
        <w:pStyle w:val="TextBody"/>
        <w:bidi w:val="0"/>
        <w:spacing w:before="77" w:after="0"/>
        <w:jc w:val="left"/>
        <w:rPr/>
      </w:pPr>
      <w:r>
        <w:rPr/>
        <w:t>“</w:t>
      </w:r>
      <w:r>
        <w:rPr>
          <w:rFonts w:ascii="Times New Roman;serif" w:hAnsi="Times New Roman;serif"/>
          <w:b w:val="false"/>
          <w:sz w:val="22"/>
          <w:u w:val="single"/>
        </w:rPr>
        <w:t>Management Investors</w:t>
      </w:r>
      <w:r>
        <w:rPr>
          <w:rFonts w:ascii="Times New Roman" w:hAnsi="Times New Roman"/>
          <w:sz w:val="20"/>
        </w:rPr>
        <w:t xml:space="preserve">” </w:t>
      </w:r>
      <w:r>
        <w:rPr>
          <w:rFonts w:ascii="Times New Roman;serif" w:hAnsi="Times New Roman;serif"/>
          <w:b w:val="false"/>
          <w:sz w:val="22"/>
        </w:rPr>
        <w:t>means current and/or former directors, officers, partners, members and employees of the Company, any parent entity thereof and/or any of their respective subsidiaries who are (directly or indirectly through one or more investment vehicles) holders of Equity Interests of the Company or any such parent entity or subsidiary on the May 10, 2023.</w:t>
      </w:r>
    </w:p>
    <w:p>
      <w:pPr>
        <w:pStyle w:val="TextBody"/>
        <w:bidi w:val="0"/>
        <w:spacing w:before="10" w:after="0"/>
        <w:jc w:val="left"/>
        <w:rPr/>
      </w:pPr>
      <w:r>
        <w:rPr/>
        <w:t> </w:t>
      </w:r>
    </w:p>
    <w:p>
      <w:pPr>
        <w:pStyle w:val="TextBody"/>
        <w:bidi w:val="0"/>
        <w:spacing w:before="0" w:after="0"/>
        <w:jc w:val="left"/>
        <w:rPr/>
      </w:pPr>
      <w:r>
        <w:rPr/>
        <w:t>“</w:t>
      </w:r>
      <w:r>
        <w:rPr>
          <w:rFonts w:ascii="Times New Roman;serif" w:hAnsi="Times New Roman;serif"/>
          <w:b w:val="false"/>
          <w:sz w:val="22"/>
          <w:u w:val="single"/>
        </w:rPr>
        <w:t>Permitted Holder</w:t>
      </w:r>
      <w:r>
        <w:rPr>
          <w:rFonts w:ascii="Times New Roman" w:hAnsi="Times New Roman"/>
          <w:sz w:val="20"/>
        </w:rPr>
        <w:t xml:space="preserve">” </w:t>
      </w:r>
      <w:r>
        <w:rPr>
          <w:rFonts w:ascii="Times New Roman;serif" w:hAnsi="Times New Roman;serif"/>
          <w:b w:val="false"/>
          <w:sz w:val="22"/>
        </w:rPr>
        <w:t xml:space="preserve">means (i) the Sponsor, (ii) the Management Investors and their Permitted Transferees, and (iii) any group of which the Persons described in clauses (i) and/or (ii) are members and any other member of such group; </w:t>
      </w:r>
      <w:r>
        <w:rPr>
          <w:rFonts w:ascii="Times New Roman;serif" w:hAnsi="Times New Roman;serif"/>
          <w:b w:val="false"/>
          <w:sz w:val="22"/>
          <w:u w:val="single"/>
        </w:rPr>
        <w:t>provided</w:t>
      </w:r>
      <w:r>
        <w:rPr>
          <w:rFonts w:ascii="Times New Roman;serif" w:hAnsi="Times New Roman;serif"/>
          <w:b w:val="false"/>
          <w:sz w:val="22"/>
        </w:rPr>
        <w:t>, that the Persons described in clauses (i) and (ii), without giving effect to the existence of such group or any other group, collectively own, directly or indirectly, 50% or more of the Equity Interests of the Company held by such group and (iv) any employee benefit plan of the Company or its subsidiaries and any Person acting in its capacity as trustee, agent or other fiduciary or administrator of any such plan.</w:t>
      </w:r>
    </w:p>
    <w:p>
      <w:pPr>
        <w:pStyle w:val="TextBody"/>
        <w:bidi w:val="0"/>
        <w:spacing w:before="10" w:after="0"/>
        <w:jc w:val="left"/>
        <w:rPr/>
      </w:pPr>
      <w:r>
        <w:rPr/>
        <w:t> </w:t>
      </w:r>
    </w:p>
    <w:p>
      <w:pPr>
        <w:pStyle w:val="TextBody"/>
        <w:bidi w:val="0"/>
        <w:spacing w:before="0" w:after="0"/>
        <w:jc w:val="left"/>
        <w:rPr/>
      </w:pPr>
      <w:r>
        <w:rPr/>
        <w:t>“</w:t>
      </w:r>
      <w:r>
        <w:rPr>
          <w:rFonts w:ascii="Times New Roman;serif" w:hAnsi="Times New Roman;serif"/>
          <w:b w:val="false"/>
          <w:sz w:val="22"/>
          <w:u w:val="single"/>
        </w:rPr>
        <w:t>Permitted Transferees</w:t>
      </w:r>
      <w:r>
        <w:rPr>
          <w:rFonts w:ascii="Times New Roman" w:hAnsi="Times New Roman"/>
          <w:sz w:val="20"/>
        </w:rPr>
        <w:t xml:space="preserve">” </w:t>
      </w:r>
      <w:r>
        <w:rPr>
          <w:rFonts w:ascii="Times New Roman;serif" w:hAnsi="Times New Roman;serif"/>
          <w:b w:val="false"/>
          <w:sz w:val="22"/>
        </w:rPr>
        <w:t>means, with respect to any Person that is a natural person (and any Permitted Transferee of such Person), (i) such Person’s Immediate Family Members, including his or her spouse,</w:t>
      </w:r>
    </w:p>
    <w:p>
      <w:pPr>
        <w:pStyle w:val="TextBody"/>
        <w:bidi w:val="0"/>
        <w:spacing w:before="1" w:after="0"/>
        <w:jc w:val="left"/>
        <w:rPr>
          <w:rFonts w:ascii="Times New Roman;serif" w:hAnsi="Times New Roman;serif"/>
          <w:b w:val="false"/>
          <w:sz w:val="22"/>
        </w:rPr>
      </w:pPr>
      <w:r>
        <w:rPr>
          <w:rFonts w:ascii="Times New Roman;serif" w:hAnsi="Times New Roman;serif"/>
          <w:b w:val="false"/>
          <w:sz w:val="22"/>
        </w:rPr>
        <w:t>ex-spouse, children, step-children and their respective lineal descendants and (ii) without duplication with any of the foregoing, such Person’s heirs, legatees, executors and/or administrators upon the death of such Person and any other Person who was an affiliate of such Person upon the death of such Person and who, upon such death, directly or indirectly owned Equity Interests of the Company.</w:t>
      </w:r>
    </w:p>
    <w:p>
      <w:pPr>
        <w:pStyle w:val="TextBody"/>
        <w:bidi w:val="0"/>
        <w:spacing w:before="9" w:after="0"/>
        <w:jc w:val="left"/>
        <w:rPr/>
      </w:pPr>
      <w:r>
        <w:rPr/>
        <w:t> </w:t>
      </w:r>
    </w:p>
    <w:p>
      <w:pPr>
        <w:pStyle w:val="TextBody"/>
        <w:bidi w:val="0"/>
        <w:spacing w:before="0" w:after="0"/>
        <w:jc w:val="left"/>
        <w:rPr/>
      </w:pPr>
      <w:r>
        <w:rPr/>
        <w:t>“</w:t>
      </w:r>
      <w:r>
        <w:rPr>
          <w:rFonts w:ascii="Times New Roman;serif" w:hAnsi="Times New Roman;serif"/>
          <w:b w:val="false"/>
          <w:sz w:val="22"/>
          <w:u w:val="single"/>
        </w:rPr>
        <w:t>Sponsor</w:t>
      </w:r>
      <w:r>
        <w:rPr>
          <w:rFonts w:ascii="Times New Roman" w:hAnsi="Times New Roman"/>
          <w:sz w:val="20"/>
        </w:rPr>
        <w:t xml:space="preserve">” </w:t>
      </w:r>
      <w:r>
        <w:rPr>
          <w:rFonts w:ascii="Times New Roman;serif" w:hAnsi="Times New Roman;serif"/>
          <w:b w:val="false"/>
          <w:sz w:val="22"/>
        </w:rPr>
        <w:t>means Silver Lake Partners V, L.P., its affiliates and any funds, partnerships, co-investment entities and other investment vehicles managed, advised or controlled thereby or by one or more directors thereof or under common control therewith (other than any portfolio company of any of the foregoing).</w:t>
      </w:r>
    </w:p>
    <w:p>
      <w:pPr>
        <w:pStyle w:val="TextBody"/>
        <w:bidi w:val="0"/>
        <w:spacing w:before="1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3.</w:t>
      </w:r>
    </w:p>
    <w:p>
      <w:pPr>
        <w:pStyle w:val="TextBody"/>
        <w:bidi w:val="0"/>
        <w:jc w:val="left"/>
        <w:rPr>
          <w:rFonts w:ascii="Times New Roman;serif" w:hAnsi="Times New Roman;serif"/>
          <w:b w:val="false"/>
          <w:sz w:val="22"/>
        </w:rPr>
      </w:pPr>
      <w:r>
        <w:rPr>
          <w:rFonts w:ascii="Times New Roman;serif" w:hAnsi="Times New Roman;serif"/>
          <w:b w:val="false"/>
          <w:sz w:val="22"/>
        </w:rPr>
        <w:t>This Amendment shall be, and is hereby incorporated in and forms, a part of the Plan.</w:t>
      </w:r>
    </w:p>
    <w:p>
      <w:pPr>
        <w:pStyle w:val="TextBody"/>
        <w:bidi w:val="0"/>
        <w:spacing w:before="0" w:after="0"/>
        <w:jc w:val="left"/>
        <w:rPr/>
      </w:pPr>
      <w:r>
        <w:rPr/>
        <w:t> </w:t>
      </w:r>
    </w:p>
    <w:p>
      <w:pPr>
        <w:pStyle w:val="TextBody"/>
        <w:bidi w:val="0"/>
        <w:spacing w:before="0" w:after="0"/>
        <w:jc w:val="left"/>
        <w:rPr>
          <w:rFonts w:ascii="Times New Roman" w:hAnsi="Times New Roman"/>
          <w:b w:val="false"/>
          <w:sz w:val="22"/>
        </w:rPr>
      </w:pPr>
      <w:r>
        <w:rPr>
          <w:rFonts w:ascii="Times New Roman" w:hAnsi="Times New Roman"/>
          <w:b w:val="false"/>
          <w:sz w:val="22"/>
        </w:rPr>
        <w:t>4.</w:t>
      </w:r>
    </w:p>
    <w:p>
      <w:pPr>
        <w:pStyle w:val="TextBody"/>
        <w:bidi w:val="0"/>
        <w:jc w:val="left"/>
        <w:rPr>
          <w:rFonts w:ascii="Times New Roman;serif" w:hAnsi="Times New Roman;serif"/>
          <w:b w:val="false"/>
          <w:sz w:val="22"/>
        </w:rPr>
      </w:pPr>
      <w:r>
        <w:rPr>
          <w:rFonts w:ascii="Times New Roman;serif" w:hAnsi="Times New Roman;serif"/>
          <w:b w:val="false"/>
          <w:sz w:val="22"/>
        </w:rPr>
        <w:t>All other terms and provisions of the Plan shall remain unchanged except as specifically modified herein.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 w:after="0"/>
        <w:jc w:val="left"/>
        <w:rPr/>
      </w:pPr>
      <w:r>
        <w:rPr/>
        <w:t> </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[Remaining of page intentionally left blank]</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71" w:after="0"/>
        <w:jc w:val="right"/>
        <w:rPr/>
      </w:pPr>
      <w:r>
        <w:rPr/>
        <w:t> </w:t>
      </w:r>
    </w:p>
    <w:p>
      <w:pPr>
        <w:pStyle w:val="TextBody"/>
        <w:bidi w:val="0"/>
        <w:spacing w:before="77" w:after="0"/>
        <w:jc w:val="left"/>
        <w:rPr>
          <w:rFonts w:ascii="Times New Roman;serif" w:hAnsi="Times New Roman;serif"/>
          <w:b w:val="false"/>
          <w:sz w:val="22"/>
        </w:rPr>
      </w:pPr>
      <w:r>
        <w:rPr>
          <w:rFonts w:ascii="Times New Roman;serif" w:hAnsi="Times New Roman;serif"/>
          <w:b w:val="false"/>
          <w:sz w:val="22"/>
        </w:rPr>
        <w:t>I hereby certify that the foregoing Amendment was duly adopted by the Board of Directors of First Advantage Corporation as of May 9, 2023.</w:t>
      </w:r>
    </w:p>
    <w:p>
      <w:pPr>
        <w:pStyle w:val="TextBody"/>
        <w:bidi w:val="0"/>
        <w:spacing w:before="11"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Executed on this 9th day of May, 2023.</w:t>
      </w:r>
    </w:p>
    <w:tbl>
      <w:tblPr>
        <w:tblW w:w="4726" w:type="dxa"/>
        <w:jc w:val="left"/>
        <w:tblInd w:w="0" w:type="dxa"/>
        <w:tblLayout w:type="fixed"/>
        <w:tblCellMar>
          <w:top w:w="28" w:type="dxa"/>
          <w:left w:w="28" w:type="dxa"/>
          <w:bottom w:w="28" w:type="dxa"/>
          <w:right w:w="28" w:type="dxa"/>
        </w:tblCellMar>
      </w:tblPr>
      <w:tblGrid>
        <w:gridCol w:w="4726"/>
      </w:tblGrid>
      <w:tr>
        <w:trPr/>
        <w:tc>
          <w:tcPr>
            <w:tcW w:w="4726" w:type="dxa"/>
            <w:tcBorders/>
            <w:vAlign w:val="center"/>
          </w:tcPr>
          <w:p>
            <w:pPr>
              <w:pStyle w:val="TableContents"/>
              <w:bidi w:val="0"/>
              <w:spacing w:before="0" w:after="283"/>
              <w:jc w:val="left"/>
              <w:rPr>
                <w:sz w:val="4"/>
                <w:szCs w:val="4"/>
              </w:rPr>
            </w:pPr>
            <w:r>
              <w:rPr>
                <w:sz w:val="4"/>
                <w:szCs w:val="4"/>
              </w:rPr>
            </w:r>
          </w:p>
        </w:tc>
      </w:tr>
      <w:tr>
        <w:trPr/>
        <w:tc>
          <w:tcPr>
            <w:tcW w:w="4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Bret T. Jardine</w:t>
            </w:r>
          </w:p>
        </w:tc>
      </w:tr>
      <w:tr>
        <w:trPr/>
        <w:tc>
          <w:tcPr>
            <w:tcW w:w="4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Bret T. Jardine</w:t>
            </w:r>
          </w:p>
        </w:tc>
      </w:tr>
      <w:tr>
        <w:trPr/>
        <w:tc>
          <w:tcPr>
            <w:tcW w:w="4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EVP, General Counsel &amp; Corporate Secretary</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fa-ex10_2.htm"/>
      <w:bookmarkStart w:id="24" w:name="ksfaex10_2"/>
      <w:bookmarkEnd w:id="23"/>
      <w:bookmarkEnd w:id="24"/>
      <w:r>
        <w:rPr/>
        <w:t> </w:t>
      </w:r>
      <w:r>
        <w:br w:type="page"/>
      </w:r>
    </w:p>
    <w:p>
      <w:pPr>
        <w:pStyle w:val="TextBody"/>
        <w:bidi w:val="0"/>
        <w:spacing w:before="0" w:after="240"/>
        <w:jc w:val="right"/>
        <w:rPr>
          <w:rFonts w:ascii="Times New Roman;serif" w:hAnsi="Times New Roman;serif"/>
          <w:b/>
          <w:sz w:val="20"/>
        </w:rPr>
      </w:pPr>
      <w:r>
        <w:rPr>
          <w:rFonts w:ascii="Times New Roman;serif" w:hAnsi="Times New Roman;serif"/>
          <w:b/>
          <w:sz w:val="20"/>
        </w:rPr>
        <w:t>Exhibit 10.2</w:t>
      </w:r>
    </w:p>
    <w:p>
      <w:pPr>
        <w:pStyle w:val="TextBody"/>
        <w:bidi w:val="0"/>
        <w:spacing w:before="0" w:after="240"/>
        <w:jc w:val="center"/>
        <w:rPr>
          <w:rFonts w:ascii="Roboto;sans-serif" w:hAnsi="Roboto;sans-serif"/>
          <w:b/>
          <w:sz w:val="24"/>
        </w:rPr>
      </w:pPr>
      <w:r>
        <w:rPr>
          <w:rFonts w:ascii="Roboto;sans-serif" w:hAnsi="Roboto;sans-serif"/>
          <w:b/>
          <w:sz w:val="24"/>
        </w:rPr>
        <w:t>First Advantage Corporation</w:t>
      </w:r>
    </w:p>
    <w:p>
      <w:pPr>
        <w:pStyle w:val="TextBody"/>
        <w:bidi w:val="0"/>
        <w:spacing w:before="0" w:after="240"/>
        <w:jc w:val="right"/>
        <w:rPr>
          <w:rFonts w:ascii="Roboto;sans-serif" w:hAnsi="Roboto;sans-serif"/>
          <w:b w:val="false"/>
          <w:sz w:val="22"/>
        </w:rPr>
      </w:pPr>
      <w:r>
        <w:rPr>
          <w:rFonts w:ascii="Roboto;sans-serif" w:hAnsi="Roboto;sans-serif"/>
          <w:b w:val="false"/>
          <w:sz w:val="22"/>
        </w:rPr>
        <w:t>May 10, 2023</w:t>
      </w:r>
    </w:p>
    <w:p>
      <w:pPr>
        <w:pStyle w:val="TextBody"/>
        <w:bidi w:val="0"/>
        <w:spacing w:before="0" w:after="0"/>
        <w:jc w:val="left"/>
        <w:rPr>
          <w:rFonts w:ascii="Roboto;sans-serif" w:hAnsi="Roboto;sans-serif"/>
          <w:b w:val="false"/>
          <w:sz w:val="22"/>
        </w:rPr>
      </w:pPr>
      <w:r>
        <w:rPr>
          <w:rFonts w:ascii="Roboto;sans-serif" w:hAnsi="Roboto;sans-serif"/>
          <w:b w:val="false"/>
          <w:sz w:val="22"/>
        </w:rPr>
        <w:t>[Name]</w:t>
        <w:br/>
        <w:t>[Email]</w:t>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Roboto;sans-serif" w:hAnsi="Roboto;sans-serif"/>
          <w:b w:val="false"/>
          <w:sz w:val="22"/>
        </w:rPr>
        <w:t>Re: Amendment to Performance Award Vesting for Grant ID:</w:t>
      </w:r>
      <w:r>
        <w:rPr>
          <w:rFonts w:ascii="Times New Roman" w:hAnsi="Times New Roman"/>
          <w:sz w:val="20"/>
        </w:rPr>
        <w:t xml:space="preserve"> </w:t>
      </w:r>
    </w:p>
    <w:p>
      <w:pPr>
        <w:pStyle w:val="TextBody"/>
        <w:bidi w:val="0"/>
        <w:spacing w:before="0" w:after="240"/>
        <w:jc w:val="both"/>
        <w:rPr>
          <w:rFonts w:ascii="Roboto;sans-serif" w:hAnsi="Roboto;sans-serif"/>
          <w:b w:val="false"/>
          <w:sz w:val="22"/>
        </w:rPr>
      </w:pPr>
      <w:r>
        <w:rPr>
          <w:rFonts w:ascii="Roboto;sans-serif" w:hAnsi="Roboto;sans-serif"/>
          <w:b w:val="false"/>
          <w:sz w:val="22"/>
        </w:rPr>
        <w:t>Dear [Name],</w:t>
      </w:r>
    </w:p>
    <w:p>
      <w:pPr>
        <w:pStyle w:val="TextBody"/>
        <w:bidi w:val="0"/>
        <w:spacing w:before="0" w:after="240"/>
        <w:jc w:val="left"/>
        <w:rPr>
          <w:rFonts w:ascii="Times New Roman" w:hAnsi="Times New Roman"/>
          <w:sz w:val="20"/>
        </w:rPr>
      </w:pPr>
      <w:r>
        <w:rPr>
          <w:rFonts w:ascii="Roboto;sans-serif" w:hAnsi="Roboto;sans-serif"/>
          <w:b w:val="false"/>
          <w:sz w:val="22"/>
        </w:rPr>
        <w:t>Congratulations! Upon the recommendation of its Compensation Committee, the Board of Directors of First Advantage Corporation (the “</w:t>
      </w:r>
      <w:r>
        <w:rPr>
          <w:rFonts w:ascii="Roboto;sans-serif" w:hAnsi="Roboto;sans-serif"/>
          <w:b/>
          <w:sz w:val="22"/>
        </w:rPr>
        <w:t>Company</w:t>
      </w:r>
      <w:r>
        <w:rPr>
          <w:rFonts w:ascii="Times New Roman" w:hAnsi="Times New Roman"/>
          <w:sz w:val="20"/>
        </w:rPr>
        <w:t>”</w:t>
      </w:r>
      <w:r>
        <w:rPr>
          <w:rFonts w:ascii="Roboto;sans-serif" w:hAnsi="Roboto;sans-serif"/>
          <w:b w:val="false"/>
          <w:sz w:val="22"/>
        </w:rPr>
        <w:t>) has approved an amendment to each of your currently outstanding unearned and unvested performance-based equity awards (whether in the form of options, SARs, restricted shares or RSUs, each such unearned and unvested award, a “</w:t>
      </w:r>
      <w:r>
        <w:rPr>
          <w:rFonts w:ascii="Roboto;sans-serif" w:hAnsi="Roboto;sans-serif"/>
          <w:b/>
          <w:sz w:val="22"/>
        </w:rPr>
        <w:t>Performance Award</w:t>
      </w:r>
      <w:r>
        <w:rPr>
          <w:rFonts w:ascii="Times New Roman" w:hAnsi="Times New Roman"/>
          <w:sz w:val="20"/>
        </w:rPr>
        <w:t>”</w:t>
      </w:r>
      <w:r>
        <w:rPr>
          <w:rFonts w:ascii="Roboto;sans-serif" w:hAnsi="Roboto;sans-serif"/>
          <w:b w:val="false"/>
          <w:sz w:val="22"/>
        </w:rPr>
        <w:t>) that is designed to allow those Performance Awards to vest based solely on your continued employment or service to the Company through the applicable vesting dates, while preserving their eligibility to vest upon future “Realization Events” (as that term is defined in the award agreement(s) pursuant to which the Performance Awards were granted to you). This letter constitutes an amendment to the award agreement(s) pursuant to which the Performance Awards were granted to you, so please keep a copy with your award agreement(s). For the avoidance of doubt, this letter does not apply to any of your equity awards that vest based solely on your continued employment or service to the Company.</w:t>
      </w:r>
    </w:p>
    <w:p>
      <w:pPr>
        <w:pStyle w:val="TextBody"/>
        <w:bidi w:val="0"/>
        <w:spacing w:before="0" w:after="160"/>
        <w:jc w:val="left"/>
        <w:rPr>
          <w:rFonts w:ascii="Roboto;sans-serif" w:hAnsi="Roboto;sans-serif"/>
          <w:b w:val="false"/>
          <w:sz w:val="22"/>
        </w:rPr>
      </w:pPr>
      <w:r>
        <w:rPr>
          <w:rFonts w:ascii="Roboto;sans-serif" w:hAnsi="Roboto;sans-serif"/>
          <w:b w:val="false"/>
          <w:sz w:val="22"/>
        </w:rPr>
        <w:t>Subject only to your continued employment or service with the Company and its subsidiaries through the applicable vesting date set forth in the table below, a number of additional Performance Awards, if any, shall vest on each such vesting date as is necessary to ensure that the applicable percentage of the Performance Awards that is vested on such vesting date is equal to the percentage set forth in the table below next to such vesting date, such that 100% of the Performance Awards will be vested on [ ] even if no additional Realization Events occur prior to [ ]:</w:t>
      </w:r>
    </w:p>
    <w:tbl>
      <w:tblPr>
        <w:tblW w:w="7442" w:type="dxa"/>
        <w:jc w:val="left"/>
        <w:tblInd w:w="0" w:type="dxa"/>
        <w:tblLayout w:type="fixed"/>
        <w:tblCellMar>
          <w:top w:w="28" w:type="dxa"/>
          <w:left w:w="28" w:type="dxa"/>
          <w:bottom w:w="28" w:type="dxa"/>
          <w:right w:w="28" w:type="dxa"/>
        </w:tblCellMar>
      </w:tblPr>
      <w:tblGrid>
        <w:gridCol w:w="5656"/>
        <w:gridCol w:w="1786"/>
      </w:tblGrid>
      <w:tr>
        <w:trPr/>
        <w:tc>
          <w:tcPr>
            <w:tcW w:w="56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ind w:left="0" w:right="0" w:hanging="0"/>
              <w:jc w:val="center"/>
              <w:rPr>
                <w:rFonts w:ascii="Roboto;sans-serif" w:hAnsi="Roboto;sans-serif"/>
                <w:b/>
                <w:sz w:val="22"/>
              </w:rPr>
            </w:pPr>
            <w:r>
              <w:rPr>
                <w:rFonts w:ascii="Roboto;sans-serif" w:hAnsi="Roboto;sans-serif"/>
                <w:b/>
                <w:sz w:val="22"/>
              </w:rPr>
              <w:t>Percentage of Performance Awards Vesting</w:t>
            </w:r>
          </w:p>
        </w:tc>
        <w:tc>
          <w:tcPr>
            <w:tcW w:w="17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hanging="0"/>
              <w:jc w:val="center"/>
              <w:rPr>
                <w:rFonts w:ascii="Roboto;sans-serif" w:hAnsi="Roboto;sans-serif"/>
                <w:b/>
                <w:sz w:val="22"/>
              </w:rPr>
            </w:pPr>
            <w:r>
              <w:rPr>
                <w:rFonts w:ascii="Roboto;sans-serif" w:hAnsi="Roboto;sans-serif"/>
                <w:b/>
                <w:sz w:val="22"/>
              </w:rPr>
              <w:t>Vesting Date</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center"/>
              <w:rPr>
                <w:rFonts w:ascii="Roboto;sans-serif" w:hAnsi="Roboto;sans-serif"/>
                <w:b w:val="false"/>
                <w:sz w:val="22"/>
              </w:rPr>
            </w:pPr>
            <w:r>
              <w:rPr>
                <w:rFonts w:ascii="Roboto;sans-serif" w:hAnsi="Roboto;sans-serif"/>
                <w:b w:val="false"/>
                <w:sz w:val="22"/>
              </w:rPr>
              <w:t>20%, or [ ] of Performance Awards</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Roboto;sans-serif" w:hAnsi="Roboto;sans-serif"/>
                <w:b w:val="false"/>
                <w:sz w:val="22"/>
              </w:rPr>
            </w:pPr>
            <w:r>
              <w:rPr>
                <w:rFonts w:ascii="Roboto;sans-serif" w:hAnsi="Roboto;sans-serif"/>
                <w:b w:val="false"/>
                <w:sz w:val="22"/>
              </w:rPr>
              <w:t>[ ]</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center"/>
              <w:rPr/>
            </w:pPr>
            <w:r>
              <w:rPr/>
              <w:t> </w:t>
            </w:r>
            <w:r>
              <w:rPr>
                <w:rFonts w:ascii="Roboto;sans-serif" w:hAnsi="Roboto;sans-serif"/>
                <w:b w:val="false"/>
                <w:sz w:val="22"/>
              </w:rPr>
              <w:t>40%, or [ ] of Performance Awards</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Roboto;sans-serif" w:hAnsi="Roboto;sans-serif"/>
                <w:b w:val="false"/>
                <w:sz w:val="22"/>
              </w:rPr>
            </w:pPr>
            <w:r>
              <w:rPr>
                <w:rFonts w:ascii="Roboto;sans-serif" w:hAnsi="Roboto;sans-serif"/>
                <w:b w:val="false"/>
                <w:sz w:val="22"/>
              </w:rPr>
              <w:t>[ ]</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center"/>
              <w:rPr>
                <w:rFonts w:ascii="Roboto;sans-serif" w:hAnsi="Roboto;sans-serif"/>
                <w:b w:val="false"/>
                <w:sz w:val="22"/>
              </w:rPr>
            </w:pPr>
            <w:r>
              <w:rPr>
                <w:rFonts w:ascii="Roboto;sans-serif" w:hAnsi="Roboto;sans-serif"/>
                <w:b w:val="false"/>
                <w:sz w:val="22"/>
              </w:rPr>
              <w:t>40%, or [ ] of Performance Awards</w:t>
            </w:r>
          </w:p>
        </w:tc>
        <w:tc>
          <w:tcPr>
            <w:tcW w:w="17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Roboto;sans-serif" w:hAnsi="Roboto;sans-serif"/>
                <w:b w:val="false"/>
                <w:sz w:val="22"/>
              </w:rPr>
            </w:pPr>
            <w:r>
              <w:rPr>
                <w:rFonts w:ascii="Roboto;sans-serif" w:hAnsi="Roboto;sans-serif"/>
                <w:b w:val="false"/>
                <w:sz w:val="22"/>
              </w:rPr>
              <w:t>[ ]</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Roboto;sans-serif" w:hAnsi="Roboto;sans-serif"/>
          <w:b w:val="false"/>
          <w:sz w:val="22"/>
        </w:rPr>
        <w:t>Subject to your continued employment or service with the Company and its subsidiaries through such Realization Event, if a Realization Event occurs prior to [ ], the number of Performance Awards that will vest as a result of such Realization Event will be determined based on the applicable vesting criteria for Performance Awards in the award agreement(s), including, without limitation, the 20% per year time-based vesting schedule that applies to your Performance Awards in addition to the purely performance vesting criteria (collectively, the “</w:t>
      </w:r>
      <w:r>
        <w:rPr>
          <w:rFonts w:ascii="Roboto;sans-serif" w:hAnsi="Roboto;sans-serif"/>
          <w:b/>
          <w:sz w:val="22"/>
        </w:rPr>
        <w:t>Performance Vesting Criteria</w:t>
      </w:r>
      <w:r>
        <w:rPr>
          <w:rFonts w:ascii="Times New Roman" w:hAnsi="Times New Roman"/>
          <w:sz w:val="20"/>
        </w:rPr>
        <w:t>”</w:t>
      </w:r>
      <w:r>
        <w:rPr>
          <w:rFonts w:ascii="Roboto;sans-serif" w:hAnsi="Roboto;sans-serif"/>
          <w:b w:val="false"/>
          <w:sz w:val="22"/>
        </w:rPr>
        <w:t>). However, given the new time-based vesting schedule above, the total number of Performance Awards that will be vested following the occurrence of such Realization Event will equal the greater of (i) the total number of Performance Awards that would be vested following such Realization Event applying the Performance Vesting Criteria (including the application of the 20% per year time-based vesting schedule) and (ii) the percentage of Performance Awards that are vested as of such Realization Event as provided in the new time-based vesting schedule above.</w:t>
      </w:r>
    </w:p>
    <w:p>
      <w:pPr>
        <w:pStyle w:val="TextBody"/>
        <w:bidi w:val="0"/>
        <w:spacing w:before="0" w:after="240"/>
        <w:jc w:val="left"/>
        <w:rPr>
          <w:rFonts w:ascii="Roboto;sans-serif" w:hAnsi="Roboto;sans-serif"/>
          <w:b w:val="false"/>
          <w:sz w:val="22"/>
        </w:rPr>
      </w:pPr>
      <w:r>
        <w:rPr>
          <w:rFonts w:ascii="Roboto;sans-serif" w:hAnsi="Roboto;sans-serif"/>
          <w:b w:val="false"/>
          <w:sz w:val="22"/>
        </w:rPr>
        <w:t>For purposes of illustration only, if the first Realization Event since the date hereof occurs on [ ] and (i) the application of the Performance Vesting Criteria would result in the vesting of 50% of the Performance Awards, then no additional Performance Awards will vest in connection with the Realization Event as 60% of the Performance Awards are already vested as a result of the application of the new time-based vesting schedule above, and (ii) the application of the Performance Vesting Criteria would result in the vesting of 70% of the Performance Awards, then additional Performance Awards will vest in connection with the Realization Event so that 70% of the total number of Performance Awards will be vested following such Realization Event and, assuming no additional Realization Event occurs before such date, the remaining 30% of the Performance Awards would vest on [ ], subject to your continued employment or service with the Company and its subsidiaries on that date.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Roboto;sans-serif" w:hAnsi="Roboto;sans-serif"/>
          <w:b w:val="false"/>
          <w:sz w:val="22"/>
        </w:rPr>
      </w:pPr>
      <w:r>
        <w:rPr>
          <w:rFonts w:ascii="Roboto;sans-serif" w:hAnsi="Roboto;sans-serif"/>
          <w:b w:val="false"/>
          <w:sz w:val="22"/>
        </w:rPr>
        <w:t>If a “Change in Control” (as that term, or if instead applicable, the term “Change of Control,” is defined in the award agreement(s) pursuant to which the Performance Awards were granted to you) occurs prior to [ ], any Performance Awards that do not vest in connection with such Change in Control will not be forfeited but will instead either (i) be assumed (including, if applicable, through the grant of substitute awards) by the acquirer of the Company or an affiliate thereof in such Change in Control and (A) if the “Investor Group” (as that term is defined in the award agreement(s) pursuant to which the Performance Awards were granted to you) does not retain any direct or indirect interest in the Company or any successor entity following such Change in Control, be subject only to the time-based vesting schedule set forth above (i.e., such time-based vesting schedule is not deemed to be satisfied as a result of such Change in Control, but the Performance Vesting Criteria will no longer apply following the Change in Control) and, if your employment or service with the Company and its subsidiaries is terminated at any time during the 12-month period following such Change in Control, by the Company or its subsidiaries without “Cause” (as that term is defined in the award agreement(s) pursuant to which the Performance Awards were granted to you), all unvested Performance Awards shall become fully vested upon the date of such termination and (B) if the Investor Group retains any direct or indirect interest in the Company or any successor entity following such Change in Control and the Board of Directors of the Company, acting in its sole discretion, does not decide to accelerate the vesting of the unvested Performance Awards in connection with or following such Change in Control, remain subject to the applicable vesting terms (including, without limitation, the ability of the Compensation Committee to test Performance Awards that remain eligible for performance-based vesting following a termination of employment for vesting based on the occurrence of a hypothetical Realization Event during the 12-month period following such termination), as modified by this letter (but, for the avoidance of doubt, there will be no further vesting based on the new time-based vesting schedule set forth in this letter following a termination of employment for any reason); and (ii) vest in full on the closing of the Change in Control if not assumed (including, if applicable, through the grant of substitute awards) by the acquirer or an affiliate thereof.</w:t>
      </w:r>
    </w:p>
    <w:p>
      <w:pPr>
        <w:pStyle w:val="TextBody"/>
        <w:bidi w:val="0"/>
        <w:spacing w:before="0" w:after="240"/>
        <w:jc w:val="left"/>
        <w:rPr>
          <w:rFonts w:ascii="Roboto;sans-serif" w:hAnsi="Roboto;sans-serif"/>
          <w:b w:val="false"/>
          <w:sz w:val="22"/>
        </w:rPr>
      </w:pPr>
      <w:r>
        <w:rPr>
          <w:rFonts w:ascii="Roboto;sans-serif" w:hAnsi="Roboto;sans-serif"/>
          <w:b w:val="false"/>
          <w:sz w:val="22"/>
        </w:rPr>
        <w:t>Except as amended hereby, the award agreement(s) governing the Performance Awards shall remain in full force and effect in accordance with their terms, including, without limitation, provisions relating to the treatment of Performance Awards on a termination of your employment or service with the Company and its subsidiaries that occurs prior to a Change in Control.</w:t>
      </w:r>
    </w:p>
    <w:p>
      <w:pPr>
        <w:pStyle w:val="TextBody"/>
        <w:bidi w:val="0"/>
        <w:spacing w:before="0" w:after="240"/>
        <w:jc w:val="left"/>
        <w:rPr>
          <w:rFonts w:ascii="Roboto;sans-serif" w:hAnsi="Roboto;sans-serif"/>
          <w:b w:val="false"/>
          <w:sz w:val="22"/>
        </w:rPr>
      </w:pPr>
      <w:r>
        <w:rPr>
          <w:rFonts w:ascii="Roboto;sans-serif" w:hAnsi="Roboto;sans-serif"/>
          <w:b w:val="false"/>
          <w:sz w:val="22"/>
        </w:rPr>
        <w:t>This amendment is governed by and construed and enforced in accordance with the laws of the State of Delaware, without regard to conflicts of law principles thereof.</w:t>
      </w:r>
    </w:p>
    <w:p>
      <w:pPr>
        <w:pStyle w:val="TextBody"/>
        <w:bidi w:val="0"/>
        <w:spacing w:before="0" w:after="200"/>
        <w:jc w:val="left"/>
        <w:rPr>
          <w:rFonts w:ascii="Roboto;sans-serif" w:hAnsi="Roboto;sans-serif"/>
          <w:b w:val="false"/>
          <w:sz w:val="22"/>
        </w:rPr>
      </w:pPr>
      <w:r>
        <w:rPr>
          <w:rFonts w:ascii="Roboto;sans-serif" w:hAnsi="Roboto;sans-serif"/>
          <w:b w:val="false"/>
          <w:sz w:val="22"/>
        </w:rPr>
        <w:t>This amendment is effective as of the date hereof and does not require any action on your part. As noted above, please retain a copy of this amendment for your own records. Thank you for your continued service to the Company.</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Roboto;sans-serif" w:hAnsi="Roboto;sans-serif"/>
          <w:b w:val="false"/>
          <w:sz w:val="22"/>
        </w:rPr>
        <w:t>Sincerely,</w:t>
        <w:br/>
      </w:r>
      <w:r>
        <w:rPr>
          <w:rFonts w:ascii="Times New Roman" w:hAnsi="Times New Roman"/>
          <w:sz w:val="20"/>
        </w:rPr>
        <w:t> </w:t>
      </w:r>
    </w:p>
    <w:p>
      <w:pPr>
        <w:pStyle w:val="TextBody"/>
        <w:bidi w:val="0"/>
        <w:spacing w:before="0" w:after="240"/>
        <w:jc w:val="both"/>
        <w:rPr/>
      </w:pPr>
      <w:r>
        <w:rPr/>
        <w:t> </w:t>
      </w:r>
    </w:p>
    <w:p>
      <w:pPr>
        <w:pStyle w:val="TextBody"/>
        <w:bidi w:val="0"/>
        <w:spacing w:before="0" w:after="0"/>
        <w:jc w:val="both"/>
        <w:rPr>
          <w:rFonts w:ascii="Roboto;sans-serif" w:hAnsi="Roboto;sans-serif"/>
          <w:b w:val="false"/>
          <w:sz w:val="22"/>
        </w:rPr>
      </w:pPr>
      <w:r>
        <w:rPr>
          <w:rFonts w:ascii="Roboto;sans-serif" w:hAnsi="Roboto;sans-serif"/>
          <w:b w:val="false"/>
          <w:sz w:val="22"/>
        </w:rPr>
        <w:t>_______________________</w:t>
      </w:r>
    </w:p>
    <w:p>
      <w:pPr>
        <w:pStyle w:val="TextBody"/>
        <w:bidi w:val="0"/>
        <w:spacing w:before="0" w:after="0"/>
        <w:jc w:val="both"/>
        <w:rPr>
          <w:rFonts w:ascii="Roboto;sans-serif" w:hAnsi="Roboto;sans-serif"/>
          <w:b w:val="false"/>
          <w:sz w:val="22"/>
        </w:rPr>
      </w:pPr>
      <w:r>
        <w:rPr>
          <w:rFonts w:ascii="Roboto;sans-serif" w:hAnsi="Roboto;sans-serif"/>
          <w:b w:val="false"/>
          <w:sz w:val="22"/>
        </w:rPr>
        <w:t>By: Scott Staples</w:t>
      </w:r>
    </w:p>
    <w:p>
      <w:pPr>
        <w:pStyle w:val="TextBody"/>
        <w:bidi w:val="0"/>
        <w:spacing w:before="0" w:after="0"/>
        <w:jc w:val="both"/>
        <w:rPr>
          <w:rFonts w:ascii="Roboto;sans-serif" w:hAnsi="Roboto;sans-serif"/>
          <w:b w:val="false"/>
          <w:sz w:val="22"/>
        </w:rPr>
      </w:pPr>
      <w:r>
        <w:rPr>
          <w:rFonts w:ascii="Roboto;sans-serif" w:hAnsi="Roboto;sans-serif"/>
          <w:b w:val="false"/>
          <w:sz w:val="22"/>
        </w:rPr>
        <w:t>Title: Chief Executive Officer</w:t>
      </w:r>
    </w:p>
    <w:p>
      <w:pPr>
        <w:pStyle w:val="TextBody"/>
        <w:bidi w:val="0"/>
        <w:spacing w:before="0" w:after="0"/>
        <w:jc w:val="both"/>
        <w:rPr>
          <w:rFonts w:ascii="Roboto;sans-serif" w:hAnsi="Roboto;sans-serif"/>
          <w:b w:val="false"/>
          <w:sz w:val="22"/>
        </w:rPr>
      </w:pPr>
      <w:r>
        <w:rPr>
          <w:rFonts w:ascii="Roboto;sans-serif" w:hAnsi="Roboto;sans-serif"/>
          <w:b w:val="false"/>
          <w:sz w:val="22"/>
        </w:rPr>
        <w:t>First Advantage Corporation</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fa-ex10_3.htm"/>
      <w:bookmarkStart w:id="26" w:name="ksfaex10_3"/>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10.3</w:t>
      </w:r>
    </w:p>
    <w:p>
      <w:pPr>
        <w:pStyle w:val="TextBody"/>
        <w:bidi w:val="0"/>
        <w:spacing w:before="240" w:after="0"/>
        <w:jc w:val="right"/>
        <w:rPr>
          <w:rFonts w:ascii="Times New Roman;serif" w:hAnsi="Times New Roman;serif"/>
          <w:b/>
          <w:i/>
          <w:sz w:val="24"/>
        </w:rPr>
      </w:pPr>
      <w:r>
        <w:rPr>
          <w:rFonts w:ascii="Times New Roman;serif" w:hAnsi="Times New Roman;serif"/>
          <w:b/>
          <w:i/>
          <w:sz w:val="24"/>
        </w:rPr>
        <w:t>EXECUTION VERSION</w:t>
      </w:r>
    </w:p>
    <w:p>
      <w:pPr>
        <w:pStyle w:val="TextBody"/>
        <w:bidi w:val="0"/>
        <w:spacing w:before="480" w:after="0"/>
        <w:jc w:val="both"/>
        <w:rPr>
          <w:rFonts w:ascii="Times New Roman" w:hAnsi="Times New Roman"/>
          <w:sz w:val="20"/>
        </w:rPr>
      </w:pPr>
      <w:r>
        <w:rPr>
          <w:rFonts w:ascii="Times New Roman;serif" w:hAnsi="Times New Roman;serif"/>
          <w:b w:val="false"/>
          <w:sz w:val="22"/>
        </w:rPr>
        <w:t>AMENDMENT NO. 3 to the FIRST LIEN CREDIT AGREEMENT, dated as of June 23, 2023 (this “</w:t>
      </w:r>
      <w:r>
        <w:rPr>
          <w:rFonts w:ascii="Times New Roman;serif" w:hAnsi="Times New Roman;serif"/>
          <w:b w:val="false"/>
          <w:sz w:val="22"/>
          <w:u w:val="single"/>
        </w:rPr>
        <w:t>Amendment</w:t>
      </w:r>
      <w:r>
        <w:rPr>
          <w:rFonts w:ascii="Times New Roman" w:hAnsi="Times New Roman"/>
          <w:sz w:val="20"/>
        </w:rPr>
        <w:t>”</w:t>
      </w:r>
      <w:r>
        <w:rPr>
          <w:rFonts w:ascii="Times New Roman;serif" w:hAnsi="Times New Roman;serif"/>
          <w:b w:val="false"/>
          <w:sz w:val="22"/>
        </w:rPr>
        <w:t>), by and among FIRST ADVANTAGE HOLDINGS, LLC, a Delaware limited liability company (the “</w:t>
      </w:r>
      <w:r>
        <w:rPr>
          <w:rFonts w:ascii="Times New Roman;serif" w:hAnsi="Times New Roman;serif"/>
          <w:b w:val="false"/>
          <w:sz w:val="22"/>
          <w:u w:val="single"/>
        </w:rPr>
        <w:t>Borrower</w:t>
      </w:r>
      <w:r>
        <w:rPr>
          <w:rFonts w:ascii="Times New Roman" w:hAnsi="Times New Roman"/>
          <w:sz w:val="20"/>
        </w:rPr>
        <w:t>”</w:t>
      </w:r>
      <w:r>
        <w:rPr>
          <w:rFonts w:ascii="Times New Roman;serif" w:hAnsi="Times New Roman;serif"/>
          <w:b w:val="false"/>
          <w:sz w:val="22"/>
        </w:rPr>
        <w:t>), the Revolving Lenders party hereto, and BANK OF AMERICA, N.A., as Administrative Agent (in such capacity, the “</w:t>
      </w:r>
      <w:r>
        <w:rPr>
          <w:rFonts w:ascii="Times New Roman;serif" w:hAnsi="Times New Roman;serif"/>
          <w:b w:val="false"/>
          <w:sz w:val="22"/>
          <w:u w:val="single"/>
        </w:rPr>
        <w:t>Administrative Agent</w:t>
      </w:r>
      <w:r>
        <w:rPr>
          <w:rFonts w:ascii="Times New Roman" w:hAnsi="Times New Roman"/>
          <w:sz w:val="20"/>
        </w:rPr>
        <w:t>”</w:t>
      </w:r>
      <w:r>
        <w:rPr>
          <w:rFonts w:ascii="Times New Roman;serif" w:hAnsi="Times New Roman;serif"/>
          <w:b w:val="false"/>
          <w:sz w:val="22"/>
        </w:rPr>
        <w:t>).</w:t>
      </w:r>
    </w:p>
    <w:p>
      <w:pPr>
        <w:pStyle w:val="TextBody"/>
        <w:bidi w:val="0"/>
        <w:spacing w:before="200" w:after="0"/>
        <w:jc w:val="both"/>
        <w:rPr>
          <w:rFonts w:ascii="Times New Roman" w:hAnsi="Times New Roman"/>
          <w:sz w:val="20"/>
        </w:rPr>
      </w:pPr>
      <w:r>
        <w:rPr>
          <w:rFonts w:ascii="Times New Roman;serif" w:hAnsi="Times New Roman;serif"/>
          <w:b w:val="false"/>
          <w:sz w:val="22"/>
        </w:rPr>
        <w:t>WHEREAS, reference is hereby made to the First Lien Credit Agreement dated as of January 31, 2020 (as amended by Amendment No. 1 dated as of February 1, 2021, as amended by Amendment No. 2, dated as of May 28, 2021 and as further amended, supplemented, amended and restated or otherwise modified from time to time, the “</w:t>
      </w:r>
      <w:r>
        <w:rPr>
          <w:rFonts w:ascii="Times New Roman;serif" w:hAnsi="Times New Roman;serif"/>
          <w:b w:val="false"/>
          <w:sz w:val="22"/>
          <w:u w:val="single"/>
        </w:rPr>
        <w:t>Credit Agreement</w:t>
      </w:r>
      <w:r>
        <w:rPr>
          <w:rFonts w:ascii="Times New Roman" w:hAnsi="Times New Roman"/>
          <w:sz w:val="20"/>
        </w:rPr>
        <w:t>”</w:t>
      </w:r>
      <w:r>
        <w:rPr>
          <w:rFonts w:ascii="Times New Roman;serif" w:hAnsi="Times New Roman;serif"/>
          <w:b w:val="false"/>
          <w:sz w:val="22"/>
        </w:rPr>
        <w:t>; the Credit Agreement as amended by this Amendment the “</w:t>
      </w:r>
      <w:r>
        <w:rPr>
          <w:rFonts w:ascii="Times New Roman;serif" w:hAnsi="Times New Roman;serif"/>
          <w:b w:val="false"/>
          <w:sz w:val="22"/>
          <w:u w:val="single"/>
        </w:rPr>
        <w:t>Amended Credit Agreement</w:t>
      </w:r>
      <w:r>
        <w:rPr>
          <w:rFonts w:ascii="Times New Roman" w:hAnsi="Times New Roman"/>
          <w:sz w:val="20"/>
        </w:rPr>
        <w:t>”</w:t>
      </w:r>
      <w:r>
        <w:rPr>
          <w:rFonts w:ascii="Times New Roman;serif" w:hAnsi="Times New Roman;serif"/>
          <w:b w:val="false"/>
          <w:sz w:val="22"/>
        </w:rPr>
        <w:t>) among FASTBALL PARENT, INC., a Delaware corporation (“</w:t>
      </w:r>
      <w:r>
        <w:rPr>
          <w:rFonts w:ascii="Times New Roman;serif" w:hAnsi="Times New Roman;serif"/>
          <w:b w:val="false"/>
          <w:sz w:val="22"/>
          <w:u w:val="single"/>
        </w:rPr>
        <w:t>Holdings</w:t>
      </w:r>
      <w:r>
        <w:rPr>
          <w:rFonts w:ascii="Times New Roman" w:hAnsi="Times New Roman"/>
          <w:sz w:val="20"/>
        </w:rPr>
        <w:t>”</w:t>
      </w:r>
      <w:r>
        <w:rPr>
          <w:rFonts w:ascii="Times New Roman;serif" w:hAnsi="Times New Roman;serif"/>
          <w:b w:val="false"/>
          <w:sz w:val="22"/>
        </w:rPr>
        <w:t>), the Borrower, each lender from time to time party thereto (collectively, the “</w:t>
      </w:r>
      <w:r>
        <w:rPr>
          <w:rFonts w:ascii="Times New Roman;serif" w:hAnsi="Times New Roman;serif"/>
          <w:b w:val="false"/>
          <w:sz w:val="22"/>
          <w:u w:val="single"/>
        </w:rPr>
        <w:t>Lenders</w:t>
      </w:r>
      <w:r>
        <w:rPr>
          <w:rFonts w:ascii="Times New Roman" w:hAnsi="Times New Roman"/>
          <w:sz w:val="20"/>
        </w:rPr>
        <w:t xml:space="preserve">” </w:t>
      </w:r>
      <w:r>
        <w:rPr>
          <w:rFonts w:ascii="Times New Roman;serif" w:hAnsi="Times New Roman;serif"/>
          <w:b w:val="false"/>
          <w:sz w:val="22"/>
        </w:rPr>
        <w:t>and each, individually, a “</w:t>
      </w:r>
      <w:r>
        <w:rPr>
          <w:rFonts w:ascii="Times New Roman;serif" w:hAnsi="Times New Roman;serif"/>
          <w:b w:val="false"/>
          <w:sz w:val="22"/>
          <w:u w:val="single"/>
        </w:rPr>
        <w:t>Lender</w:t>
      </w:r>
      <w:r>
        <w:rPr>
          <w:rFonts w:ascii="Times New Roman" w:hAnsi="Times New Roman"/>
          <w:sz w:val="20"/>
        </w:rPr>
        <w:t>”</w:t>
      </w:r>
      <w:r>
        <w:rPr>
          <w:rFonts w:ascii="Times New Roman;serif" w:hAnsi="Times New Roman;serif"/>
          <w:b w:val="false"/>
          <w:sz w:val="22"/>
        </w:rPr>
        <w:t>), the Administrative Agent, the Collateral Agent, and the Issuing Banks party thereto.</w:t>
      </w:r>
    </w:p>
    <w:p>
      <w:pPr>
        <w:pStyle w:val="TextBody"/>
        <w:bidi w:val="0"/>
        <w:spacing w:before="200" w:after="0"/>
        <w:jc w:val="both"/>
        <w:rPr>
          <w:rFonts w:ascii="Times New Roman" w:hAnsi="Times New Roman"/>
          <w:sz w:val="20"/>
        </w:rPr>
      </w:pPr>
      <w:r>
        <w:rPr>
          <w:rFonts w:ascii="Times New Roman;serif" w:hAnsi="Times New Roman;serif"/>
          <w:b w:val="false"/>
          <w:sz w:val="22"/>
        </w:rPr>
        <w:t>WHEREAS, certain loans and/or other extensions of credit under the Credit Agreement denominated in dollars incur or are permitted to incur interest, fees, commissions or other amounts based on the London Interbank Offered Rate as administered by the ICE Benchmark Administration (“</w:t>
      </w:r>
      <w:r>
        <w:rPr>
          <w:rFonts w:ascii="Times New Roman;serif" w:hAnsi="Times New Roman;serif"/>
          <w:b w:val="false"/>
          <w:sz w:val="22"/>
          <w:u w:val="single"/>
        </w:rPr>
        <w:t>LIBOR</w:t>
      </w:r>
      <w:r>
        <w:rPr>
          <w:rFonts w:ascii="Times New Roman" w:hAnsi="Times New Roman"/>
          <w:sz w:val="20"/>
        </w:rPr>
        <w:t>”</w:t>
      </w:r>
      <w:r>
        <w:rPr>
          <w:rFonts w:ascii="Times New Roman;serif" w:hAnsi="Times New Roman;serif"/>
          <w:b w:val="false"/>
          <w:sz w:val="22"/>
        </w:rPr>
        <w:t>) in accordance with the terms of the Credit Agreement; and</w:t>
      </w:r>
    </w:p>
    <w:p>
      <w:pPr>
        <w:pStyle w:val="TextBody"/>
        <w:bidi w:val="0"/>
        <w:spacing w:before="200" w:after="0"/>
        <w:jc w:val="both"/>
        <w:rPr>
          <w:rFonts w:ascii="Times New Roman" w:hAnsi="Times New Roman"/>
          <w:sz w:val="20"/>
        </w:rPr>
      </w:pPr>
      <w:r>
        <w:rPr>
          <w:rFonts w:ascii="Times New Roman;serif" w:hAnsi="Times New Roman;serif"/>
          <w:b w:val="false"/>
          <w:sz w:val="22"/>
        </w:rPr>
        <w:t xml:space="preserve">WHEREAS, the Administrative Agent and the Borrower have agreed to amend the Credit Agreement to replace the LIBOR Rate with the LIBOR Successor Rate, which LIBOR Successor Rate is a SOFR-Based Rate, set forth in </w:t>
      </w:r>
      <w:r>
        <w:rPr>
          <w:rFonts w:ascii="Times New Roman;serif" w:hAnsi="Times New Roman;serif"/>
          <w:b w:val="false"/>
          <w:sz w:val="22"/>
          <w:u w:val="single"/>
        </w:rPr>
        <w:t>Annex A</w:t>
      </w:r>
      <w:r>
        <w:rPr>
          <w:rFonts w:ascii="Times New Roman" w:hAnsi="Times New Roman"/>
          <w:sz w:val="20"/>
        </w:rPr>
        <w:t xml:space="preserve"> </w:t>
      </w:r>
      <w:r>
        <w:rPr>
          <w:rFonts w:ascii="Times New Roman;serif" w:hAnsi="Times New Roman;serif"/>
          <w:b w:val="false"/>
          <w:sz w:val="22"/>
        </w:rPr>
        <w:t>hereto and to implement the related LIBOR Successor Rate Conforming Changes;</w:t>
      </w:r>
    </w:p>
    <w:p>
      <w:pPr>
        <w:pStyle w:val="TextBody"/>
        <w:bidi w:val="0"/>
        <w:spacing w:before="200" w:after="0"/>
        <w:jc w:val="both"/>
        <w:rPr>
          <w:rFonts w:ascii="Times New Roman" w:hAnsi="Times New Roman"/>
          <w:sz w:val="20"/>
        </w:rPr>
      </w:pPr>
      <w:r>
        <w:rPr>
          <w:rFonts w:ascii="Times New Roman;serif" w:hAnsi="Times New Roman;serif"/>
          <w:b w:val="false"/>
          <w:sz w:val="22"/>
        </w:rPr>
        <w:t>WHEREAS, in accordance with Section 2.14(b) of the Credit Agreement, any such LIBOR Successor Rate amendment, together with the related LIBOR Successor Rate Conforming Changes, shall become effective at 5:00 p.m. (New York time) on the fifth Business Day after the Administrative Agent shall have posted such proposed amendment to all Lenders and the Borrower unless, prior to such time, Lenders comprising Required Lenders have delivered to the Administrative Agent written notice that such Required Lenders do not accept the “credit spread adjustments” (the “</w:t>
      </w:r>
      <w:r>
        <w:rPr>
          <w:rFonts w:ascii="Times New Roman;serif" w:hAnsi="Times New Roman;serif"/>
          <w:b w:val="false"/>
          <w:sz w:val="22"/>
          <w:u w:val="single"/>
        </w:rPr>
        <w:t>Term Loan Adjustments</w:t>
      </w:r>
      <w:r>
        <w:rPr>
          <w:rFonts w:ascii="Times New Roman" w:hAnsi="Times New Roman"/>
          <w:sz w:val="20"/>
        </w:rPr>
        <w:t>”</w:t>
      </w:r>
      <w:r>
        <w:rPr>
          <w:rFonts w:ascii="Times New Roman;serif" w:hAnsi="Times New Roman;serif"/>
          <w:b w:val="false"/>
          <w:sz w:val="22"/>
        </w:rPr>
        <w:t>) to the Term SOFR Rate (as defined in the Amended Credit Agreement) as set forth in clause (a) of the definition of “Adjusted Term SOFR Rate” (as defined in the Amended Credit Agreement);</w:t>
      </w: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WHEREAS, notwithstanding anything in Section 2.14(b) of the Credit Agreement to the contrary, in accordance with Section 9.02(b) of the Credit Agreement, the Administrative Agent, the Borrower and the Revolving Lenders desire to amend the Credit Agreement to reflect the Revolving Loan “credit spread adjustments” to the Term SOFR Rate (as defined in the Amended Credit Agreement) as set forth in clause (b) the definition of “Adjusted Term SOFR Rate” (as defined in the Amended Credit Agreement).</w:t>
      </w: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NOW, THEREFORE, in consideration of the premises and for other good and valuable consideration (the receipt and sufficiency of which are hereby acknowledged), the parties hereto hereby agree as follows:</w:t>
      </w:r>
    </w:p>
    <w:p>
      <w:pPr>
        <w:pStyle w:val="TextBody"/>
        <w:bidi w:val="0"/>
        <w:spacing w:before="200" w:after="0"/>
        <w:jc w:val="both"/>
        <w:rPr>
          <w:rFonts w:ascii="Times New Roman" w:hAnsi="Times New Roman"/>
          <w:sz w:val="20"/>
        </w:rPr>
      </w:pPr>
      <w:bookmarkStart w:id="27" w:name="section_1__defined_terms_"/>
      <w:bookmarkEnd w:id="27"/>
      <w:r>
        <w:rPr>
          <w:rFonts w:ascii="Times New Roman;serif" w:hAnsi="Times New Roman;serif"/>
          <w:b w:val="false"/>
          <w:sz w:val="22"/>
        </w:rPr>
        <w:t xml:space="preserve">SECTION 1. </w:t>
      </w:r>
      <w:r>
        <w:rPr>
          <w:rFonts w:ascii="Times New Roman;serif" w:hAnsi="Times New Roman;serif"/>
          <w:b w:val="false"/>
          <w:sz w:val="22"/>
          <w:u w:val="single"/>
        </w:rPr>
        <w:t>Defined Terms.</w:t>
      </w:r>
    </w:p>
    <w:p>
      <w:pPr>
        <w:pStyle w:val="TextBody"/>
        <w:bidi w:val="0"/>
        <w:spacing w:before="200" w:after="0"/>
        <w:jc w:val="both"/>
        <w:rPr>
          <w:rFonts w:ascii="Times New Roman;serif" w:hAnsi="Times New Roman;serif"/>
          <w:b w:val="false"/>
          <w:sz w:val="22"/>
        </w:rPr>
      </w:pPr>
      <w:bookmarkStart w:id="28" w:name="capitalized_terms_used_but_not_defined_h"/>
      <w:bookmarkEnd w:id="28"/>
      <w:r>
        <w:rPr>
          <w:rFonts w:ascii="Times New Roman;serif" w:hAnsi="Times New Roman;serif"/>
          <w:b w:val="false"/>
          <w:sz w:val="22"/>
        </w:rPr>
        <w:t>Capitalized terms used but not defined herein shall have the respective meanings assigned to such terms in the Credit Agreement.</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bookmarkStart w:id="29" w:name="section_2__amendments__effective_as_of_t"/>
      <w:bookmarkEnd w:id="29"/>
      <w:r>
        <w:rPr>
          <w:rFonts w:ascii="Times New Roman;serif" w:hAnsi="Times New Roman;serif"/>
          <w:b w:val="false"/>
          <w:sz w:val="22"/>
        </w:rPr>
        <w:t xml:space="preserve">SECTION 2. </w:t>
      </w:r>
      <w:r>
        <w:rPr>
          <w:rFonts w:ascii="Times New Roman;serif" w:hAnsi="Times New Roman;serif"/>
          <w:b w:val="false"/>
          <w:sz w:val="22"/>
          <w:u w:val="single"/>
        </w:rPr>
        <w:t>Amendments</w:t>
      </w:r>
      <w:r>
        <w:rPr>
          <w:rFonts w:ascii="Times New Roman;serif" w:hAnsi="Times New Roman;serif"/>
          <w:b w:val="false"/>
          <w:sz w:val="22"/>
        </w:rPr>
        <w:t xml:space="preserve">. Effective as of the Amendment No. 3 Effective Date (as defined below), the Credit Agreement is hereby amended to delete the stricken text (indicated textually in the same manner as the following example: </w:t>
      </w:r>
      <w:r>
        <w:rPr>
          <w:rFonts w:ascii="Times New Roman;serif" w:hAnsi="Times New Roman;serif"/>
          <w:b w:val="false"/>
          <w:strike/>
          <w:sz w:val="22"/>
        </w:rPr>
        <w:t>stricken text</w:t>
      </w:r>
      <w:r>
        <w:rPr>
          <w:rFonts w:ascii="Times New Roman;serif" w:hAnsi="Times New Roman;serif"/>
          <w:b w:val="false"/>
          <w:sz w:val="22"/>
        </w:rPr>
        <w:t xml:space="preserve">) and to add the double-underlined text (indicated textually in the same manner as the following example: </w:t>
      </w:r>
      <w:r>
        <w:rPr>
          <w:rFonts w:ascii="Times New Roman;serif" w:hAnsi="Times New Roman;serif"/>
          <w:b w:val="false"/>
          <w:sz w:val="22"/>
          <w:u w:val="single"/>
        </w:rPr>
        <w:t>double-underlined text</w:t>
      </w:r>
      <w:r>
        <w:rPr>
          <w:rFonts w:ascii="Times New Roman;serif" w:hAnsi="Times New Roman;serif"/>
          <w:b w:val="false"/>
          <w:sz w:val="22"/>
        </w:rPr>
        <w:t xml:space="preserve">) as set forth in the pages of the Credit Agreement attached as </w:t>
      </w:r>
      <w:r>
        <w:rPr>
          <w:rFonts w:ascii="Times New Roman;serif" w:hAnsi="Times New Roman;serif"/>
          <w:b w:val="false"/>
          <w:sz w:val="22"/>
          <w:u w:val="single"/>
        </w:rPr>
        <w:t>Annex A</w:t>
      </w:r>
      <w:r>
        <w:rPr>
          <w:rFonts w:ascii="Times New Roman" w:hAnsi="Times New Roman"/>
          <w:sz w:val="20"/>
        </w:rPr>
        <w:t xml:space="preserve"> </w:t>
      </w:r>
      <w:r>
        <w:rPr>
          <w:rFonts w:ascii="Times New Roman;serif" w:hAnsi="Times New Roman;serif"/>
          <w:b w:val="false"/>
          <w:sz w:val="22"/>
        </w:rPr>
        <w:t>hereto (the “</w:t>
      </w:r>
      <w:r>
        <w:rPr>
          <w:rFonts w:ascii="Times New Roman;serif" w:hAnsi="Times New Roman;serif"/>
          <w:b w:val="false"/>
          <w:sz w:val="22"/>
          <w:u w:val="single"/>
        </w:rPr>
        <w:t>Amended Credit Agreement</w:t>
      </w:r>
      <w:r>
        <w:rPr>
          <w:rFonts w:ascii="Times New Roman" w:hAnsi="Times New Roman"/>
          <w:sz w:val="20"/>
        </w:rPr>
        <w:t>”</w:t>
      </w:r>
      <w:r>
        <w:rPr>
          <w:rFonts w:ascii="Times New Roman;serif" w:hAnsi="Times New Roman;serif"/>
          <w:b w:val="false"/>
          <w:sz w:val="22"/>
        </w:rPr>
        <w:t>).</w:t>
      </w:r>
    </w:p>
    <w:p>
      <w:pPr>
        <w:pStyle w:val="TextBody"/>
        <w:bidi w:val="0"/>
        <w:spacing w:before="200" w:after="0"/>
        <w:jc w:val="both"/>
        <w:rPr>
          <w:rFonts w:ascii="Times New Roman" w:hAnsi="Times New Roman"/>
          <w:sz w:val="20"/>
        </w:rPr>
      </w:pPr>
      <w:bookmarkStart w:id="30" w:name="section_3__representations_and_warrantie"/>
      <w:bookmarkEnd w:id="30"/>
      <w:r>
        <w:rPr>
          <w:rFonts w:ascii="Times New Roman;serif" w:hAnsi="Times New Roman;serif"/>
          <w:b w:val="false"/>
          <w:sz w:val="22"/>
        </w:rPr>
        <w:t xml:space="preserve">SECTION 3. </w:t>
      </w:r>
      <w:r>
        <w:rPr>
          <w:rFonts w:ascii="Times New Roman;serif" w:hAnsi="Times New Roman;serif"/>
          <w:b w:val="false"/>
          <w:sz w:val="22"/>
          <w:u w:val="single"/>
        </w:rPr>
        <w:t>Representations and Warranties.</w:t>
      </w:r>
    </w:p>
    <w:p>
      <w:pPr>
        <w:pStyle w:val="TextBody"/>
        <w:bidi w:val="0"/>
        <w:spacing w:before="200" w:after="0"/>
        <w:jc w:val="both"/>
        <w:rPr>
          <w:rFonts w:ascii="Times New Roman" w:hAnsi="Times New Roman"/>
          <w:b w:val="false"/>
          <w:sz w:val="22"/>
        </w:rPr>
      </w:pPr>
      <w:r>
        <w:rPr>
          <w:rFonts w:ascii="Times New Roman" w:hAnsi="Times New Roman"/>
          <w:b w:val="false"/>
          <w:sz w:val="22"/>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To induce the other parties hereto to enter into this Amendment, the Borrower represents and warrants to the Administrative Agent that, as of the Amendment No. 3 Effective Date, this Amendment has been duly authorized, executed and delivered by the Borrower and constitutes, and upon the occurrence of the Amendment No. 3 Effective Date and after giving effect to the transactions and amendments to occur on the Amendment No. 3 Effective Date, the Amended Credit Agreement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rFonts w:ascii="Times New Roman" w:hAnsi="Times New Roman"/>
          <w:b w:val="false"/>
          <w:sz w:val="22"/>
        </w:rPr>
      </w:pPr>
      <w:r>
        <w:rPr>
          <w:rFonts w:ascii="Times New Roman" w:hAnsi="Times New Roman"/>
          <w:b w:val="false"/>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The representations and warranties of each Loan Party set forth in the Loan Documents are, after giving effect to this Amendment on the Amendment No. 3 Effective Date, true and correct in all material respects on and as of such date, except to the extent such representations and warranties specifically refer to an earlier date, in which case such representations and warranties were true and correct in all material respects as of such earlier date; provided that any representation and warranty that is qualified as to “materiality,” “Material Adverse Effect” or similar language shall be true and correct in all respects on the Amendment No. 3 Effective Date hereof or on such earlier date,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rFonts w:ascii="Times New Roman" w:hAnsi="Times New Roman"/>
          <w:sz w:val="20"/>
        </w:rPr>
      </w:pPr>
      <w:bookmarkStart w:id="31" w:name="section_4__conditions_of_effectiveness"/>
      <w:bookmarkEnd w:id="31"/>
      <w:r>
        <w:rPr>
          <w:rFonts w:ascii="Times New Roman;serif" w:hAnsi="Times New Roman;serif"/>
          <w:b w:val="false"/>
          <w:sz w:val="22"/>
        </w:rPr>
        <w:t xml:space="preserve">SECTION 4. </w:t>
      </w:r>
      <w:r>
        <w:rPr>
          <w:rFonts w:ascii="Times New Roman;serif" w:hAnsi="Times New Roman;serif"/>
          <w:b w:val="false"/>
          <w:sz w:val="22"/>
          <w:u w:val="single"/>
        </w:rPr>
        <w:t>Conditions of Effectiveness</w:t>
      </w:r>
      <w:r>
        <w:rPr>
          <w:rFonts w:ascii="Times New Roman;serif" w:hAnsi="Times New Roman;serif"/>
          <w:b w:val="false"/>
          <w:sz w:val="22"/>
        </w:rPr>
        <w:t>. This Amendment shall become effective as of the first date (the “</w:t>
      </w:r>
      <w:r>
        <w:rPr>
          <w:rFonts w:ascii="Times New Roman;serif" w:hAnsi="Times New Roman;serif"/>
          <w:b w:val="false"/>
          <w:sz w:val="22"/>
          <w:u w:val="single"/>
        </w:rPr>
        <w:t>Amendment No. 3 Effective Date</w:t>
      </w:r>
      <w:r>
        <w:rPr>
          <w:rFonts w:ascii="Times New Roman" w:hAnsi="Times New Roman"/>
          <w:sz w:val="20"/>
        </w:rPr>
        <w:t>”</w:t>
      </w:r>
      <w:r>
        <w:rPr>
          <w:rFonts w:ascii="Times New Roman;serif" w:hAnsi="Times New Roman;serif"/>
          <w:b w:val="false"/>
          <w:sz w:val="22"/>
        </w:rPr>
        <w:t>) on which the applicable conditions set forth below shall have been satisfied:</w:t>
      </w:r>
    </w:p>
    <w:p>
      <w:pPr>
        <w:pStyle w:val="TextBody"/>
        <w:bidi w:val="0"/>
        <w:spacing w:before="200" w:after="0"/>
        <w:jc w:val="both"/>
        <w:rPr>
          <w:rFonts w:ascii="Times New Roman" w:hAnsi="Times New Roman"/>
          <w:b w:val="false"/>
          <w:sz w:val="22"/>
        </w:rPr>
      </w:pPr>
      <w:r>
        <w:rPr>
          <w:rFonts w:ascii="Times New Roman" w:hAnsi="Times New Roman"/>
          <w:b w:val="false"/>
          <w:sz w:val="22"/>
        </w:rPr>
        <w:t>(a)</w:t>
      </w: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The Administrative Agent shall have received counterparts of this Amendment executed by the Borrower, each Revolving Lender and the Administrative Agent; and</w:t>
      </w:r>
    </w:p>
    <w:p>
      <w:pPr>
        <w:pStyle w:val="TextBody"/>
        <w:bidi w:val="0"/>
        <w:spacing w:before="200" w:after="0"/>
        <w:jc w:val="both"/>
        <w:rPr>
          <w:rFonts w:ascii="Times New Roman" w:hAnsi="Times New Roman"/>
          <w:b w:val="false"/>
          <w:sz w:val="22"/>
        </w:rPr>
      </w:pPr>
      <w:r>
        <w:rPr>
          <w:rFonts w:ascii="Times New Roman" w:hAnsi="Times New Roman"/>
          <w:b w:val="false"/>
          <w:sz w:val="22"/>
        </w:rPr>
        <w:t>(b)</w:t>
      </w:r>
    </w:p>
    <w:p>
      <w:pPr>
        <w:pStyle w:val="TextBody"/>
        <w:bidi w:val="0"/>
        <w:spacing w:before="200" w:after="283"/>
        <w:jc w:val="both"/>
        <w:rPr>
          <w:rFonts w:ascii="Times New Roman;serif" w:hAnsi="Times New Roman;serif"/>
          <w:b w:val="false"/>
          <w:sz w:val="22"/>
        </w:rPr>
      </w:pPr>
      <w:r>
        <w:rPr>
          <w:rFonts w:ascii="Times New Roman;serif" w:hAnsi="Times New Roman;serif"/>
          <w:b w:val="false"/>
          <w:sz w:val="22"/>
        </w:rPr>
        <w:t>The Administrative Agent shall have posted this Amendment to all Lenders and the Borrower five Business Days in advance of the date hereof, and as of 5:00 p.m. (New York time) on the date hereof, the Administrative Agent shall not have received written notice of objection to the Term Loan Adjustments from Lenders comprising Required Lenders.</w:t>
      </w:r>
    </w:p>
    <w:p>
      <w:pPr>
        <w:pStyle w:val="TextBody"/>
        <w:bidi w:val="0"/>
        <w:spacing w:before="200" w:after="0"/>
        <w:jc w:val="both"/>
        <w:rPr>
          <w:rFonts w:ascii="Times New Roman" w:hAnsi="Times New Roman"/>
          <w:sz w:val="20"/>
        </w:rPr>
      </w:pPr>
      <w:bookmarkStart w:id="32" w:name="section_5__governing_law___this_amendmen"/>
      <w:bookmarkEnd w:id="32"/>
      <w:r>
        <w:rPr>
          <w:rFonts w:ascii="Times New Roman;serif" w:hAnsi="Times New Roman;serif"/>
          <w:b w:val="false"/>
          <w:sz w:val="22"/>
        </w:rPr>
        <w:t xml:space="preserve">SECTION 5. </w:t>
      </w:r>
      <w:r>
        <w:rPr>
          <w:rFonts w:ascii="Times New Roman;serif" w:hAnsi="Times New Roman;serif"/>
          <w:b w:val="false"/>
          <w:sz w:val="22"/>
          <w:u w:val="single"/>
        </w:rPr>
        <w:t xml:space="preserve">Governing Law. </w:t>
      </w:r>
      <w:r>
        <w:rPr>
          <w:rFonts w:ascii="Times New Roman;serif" w:hAnsi="Times New Roman;serif"/>
          <w:b w:val="false"/>
          <w:sz w:val="22"/>
        </w:rPr>
        <w:t>This Amendment shall be construed in accordance with and governed by the law of the State of New York. The provisions of Sections 9.09 and 9.10 of the Credit Agreement shall apply to this Amendment to the same extent as if fully set forth herein.</w:t>
      </w:r>
    </w:p>
    <w:p>
      <w:pPr>
        <w:pStyle w:val="TextBody"/>
        <w:bidi w:val="0"/>
        <w:spacing w:before="200" w:after="0"/>
        <w:jc w:val="both"/>
        <w:rPr>
          <w:rFonts w:ascii="Times New Roman" w:hAnsi="Times New Roman"/>
          <w:sz w:val="20"/>
        </w:rPr>
      </w:pPr>
      <w:bookmarkStart w:id="33" w:name="section_6__costs_and_expenses___the_borr"/>
      <w:bookmarkEnd w:id="33"/>
      <w:r>
        <w:rPr>
          <w:rFonts w:ascii="Times New Roman;serif" w:hAnsi="Times New Roman;serif"/>
          <w:b w:val="false"/>
          <w:sz w:val="22"/>
        </w:rPr>
        <w:t xml:space="preserve">SECTION 6. </w:t>
      </w:r>
      <w:r>
        <w:rPr>
          <w:rFonts w:ascii="Times New Roman;serif" w:hAnsi="Times New Roman;serif"/>
          <w:b w:val="false"/>
          <w:sz w:val="22"/>
          <w:u w:val="single"/>
        </w:rPr>
        <w:t xml:space="preserve">Costs and Expenses. </w:t>
      </w:r>
      <w:r>
        <w:rPr>
          <w:rFonts w:ascii="Times New Roman;serif" w:hAnsi="Times New Roman;serif"/>
          <w:b w:val="false"/>
          <w:sz w:val="22"/>
        </w:rPr>
        <w:t>The Borrower agrees to reimburse the Administrative Agent for its reasonable out of pocket expenses in connection with this Amendment and the transactions contemplated hereby, including the reasonable fees, charges and disbursements of Cahill Gordon &amp; Reindel LLP, counsel for the Administrative Agent.</w:t>
      </w:r>
    </w:p>
    <w:p>
      <w:pPr>
        <w:pStyle w:val="TextBody"/>
        <w:bidi w:val="0"/>
        <w:spacing w:before="200" w:after="0"/>
        <w:jc w:val="both"/>
        <w:rPr>
          <w:rFonts w:ascii="Times New Roman" w:hAnsi="Times New Roman"/>
          <w:sz w:val="20"/>
        </w:rPr>
      </w:pPr>
      <w:bookmarkStart w:id="34" w:name="section_7__counterparts___this_amendment"/>
      <w:bookmarkEnd w:id="34"/>
      <w:r>
        <w:rPr>
          <w:rFonts w:ascii="Times New Roman;serif" w:hAnsi="Times New Roman;serif"/>
          <w:b w:val="false"/>
          <w:sz w:val="22"/>
        </w:rPr>
        <w:t xml:space="preserve">SECTION 7. </w:t>
      </w:r>
      <w:r>
        <w:rPr>
          <w:rFonts w:ascii="Times New Roman;serif" w:hAnsi="Times New Roman;serif"/>
          <w:b w:val="false"/>
          <w:sz w:val="22"/>
          <w:u w:val="single"/>
        </w:rPr>
        <w:t xml:space="preserve">Counterparts. </w:t>
      </w:r>
      <w:r>
        <w:rPr>
          <w:rFonts w:ascii="Times New Roman;serif" w:hAnsi="Times New Roman;serif"/>
          <w:b w:val="false"/>
          <w:sz w:val="22"/>
        </w:rPr>
        <w:t>This Amendment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Amendment by facsimile transmission or other electronic imaging means shall be effective as delivery of a manually executed counterpart hereof. This Amendment and any document, amendment, approval, consent, information, notice, certificate, request, statement, disclosure or authorization related to this Amendment (each a “Communication”), including Communications required to be in writing, may be in the form of an Electronic Record and may be executed using Electronic Signatures. Each of the Loan Parties agrees that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Secured Parties of a manually signed paper Communication which has been converted into electronic form (such as scanned into PDF format), or an electronically signed Communication converted into another format, for transmission, delivery and/or retention. The Administrative Agent and each of the Secured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Secured Parties shall be entitled to rely on any such Electronic Signature purportedly given by or on behalf of any Loan Party without further verification and (b) upon the request of the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200" w:after="0"/>
        <w:jc w:val="both"/>
        <w:rPr>
          <w:rFonts w:ascii="Times New Roman" w:hAnsi="Times New Roman"/>
          <w:sz w:val="20"/>
        </w:rPr>
      </w:pPr>
      <w:bookmarkStart w:id="35" w:name="section_8__effect_of_amendment_"/>
      <w:bookmarkEnd w:id="35"/>
      <w:r>
        <w:rPr>
          <w:rFonts w:ascii="Times New Roman;serif" w:hAnsi="Times New Roman;serif"/>
          <w:b w:val="false"/>
          <w:sz w:val="22"/>
        </w:rPr>
        <w:t xml:space="preserve">SECTION 8. </w:t>
      </w:r>
      <w:r>
        <w:rPr>
          <w:rFonts w:ascii="Times New Roman;serif" w:hAnsi="Times New Roman;serif"/>
          <w:b w:val="false"/>
          <w:sz w:val="22"/>
          <w:u w:val="single"/>
        </w:rPr>
        <w:t>Effect of Amendment.</w:t>
      </w:r>
    </w:p>
    <w:p>
      <w:pPr>
        <w:pStyle w:val="TextBody"/>
        <w:bidi w:val="0"/>
        <w:spacing w:before="200" w:after="0"/>
        <w:jc w:val="both"/>
        <w:rPr>
          <w:rFonts w:ascii="Times New Roman" w:hAnsi="Times New Roman"/>
          <w:b w:val="false"/>
          <w:sz w:val="22"/>
        </w:rPr>
      </w:pPr>
      <w:r>
        <w:rPr>
          <w:rFonts w:ascii="Times New Roman" w:hAnsi="Times New Roman"/>
          <w:b w:val="false"/>
          <w:sz w:val="22"/>
        </w:rPr>
        <w:t>(a)</w:t>
      </w:r>
    </w:p>
    <w:p>
      <w:pPr>
        <w:pStyle w:val="TextBody"/>
        <w:bidi w:val="0"/>
        <w:spacing w:before="200" w:after="0"/>
        <w:jc w:val="both"/>
        <w:rPr>
          <w:rFonts w:ascii="Times New Roman;serif" w:hAnsi="Times New Roman;serif"/>
          <w:b w:val="false"/>
          <w:sz w:val="22"/>
        </w:rPr>
      </w:pPr>
      <w:r>
        <w:rPr>
          <w:rFonts w:ascii="Times New Roman;serif" w:hAnsi="Times New Roman;serif"/>
          <w:b w:val="false"/>
          <w:sz w:val="22"/>
        </w:rPr>
        <w:t>Except as expressly set forth herein, this Amendment shall not by implication or otherwise limit, impair, constitute a 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Amendment No. 3 Effective Date. The Borrower agrees that (i) the Security Documents continue to be in full force and effect and are not impaired or adversely affected in any manner whatsoever, (ii) confirms its grant of security interests pursuant to the Security Documents to which it is a party as Collateral for the obligations and (iii) acknowledges that all Liens granted (or purported to be granted) pursuant to the Security Documents remain and continue in full force and effect in respect of, and to secure, the obligations. Nothing herein shall be deemed to establish a precedent for purposes of interpreting the provisions of the Amended Credit Agreement or entitle any Loan Party to a consent to, or a waiver, amendment, modification or other change of, any of the terms, conditions, obligations, covenants or agreements contained in the Amended Credit Agreement or any other Loan Document in similar or different circumstances. This Amendment shall apply to and be effective only with respect to the provisions of the Credit Agreement and the other Loan Documents specifically referred to herein.</w:t>
      </w:r>
    </w:p>
    <w:p>
      <w:pPr>
        <w:pStyle w:val="TextBody"/>
        <w:bidi w:val="0"/>
        <w:spacing w:before="200" w:after="0"/>
        <w:jc w:val="both"/>
        <w:rPr>
          <w:rFonts w:ascii="Times New Roman" w:hAnsi="Times New Roman"/>
          <w:b w:val="false"/>
          <w:sz w:val="22"/>
        </w:rPr>
      </w:pPr>
      <w:r>
        <w:rPr>
          <w:rFonts w:ascii="Times New Roman" w:hAnsi="Times New Roman"/>
          <w:b w:val="false"/>
          <w:sz w:val="22"/>
        </w:rPr>
        <w:t>(b)</w:t>
      </w:r>
    </w:p>
    <w:p>
      <w:pPr>
        <w:pStyle w:val="TextBody"/>
        <w:bidi w:val="0"/>
        <w:spacing w:before="200" w:after="283"/>
        <w:jc w:val="both"/>
        <w:rPr>
          <w:rFonts w:ascii="Times New Roman;serif" w:hAnsi="Times New Roman;serif"/>
          <w:b w:val="false"/>
          <w:sz w:val="22"/>
        </w:rPr>
      </w:pPr>
      <w:r>
        <w:rPr>
          <w:rFonts w:ascii="Times New Roman;serif" w:hAnsi="Times New Roman;serif"/>
          <w:b w:val="false"/>
          <w:sz w:val="22"/>
        </w:rPr>
        <w:t xml:space="preserve">On and after the Amendment No. 3 Effective Date, each reference in the Credit Agreement to “this Agreement”, “hereunder”, “hereof”, “herein” or words of like import, and each reference to the Credit Agreement, “thereunder”, “thereof”, “therein” or words of like import in any other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83"/>
        <w:jc w:val="both"/>
        <w:rPr>
          <w:rFonts w:ascii="Times New Roman;serif" w:hAnsi="Times New Roman;serif"/>
          <w:b w:val="false"/>
          <w:sz w:val="22"/>
        </w:rPr>
      </w:pPr>
      <w:r>
        <w:rPr>
          <w:rFonts w:ascii="Times New Roman;serif" w:hAnsi="Times New Roman;serif"/>
          <w:b w:val="false"/>
          <w:sz w:val="22"/>
        </w:rPr>
        <w:t>Loan Document, shall be deemed a reference to the Credit Agreement, as amended hereby. On and after the Amendment No. 3 Effective Date, this Amendment shall constitute a Refinancing Amendment entered into pursuant to Section 2.21 of the Credit Agreement, an Incremental Facility Amendment entered into pursuant to Section 2.20 of the Credit Agreement and a “Loan Document” for all purposes of the Credit Agreement and the other Loan Documents.</w:t>
      </w:r>
    </w:p>
    <w:p>
      <w:pPr>
        <w:pStyle w:val="TextBody"/>
        <w:bidi w:val="0"/>
        <w:spacing w:before="200" w:after="0"/>
        <w:jc w:val="both"/>
        <w:rPr>
          <w:rFonts w:ascii="Times New Roman" w:hAnsi="Times New Roman"/>
          <w:sz w:val="20"/>
        </w:rPr>
      </w:pPr>
      <w:bookmarkStart w:id="36" w:name="section_9__transition_to_term_sofr"/>
      <w:bookmarkEnd w:id="36"/>
      <w:r>
        <w:rPr>
          <w:rFonts w:ascii="Times New Roman;serif" w:hAnsi="Times New Roman;serif"/>
          <w:b w:val="false"/>
          <w:sz w:val="22"/>
        </w:rPr>
        <w:t xml:space="preserve">SECTION 9. </w:t>
      </w:r>
      <w:r>
        <w:rPr>
          <w:rFonts w:ascii="Times New Roman;serif" w:hAnsi="Times New Roman;serif"/>
          <w:b w:val="false"/>
          <w:sz w:val="22"/>
          <w:u w:val="single"/>
        </w:rPr>
        <w:t>Transition to Term SOFR</w:t>
      </w:r>
      <w:r>
        <w:rPr>
          <w:rFonts w:ascii="Times New Roman;serif" w:hAnsi="Times New Roman;serif"/>
          <w:b w:val="false"/>
          <w:sz w:val="22"/>
        </w:rPr>
        <w:t>. Notwithstanding any other provision herein or in any other Loan Document, any Term Loan and Revolving Loan that constitutes a Eurocurrency Loan that is outstanding as of the Amendment No. 3 Effective Date shall continue until the end of the applicable Interest Period for such Eurocurrency Loan for each Class and the provisions of the Credit Agreement applicable thereto shall continue and remain in effect (notwithstanding the entry into this Amendment and the occurrence of the Amendment No. 3 Effective Date) until the end of the applicable Interest Period (the “</w:t>
      </w:r>
      <w:r>
        <w:rPr>
          <w:rFonts w:ascii="Times New Roman;serif" w:hAnsi="Times New Roman;serif"/>
          <w:b w:val="false"/>
          <w:sz w:val="22"/>
          <w:u w:val="single"/>
        </w:rPr>
        <w:t>Current Interest Period</w:t>
      </w:r>
      <w:r>
        <w:rPr>
          <w:rFonts w:ascii="Times New Roman" w:hAnsi="Times New Roman"/>
          <w:sz w:val="20"/>
        </w:rPr>
        <w:t>”</w:t>
      </w:r>
      <w:r>
        <w:rPr>
          <w:rFonts w:ascii="Times New Roman;serif" w:hAnsi="Times New Roman;serif"/>
          <w:b w:val="false"/>
          <w:sz w:val="22"/>
        </w:rPr>
        <w:t xml:space="preserve">) for such Eurocurrency Loan for each such Class, after which such provisions shall have no further force or effect and upon which date the terms of the Amended Credit Agreement notwithstanding this Section 11 shall automatically apply to such Term Loans and Revolving Loans without any further action by any party party hereto; </w:t>
      </w:r>
      <w:r>
        <w:rPr>
          <w:rFonts w:ascii="Times New Roman;serif" w:hAnsi="Times New Roman;serif"/>
          <w:b w:val="false"/>
          <w:i/>
          <w:sz w:val="22"/>
        </w:rPr>
        <w:t xml:space="preserve">provided that, </w:t>
      </w:r>
      <w:r>
        <w:rPr>
          <w:rFonts w:ascii="Times New Roman;serif" w:hAnsi="Times New Roman;serif"/>
          <w:b w:val="false"/>
          <w:sz w:val="22"/>
        </w:rPr>
        <w:t xml:space="preserve">for the avoidance of doubt, at any time from and after the Amendment No. 3 Effective Date, the Borrower shall not be permitted to request a Borrowing of, conversion to, or continuation of, any Eurocurrency Loan that is a Loan outstanding as of the Amendment No. 3 Effective Date and shall instead request that any such Borrowing is made in, converted to or continued to, as applicable, Term SOFR Loans (as defined in the Amended Credit Agreement); </w:t>
      </w:r>
      <w:r>
        <w:rPr>
          <w:rFonts w:ascii="Times New Roman;serif" w:hAnsi="Times New Roman;serif"/>
          <w:b w:val="false"/>
          <w:i/>
          <w:sz w:val="22"/>
        </w:rPr>
        <w:t xml:space="preserve">provided, further, that </w:t>
      </w:r>
      <w:r>
        <w:rPr>
          <w:rFonts w:ascii="Times New Roman;serif" w:hAnsi="Times New Roman;serif"/>
          <w:b w:val="false"/>
          <w:sz w:val="22"/>
        </w:rPr>
        <w:t>if the Borrower has not delivered an Interest Election Request specifying an Interest Period (as defined in the Amended Credit Agreement) at the end of the Current Interest Period for such Eurocurrency Loan, the Borrower shall be deemed to have selected an Interest Period (as defined in the Amended Credit Agreement) of one month’s duration. For the avoidance of doubt, from and after the Amendment No. 3 Effective Date, dollars shall not be considered a currency for which there is a published LIBOR rate.</w:t>
      </w:r>
    </w:p>
    <w:p>
      <w:pPr>
        <w:pStyle w:val="TextBody"/>
        <w:bidi w:val="0"/>
        <w:spacing w:before="600" w:after="0"/>
        <w:jc w:val="center"/>
        <w:rPr>
          <w:rFonts w:ascii="Times New Roman;serif" w:hAnsi="Times New Roman;serif"/>
          <w:b w:val="false"/>
          <w:sz w:val="22"/>
        </w:rPr>
      </w:pPr>
      <w:r>
        <w:rPr>
          <w:rFonts w:ascii="Times New Roman;serif" w:hAnsi="Times New Roman;serif"/>
          <w:b w:val="false"/>
          <w:sz w:val="22"/>
        </w:rPr>
        <w:t>[REMAINDER OF PAGE INTENTIONALLY LEFT BLANK]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IN WITNESS WHEREOF, the parties hereto have caused this Amendment to be duly executed as of the date first above written.</w:t>
      </w:r>
    </w:p>
    <w:p>
      <w:pPr>
        <w:pStyle w:val="TextBody"/>
        <w:bidi w:val="0"/>
        <w:spacing w:before="4" w:after="0"/>
        <w:jc w:val="left"/>
        <w:rPr/>
      </w:pPr>
      <w:r>
        <w:rPr/>
        <w:t> </w:t>
      </w:r>
    </w:p>
    <w:tbl>
      <w:tblPr>
        <w:tblW w:w="4004" w:type="dxa"/>
        <w:jc w:val="left"/>
        <w:tblInd w:w="0" w:type="dxa"/>
        <w:tblLayout w:type="fixed"/>
        <w:tblCellMar>
          <w:top w:w="28" w:type="dxa"/>
          <w:left w:w="28" w:type="dxa"/>
          <w:bottom w:w="28" w:type="dxa"/>
          <w:right w:w="28" w:type="dxa"/>
        </w:tblCellMar>
      </w:tblPr>
      <w:tblGrid>
        <w:gridCol w:w="520"/>
        <w:gridCol w:w="832"/>
        <w:gridCol w:w="2652"/>
      </w:tblGrid>
      <w:tr>
        <w:trPr/>
        <w:tc>
          <w:tcPr>
            <w:tcW w:w="5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4" w:after="0"/>
              <w:ind w:left="0" w:right="0" w:hanging="0"/>
              <w:jc w:val="left"/>
              <w:rPr>
                <w:rFonts w:ascii="Times New Roman;serif" w:hAnsi="Times New Roman;serif"/>
                <w:b w:val="false"/>
                <w:sz w:val="22"/>
              </w:rPr>
            </w:pPr>
            <w:r>
              <w:rPr>
                <w:rFonts w:ascii="Times New Roman;serif" w:hAnsi="Times New Roman;serif"/>
                <w:b w:val="false"/>
                <w:sz w:val="22"/>
              </w:rPr>
              <w:t>FIRST ADVANTAGE HOLDINGS, LLC</w:t>
            </w:r>
          </w:p>
        </w:tc>
      </w:tr>
      <w:tr>
        <w:trPr/>
        <w:tc>
          <w:tcPr>
            <w:tcW w:w="4004"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2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34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David Gamsey</w:t>
            </w:r>
          </w:p>
        </w:tc>
      </w:tr>
      <w:tr>
        <w:trPr/>
        <w:tc>
          <w:tcPr>
            <w:tcW w:w="52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6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David Gamsey</w:t>
            </w:r>
          </w:p>
        </w:tc>
      </w:tr>
      <w:tr>
        <w:trPr/>
        <w:tc>
          <w:tcPr>
            <w:tcW w:w="52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26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Chief Financial Officer</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205" w:type="dxa"/>
        <w:jc w:val="left"/>
        <w:tblInd w:w="0" w:type="dxa"/>
        <w:tblLayout w:type="fixed"/>
        <w:tblCellMar>
          <w:top w:w="28" w:type="dxa"/>
          <w:left w:w="28" w:type="dxa"/>
          <w:bottom w:w="28" w:type="dxa"/>
          <w:right w:w="28" w:type="dxa"/>
        </w:tblCellMar>
      </w:tblPr>
      <w:tblGrid>
        <w:gridCol w:w="518"/>
        <w:gridCol w:w="828"/>
        <w:gridCol w:w="3859"/>
      </w:tblGrid>
      <w:tr>
        <w:trPr/>
        <w:tc>
          <w:tcPr>
            <w:tcW w:w="5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BANK OF AMERICA, N.A., as Administrative Agent</w:t>
            </w:r>
          </w:p>
        </w:tc>
      </w:tr>
      <w:tr>
        <w:trPr/>
        <w:tc>
          <w:tcPr>
            <w:tcW w:w="5205"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46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Erik Truette</w:t>
            </w:r>
          </w:p>
        </w:tc>
      </w:tr>
      <w:tr>
        <w:trPr/>
        <w:tc>
          <w:tcPr>
            <w:tcW w:w="51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385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Erik Truette</w:t>
            </w:r>
          </w:p>
        </w:tc>
      </w:tr>
      <w:tr>
        <w:trPr/>
        <w:tc>
          <w:tcPr>
            <w:tcW w:w="51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3859" w:type="dxa"/>
            <w:tcBorders/>
            <w:tcMar>
              <w:top w:w="0" w:type="dxa"/>
              <w:left w:w="0" w:type="dxa"/>
              <w:bottom w:w="0" w:type="dxa"/>
              <w:right w:w="0" w:type="dxa"/>
            </w:tcMar>
            <w:vAlign w:val="center"/>
          </w:tcPr>
          <w:p>
            <w:pPr>
              <w:pStyle w:val="TableContents"/>
              <w:bidi w:val="0"/>
              <w:spacing w:before="1" w:after="0"/>
              <w:ind w:left="0" w:right="1857" w:hanging="0"/>
              <w:jc w:val="left"/>
              <w:rPr>
                <w:rFonts w:ascii="Times New Roman;serif" w:hAnsi="Times New Roman;serif"/>
                <w:b w:val="false"/>
                <w:sz w:val="22"/>
              </w:rPr>
            </w:pPr>
            <w:r>
              <w:rPr>
                <w:rFonts w:ascii="Times New Roman;serif" w:hAnsi="Times New Roman;serif"/>
                <w:b w:val="false"/>
                <w:sz w:val="22"/>
              </w:rPr>
              <w:t>Vice President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055" w:type="dxa"/>
        <w:jc w:val="left"/>
        <w:tblInd w:w="0" w:type="dxa"/>
        <w:tblLayout w:type="fixed"/>
        <w:tblCellMar>
          <w:top w:w="28" w:type="dxa"/>
          <w:left w:w="28" w:type="dxa"/>
          <w:bottom w:w="28" w:type="dxa"/>
          <w:right w:w="28" w:type="dxa"/>
        </w:tblCellMar>
      </w:tblPr>
      <w:tblGrid>
        <w:gridCol w:w="853"/>
        <w:gridCol w:w="1363"/>
        <w:gridCol w:w="2839"/>
      </w:tblGrid>
      <w:tr>
        <w:trPr/>
        <w:tc>
          <w:tcPr>
            <w:tcW w:w="8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BANK OF AMERICA, N.A., as a Revolving Lender</w:t>
            </w:r>
          </w:p>
        </w:tc>
      </w:tr>
      <w:tr>
        <w:trPr/>
        <w:tc>
          <w:tcPr>
            <w:tcW w:w="5055"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5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4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Rohan Zanje</w:t>
            </w:r>
          </w:p>
        </w:tc>
      </w:tr>
      <w:tr>
        <w:trPr/>
        <w:tc>
          <w:tcPr>
            <w:tcW w:w="8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8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Rohan Zanje</w:t>
            </w:r>
          </w:p>
        </w:tc>
      </w:tr>
      <w:tr>
        <w:trPr/>
        <w:tc>
          <w:tcPr>
            <w:tcW w:w="8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28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18" w:type="dxa"/>
        <w:jc w:val="left"/>
        <w:tblInd w:w="0" w:type="dxa"/>
        <w:tblLayout w:type="fixed"/>
        <w:tblCellMar>
          <w:top w:w="28" w:type="dxa"/>
          <w:left w:w="28" w:type="dxa"/>
          <w:bottom w:w="28" w:type="dxa"/>
          <w:right w:w="28" w:type="dxa"/>
        </w:tblCellMar>
      </w:tblPr>
      <w:tblGrid>
        <w:gridCol w:w="451"/>
        <w:gridCol w:w="721"/>
        <w:gridCol w:w="1846"/>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BARCLAYS BANK PLC,</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3018"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/s/ Warren Veech III</w:t>
            </w:r>
            <w:r>
              <w:rPr>
                <w:rFonts w:ascii="Times New Roman" w:hAnsi="Times New Roman"/>
                <w:sz w:val="22"/>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Warren Veech III</w:t>
            </w:r>
            <w:r>
              <w:rPr>
                <w:rFonts w:ascii="Times New Roman" w:hAnsi="Times New Roman"/>
                <w:sz w:val="22"/>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2988" w:type="dxa"/>
        <w:jc w:val="left"/>
        <w:tblInd w:w="0" w:type="dxa"/>
        <w:tblLayout w:type="fixed"/>
        <w:tblCellMar>
          <w:top w:w="28" w:type="dxa"/>
          <w:left w:w="28" w:type="dxa"/>
          <w:bottom w:w="28" w:type="dxa"/>
          <w:right w:w="28" w:type="dxa"/>
        </w:tblCellMar>
      </w:tblPr>
      <w:tblGrid>
        <w:gridCol w:w="451"/>
        <w:gridCol w:w="721"/>
        <w:gridCol w:w="1816"/>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CITIBANK N.A.,</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2988"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5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Marina Donskaya</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Marina Donskaya</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228" w:type="dxa"/>
        <w:jc w:val="left"/>
        <w:tblInd w:w="0" w:type="dxa"/>
        <w:tblLayout w:type="fixed"/>
        <w:tblCellMar>
          <w:top w:w="28" w:type="dxa"/>
          <w:left w:w="28" w:type="dxa"/>
          <w:bottom w:w="28" w:type="dxa"/>
          <w:right w:w="28" w:type="dxa"/>
        </w:tblCellMar>
      </w:tblPr>
      <w:tblGrid>
        <w:gridCol w:w="451"/>
        <w:gridCol w:w="721"/>
        <w:gridCol w:w="2056"/>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3228"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Citizens Bank, N.A.,</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3228"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Christopher O’Brien</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Christopher O’Brien</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710" w:type="dxa"/>
        <w:jc w:val="left"/>
        <w:tblInd w:w="0" w:type="dxa"/>
        <w:tblLayout w:type="fixed"/>
        <w:tblCellMar>
          <w:top w:w="28" w:type="dxa"/>
          <w:left w:w="28" w:type="dxa"/>
          <w:bottom w:w="28" w:type="dxa"/>
          <w:right w:w="28" w:type="dxa"/>
        </w:tblCellMar>
      </w:tblPr>
      <w:tblGrid>
        <w:gridCol w:w="637"/>
        <w:gridCol w:w="1019"/>
        <w:gridCol w:w="3054"/>
      </w:tblGrid>
      <w:tr>
        <w:trPr/>
        <w:tc>
          <w:tcPr>
            <w:tcW w:w="63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HSBC BANK USA, N.A, as a Revolving Lender</w:t>
            </w:r>
          </w:p>
        </w:tc>
      </w:tr>
      <w:tr>
        <w:trPr/>
        <w:tc>
          <w:tcPr>
            <w:tcW w:w="4710"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3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40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John S. Frame</w:t>
            </w:r>
          </w:p>
        </w:tc>
      </w:tr>
      <w:tr>
        <w:trPr/>
        <w:tc>
          <w:tcPr>
            <w:tcW w:w="63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1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305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John S. Frame</w:t>
            </w:r>
          </w:p>
        </w:tc>
      </w:tr>
      <w:tr>
        <w:trPr/>
        <w:tc>
          <w:tcPr>
            <w:tcW w:w="63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1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305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Senior Vice President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93" w:type="dxa"/>
        <w:jc w:val="left"/>
        <w:tblInd w:w="0" w:type="dxa"/>
        <w:tblLayout w:type="fixed"/>
        <w:tblCellMar>
          <w:top w:w="28" w:type="dxa"/>
          <w:left w:w="28" w:type="dxa"/>
          <w:bottom w:w="28" w:type="dxa"/>
          <w:right w:w="28" w:type="dxa"/>
        </w:tblCellMar>
      </w:tblPr>
      <w:tblGrid>
        <w:gridCol w:w="451"/>
        <w:gridCol w:w="721"/>
        <w:gridCol w:w="1921"/>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093"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JEFFERIES FINANCE LLC,</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3093"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JR Young</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JR Young</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Managing Director</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10" w:type="dxa"/>
        <w:jc w:val="left"/>
        <w:tblInd w:w="0" w:type="dxa"/>
        <w:tblLayout w:type="fixed"/>
        <w:tblCellMar>
          <w:top w:w="28" w:type="dxa"/>
          <w:left w:w="28" w:type="dxa"/>
          <w:bottom w:w="28" w:type="dxa"/>
          <w:right w:w="28" w:type="dxa"/>
        </w:tblCellMar>
      </w:tblPr>
      <w:tblGrid>
        <w:gridCol w:w="514"/>
        <w:gridCol w:w="822"/>
        <w:gridCol w:w="2174"/>
      </w:tblGrid>
      <w:tr>
        <w:trPr/>
        <w:tc>
          <w:tcPr>
            <w:tcW w:w="5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JPMORGAN CHASE BANK, N.A.,</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3510"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1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9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Andrew Rossman</w:t>
            </w:r>
          </w:p>
        </w:tc>
      </w:tr>
      <w:tr>
        <w:trPr/>
        <w:tc>
          <w:tcPr>
            <w:tcW w:w="5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1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Andrew Rossman</w:t>
            </w:r>
            <w:r>
              <w:rPr>
                <w:rFonts w:ascii="Times New Roman" w:hAnsi="Times New Roman"/>
                <w:sz w:val="22"/>
              </w:rPr>
              <w:t xml:space="preserve"> </w:t>
            </w:r>
          </w:p>
        </w:tc>
      </w:tr>
      <w:tr>
        <w:trPr/>
        <w:tc>
          <w:tcPr>
            <w:tcW w:w="5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21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Executive Director</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075" w:type="dxa"/>
        <w:jc w:val="left"/>
        <w:tblInd w:w="0" w:type="dxa"/>
        <w:tblLayout w:type="fixed"/>
        <w:tblCellMar>
          <w:top w:w="28" w:type="dxa"/>
          <w:left w:w="28" w:type="dxa"/>
          <w:bottom w:w="28" w:type="dxa"/>
          <w:right w:w="28" w:type="dxa"/>
        </w:tblCellMar>
      </w:tblPr>
      <w:tblGrid>
        <w:gridCol w:w="588"/>
        <w:gridCol w:w="940"/>
        <w:gridCol w:w="1547"/>
      </w:tblGrid>
      <w:tr>
        <w:trPr/>
        <w:tc>
          <w:tcPr>
            <w:tcW w:w="58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KKR Corporate Lending LLC,</w:t>
            </w:r>
            <w:r>
              <w:rPr>
                <w:rFonts w:ascii="Times New Roman" w:hAnsi="Times New Roman"/>
                <w:sz w:val="22"/>
              </w:rPr>
              <w:t xml:space="preserve"> </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3075"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8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24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John Knox</w:t>
            </w:r>
          </w:p>
        </w:tc>
      </w:tr>
      <w:tr>
        <w:trPr/>
        <w:tc>
          <w:tcPr>
            <w:tcW w:w="58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15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John Knox</w:t>
            </w:r>
          </w:p>
        </w:tc>
      </w:tr>
      <w:tr>
        <w:trPr/>
        <w:tc>
          <w:tcPr>
            <w:tcW w:w="58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15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CFO</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529" w:type="dxa"/>
        <w:jc w:val="left"/>
        <w:tblInd w:w="0" w:type="dxa"/>
        <w:tblLayout w:type="fixed"/>
        <w:tblCellMar>
          <w:top w:w="28" w:type="dxa"/>
          <w:left w:w="28" w:type="dxa"/>
          <w:bottom w:w="28" w:type="dxa"/>
          <w:right w:w="28" w:type="dxa"/>
        </w:tblCellMar>
      </w:tblPr>
      <w:tblGrid>
        <w:gridCol w:w="612"/>
        <w:gridCol w:w="982"/>
        <w:gridCol w:w="2935"/>
      </w:tblGrid>
      <w:tr>
        <w:trPr/>
        <w:tc>
          <w:tcPr>
            <w:tcW w:w="6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Royal Bank of Canada, as a Revolving Lender</w:t>
            </w:r>
          </w:p>
        </w:tc>
      </w:tr>
      <w:tr>
        <w:trPr/>
        <w:tc>
          <w:tcPr>
            <w:tcW w:w="4529"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12" w:type="dxa"/>
            <w:tcBorders/>
            <w:tcMar>
              <w:top w:w="0" w:type="dxa"/>
              <w:left w:w="0" w:type="dxa"/>
              <w:bottom w:w="0" w:type="dxa"/>
              <w:right w:w="0" w:type="dxa"/>
            </w:tcMar>
            <w:vAlign w:val="center"/>
          </w:tcPr>
          <w:p>
            <w:pPr>
              <w:pStyle w:val="TableContents"/>
              <w:bidi w:val="0"/>
              <w:spacing w:before="91" w:after="0"/>
              <w:ind w:left="0" w:right="0" w:hanging="0"/>
              <w:jc w:val="right"/>
              <w:rPr>
                <w:rFonts w:ascii="Times New Roman;serif" w:hAnsi="Times New Roman;serif"/>
                <w:b w:val="false"/>
                <w:sz w:val="22"/>
              </w:rPr>
            </w:pPr>
            <w:r>
              <w:rPr>
                <w:rFonts w:ascii="Times New Roman;serif" w:hAnsi="Times New Roman;serif"/>
                <w:b w:val="false"/>
                <w:sz w:val="22"/>
              </w:rPr>
              <w:t>By:</w:t>
            </w:r>
          </w:p>
        </w:tc>
        <w:tc>
          <w:tcPr>
            <w:tcW w:w="3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Scott Johnson</w:t>
            </w:r>
          </w:p>
        </w:tc>
      </w:tr>
      <w:tr>
        <w:trPr/>
        <w:tc>
          <w:tcPr>
            <w:tcW w:w="61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82" w:type="dxa"/>
            <w:tcBorders/>
            <w:tcMar>
              <w:top w:w="0" w:type="dxa"/>
              <w:left w:w="0" w:type="dxa"/>
              <w:bottom w:w="0" w:type="dxa"/>
              <w:right w:w="0" w:type="dxa"/>
            </w:tcMar>
            <w:vAlign w:val="center"/>
          </w:tcPr>
          <w:p>
            <w:pPr>
              <w:pStyle w:val="TableContents"/>
              <w:bidi w:val="0"/>
              <w:spacing w:before="0" w:after="0"/>
              <w:ind w:left="0" w:right="0" w:firstLine="2"/>
              <w:jc w:val="left"/>
              <w:rPr>
                <w:rFonts w:ascii="Times New Roman;serif" w:hAnsi="Times New Roman;serif"/>
                <w:b w:val="false"/>
                <w:sz w:val="22"/>
              </w:rPr>
            </w:pPr>
            <w:r>
              <w:rPr>
                <w:rFonts w:ascii="Times New Roman;serif" w:hAnsi="Times New Roman;serif"/>
                <w:b w:val="false"/>
                <w:sz w:val="22"/>
              </w:rPr>
              <w:t>Name:</w:t>
            </w:r>
          </w:p>
        </w:tc>
        <w:tc>
          <w:tcPr>
            <w:tcW w:w="2935" w:type="dxa"/>
            <w:tcBorders/>
            <w:tcMar>
              <w:top w:w="0" w:type="dxa"/>
              <w:left w:w="0" w:type="dxa"/>
              <w:bottom w:w="0" w:type="dxa"/>
              <w:right w:w="0" w:type="dxa"/>
            </w:tcMar>
            <w:vAlign w:val="center"/>
          </w:tcPr>
          <w:p>
            <w:pPr>
              <w:pStyle w:val="TableContents"/>
              <w:bidi w:val="0"/>
              <w:spacing w:before="0" w:after="0"/>
              <w:ind w:left="2" w:right="0" w:hanging="0"/>
              <w:jc w:val="left"/>
              <w:rPr>
                <w:rFonts w:ascii="Times New Roman;serif" w:hAnsi="Times New Roman;serif"/>
                <w:b w:val="false"/>
                <w:sz w:val="22"/>
              </w:rPr>
            </w:pPr>
            <w:r>
              <w:rPr>
                <w:rFonts w:ascii="Times New Roman;serif" w:hAnsi="Times New Roman;serif"/>
                <w:b w:val="false"/>
                <w:sz w:val="22"/>
              </w:rPr>
              <w:t>Scott Johnson</w:t>
            </w:r>
          </w:p>
        </w:tc>
      </w:tr>
      <w:tr>
        <w:trPr/>
        <w:tc>
          <w:tcPr>
            <w:tcW w:w="61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82" w:type="dxa"/>
            <w:tcBorders/>
            <w:tcMar>
              <w:top w:w="0" w:type="dxa"/>
              <w:left w:w="0" w:type="dxa"/>
              <w:bottom w:w="0" w:type="dxa"/>
              <w:right w:w="0" w:type="dxa"/>
            </w:tcMar>
            <w:vAlign w:val="center"/>
          </w:tcPr>
          <w:p>
            <w:pPr>
              <w:pStyle w:val="TableContents"/>
              <w:bidi w:val="0"/>
              <w:spacing w:before="0" w:after="0"/>
              <w:ind w:left="0" w:right="0" w:firstLine="2"/>
              <w:jc w:val="left"/>
              <w:rPr>
                <w:rFonts w:ascii="Times New Roman;serif" w:hAnsi="Times New Roman;serif"/>
                <w:b w:val="false"/>
                <w:sz w:val="22"/>
              </w:rPr>
            </w:pPr>
            <w:r>
              <w:rPr>
                <w:rFonts w:ascii="Times New Roman;serif" w:hAnsi="Times New Roman;serif"/>
                <w:b w:val="false"/>
                <w:sz w:val="22"/>
              </w:rPr>
              <w:t>Title:</w:t>
            </w:r>
          </w:p>
        </w:tc>
        <w:tc>
          <w:tcPr>
            <w:tcW w:w="2935" w:type="dxa"/>
            <w:tcBorders/>
            <w:tcMar>
              <w:top w:w="0" w:type="dxa"/>
              <w:left w:w="0" w:type="dxa"/>
              <w:bottom w:w="0" w:type="dxa"/>
              <w:right w:w="0" w:type="dxa"/>
            </w:tcMar>
            <w:vAlign w:val="center"/>
          </w:tcPr>
          <w:p>
            <w:pPr>
              <w:pStyle w:val="TableContents"/>
              <w:bidi w:val="0"/>
              <w:spacing w:before="0" w:after="0"/>
              <w:ind w:left="2" w:right="0" w:hanging="0"/>
              <w:jc w:val="left"/>
              <w:rPr>
                <w:rFonts w:ascii="Times New Roman;serif" w:hAnsi="Times New Roman;serif"/>
                <w:b w:val="false"/>
                <w:sz w:val="22"/>
              </w:rPr>
            </w:pPr>
            <w:r>
              <w:rPr>
                <w:rFonts w:ascii="Times New Roman;serif" w:hAnsi="Times New Roman;serif"/>
                <w:b w:val="false"/>
                <w:sz w:val="22"/>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228" w:type="dxa"/>
        <w:jc w:val="left"/>
        <w:tblInd w:w="0" w:type="dxa"/>
        <w:tblLayout w:type="fixed"/>
        <w:tblCellMar>
          <w:top w:w="28" w:type="dxa"/>
          <w:left w:w="28" w:type="dxa"/>
          <w:bottom w:w="28" w:type="dxa"/>
          <w:right w:w="28" w:type="dxa"/>
        </w:tblCellMar>
      </w:tblPr>
      <w:tblGrid>
        <w:gridCol w:w="451"/>
        <w:gridCol w:w="721"/>
        <w:gridCol w:w="2056"/>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3228"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STIFEL BANK &amp; TRUST,</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 a Revolving Lender</w:t>
            </w:r>
          </w:p>
        </w:tc>
      </w:tr>
      <w:tr>
        <w:trPr/>
        <w:tc>
          <w:tcPr>
            <w:tcW w:w="3228"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91" w:after="0"/>
              <w:ind w:left="0" w:right="0" w:hanging="0"/>
              <w:jc w:val="right"/>
              <w:rPr>
                <w:rFonts w:ascii="Times New Roman;serif" w:hAnsi="Times New Roman;serif"/>
                <w:b w:val="false"/>
                <w:sz w:val="22"/>
              </w:rPr>
            </w:pPr>
            <w:r>
              <w:rPr>
                <w:rFonts w:ascii="Times New Roman;serif" w:hAnsi="Times New Roman;serif"/>
                <w:b w:val="false"/>
                <w:sz w:val="22"/>
              </w:rPr>
              <w:t>By:</w:t>
            </w:r>
          </w:p>
        </w:tc>
        <w:tc>
          <w:tcPr>
            <w:tcW w:w="2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Daniel P. McDonald</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Name:</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Daniel P. McDonald</w:t>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Title:</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sz w:val="20"/>
        </w:rPr>
        <w:t>Signature Page To Amendment No. 3 to the First Lien Credit Agreement</w:t>
      </w:r>
      <w:r>
        <w:rPr>
          <w:rFonts w:ascii="Times New Roman;serif" w:hAnsi="Times New Roman;serif"/>
          <w:b w:val="false"/>
          <w:sz w:val="24"/>
        </w:rPr>
        <w:t>]</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4"/>
          <w:u w:val="single"/>
        </w:rPr>
      </w:pPr>
      <w:r>
        <w:rPr>
          <w:rFonts w:ascii="Times New Roman;serif" w:hAnsi="Times New Roman;serif"/>
          <w:b/>
          <w:sz w:val="24"/>
          <w:u w:val="single"/>
        </w:rPr>
        <w:t>Annex A</w:t>
      </w:r>
    </w:p>
    <w:p>
      <w:pPr>
        <w:pStyle w:val="TextBody"/>
        <w:bidi w:val="0"/>
        <w:spacing w:before="200" w:after="0"/>
        <w:jc w:val="center"/>
        <w:rPr>
          <w:rFonts w:ascii="Times New Roman;serif" w:hAnsi="Times New Roman;serif"/>
          <w:b w:val="false"/>
          <w:sz w:val="22"/>
          <w:u w:val="single"/>
        </w:rPr>
      </w:pPr>
      <w:r>
        <w:rPr>
          <w:rFonts w:ascii="Times New Roman;serif" w:hAnsi="Times New Roman;serif"/>
          <w:b w:val="false"/>
          <w:sz w:val="22"/>
          <w:u w:val="single"/>
        </w:rPr>
        <w:t>Amended Credit Agreement</w:t>
      </w:r>
    </w:p>
    <w:p>
      <w:pPr>
        <w:pStyle w:val="TextBody"/>
        <w:bidi w:val="0"/>
        <w:spacing w:before="200" w:after="0"/>
        <w:jc w:val="center"/>
        <w:rPr>
          <w:rFonts w:ascii="Times New Roman;serif" w:hAnsi="Times New Roman;serif"/>
          <w:b w:val="false"/>
          <w:sz w:val="22"/>
        </w:rPr>
      </w:pPr>
      <w:r>
        <w:rPr>
          <w:rFonts w:ascii="Times New Roman;serif" w:hAnsi="Times New Roman;serif"/>
          <w:b w:val="false"/>
          <w:sz w:val="22"/>
        </w:rPr>
        <w:t>[See attached.]</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78" w:after="0"/>
        <w:jc w:val="right"/>
        <w:rPr>
          <w:rFonts w:ascii="Times New Roman;serif" w:hAnsi="Times New Roman;serif"/>
          <w:b/>
          <w:sz w:val="22"/>
          <w:u w:val="single"/>
        </w:rPr>
      </w:pPr>
      <w:r>
        <w:rPr>
          <w:rFonts w:ascii="Times New Roman;serif" w:hAnsi="Times New Roman;serif"/>
          <w:b/>
          <w:sz w:val="22"/>
          <w:u w:val="single"/>
        </w:rPr>
        <w:t>EXHIBIT A</w:t>
      </w:r>
    </w:p>
    <w:p>
      <w:pPr>
        <w:pStyle w:val="TextBody"/>
        <w:pBdr>
          <w:bottom w:val="double" w:sz="6" w:space="1" w:color="000000"/>
        </w:pBdr>
        <w:bidi w:val="0"/>
        <w:spacing w:before="0" w:after="0"/>
        <w:jc w:val="center"/>
        <w:rPr/>
      </w:pPr>
      <w:r>
        <w:rPr/>
        <w:t> </w:t>
      </w:r>
    </w:p>
    <w:p>
      <w:pPr>
        <w:pStyle w:val="TextBody"/>
        <w:bidi w:val="0"/>
        <w:spacing w:before="480" w:after="0"/>
        <w:jc w:val="center"/>
        <w:rPr>
          <w:rFonts w:ascii="Times New Roman;serif" w:hAnsi="Times New Roman;serif"/>
          <w:b w:val="false"/>
          <w:sz w:val="20"/>
        </w:rPr>
      </w:pPr>
      <w:r>
        <w:rPr>
          <w:rFonts w:ascii="Times New Roman;serif" w:hAnsi="Times New Roman;serif"/>
          <w:b w:val="false"/>
          <w:sz w:val="20"/>
        </w:rPr>
        <w:t>FIRST LIEN CREDIT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dated as of</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January 31, 2020,</w:t>
      </w:r>
    </w:p>
    <w:p>
      <w:pPr>
        <w:pStyle w:val="TextBody"/>
        <w:bidi w:val="0"/>
        <w:spacing w:before="0" w:after="0"/>
        <w:jc w:val="center"/>
        <w:rPr>
          <w:rFonts w:ascii="Times New Roman" w:hAnsi="Times New Roman"/>
          <w:sz w:val="20"/>
        </w:rPr>
      </w:pPr>
      <w:r>
        <w:rPr>
          <w:rFonts w:ascii="Times New Roman;serif" w:hAnsi="Times New Roman;serif"/>
          <w:b w:val="false"/>
          <w:sz w:val="20"/>
        </w:rPr>
        <w:t xml:space="preserve">as amended by Amendment No. 1, dated as of February 1, 2021, </w:t>
      </w:r>
      <w:r>
        <w:rPr>
          <w:rFonts w:ascii="Times New Roman;serif" w:hAnsi="Times New Roman;serif"/>
          <w:b w:val="false"/>
          <w:strike/>
          <w:sz w:val="20"/>
        </w:rPr>
        <w:t>and</w:t>
      </w:r>
    </w:p>
    <w:p>
      <w:pPr>
        <w:pStyle w:val="TextBody"/>
        <w:bidi w:val="0"/>
        <w:spacing w:before="0" w:after="0"/>
        <w:jc w:val="center"/>
        <w:rPr>
          <w:rFonts w:ascii="Times New Roman" w:hAnsi="Times New Roman"/>
          <w:sz w:val="20"/>
        </w:rPr>
      </w:pPr>
      <w:r>
        <w:rPr>
          <w:rFonts w:ascii="Times New Roman;serif" w:hAnsi="Times New Roman;serif"/>
          <w:b w:val="false"/>
          <w:sz w:val="20"/>
        </w:rPr>
        <w:t>as amended by Amendment No. 2, dated as of May 28, 2021</w:t>
      </w:r>
      <w:r>
        <w:rPr>
          <w:rFonts w:ascii="Times New Roman" w:hAnsi="Times New Roman"/>
          <w:sz w:val="20"/>
          <w:u w:val="single"/>
        </w:rPr>
        <w:t xml:space="preserve"> </w:t>
      </w:r>
      <w:r>
        <w:rPr>
          <w:rFonts w:ascii="Times New Roman;serif" w:hAnsi="Times New Roman;serif"/>
          <w:b w:val="false"/>
          <w:sz w:val="20"/>
          <w:u w:val="single"/>
        </w:rPr>
        <w:t>and</w:t>
      </w:r>
    </w:p>
    <w:p>
      <w:pPr>
        <w:pStyle w:val="TextBody"/>
        <w:bidi w:val="0"/>
        <w:spacing w:before="0" w:after="0"/>
        <w:jc w:val="center"/>
        <w:rPr>
          <w:rFonts w:ascii="Times New Roman;serif" w:hAnsi="Times New Roman;serif"/>
          <w:b w:val="false"/>
          <w:sz w:val="20"/>
          <w:u w:val="single"/>
        </w:rPr>
      </w:pPr>
      <w:r>
        <w:rPr>
          <w:rFonts w:ascii="Times New Roman;serif" w:hAnsi="Times New Roman;serif"/>
          <w:b w:val="false"/>
          <w:sz w:val="20"/>
          <w:u w:val="single"/>
        </w:rPr>
        <w:t>as amended by Amendment No. 3, dated as of 23,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among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FASTBALL PARENT,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Holdings,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FASTBALL MERGERSUB, LLC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(which on the Effective Date shall be merged with and into FIRST ADVANTAGE HOLDINGS, LLC (f/k/a STG-Fairway Holdings, LLC), with FIRST ADVANTAGE HOLDINGS, LLC surviving such merger), as the Borrower,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Lenders Party Hereto,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BANK OF AMERICA, N.A.,</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Administrative Agent, Collateral Agent and an Issuing Bank,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BARCLAYS BANK PLC,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Syndication Agent,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CITIZENS BANK, N.A., CREDIT SUISSE LOAN FUNDING LLC, HSBC SECURITIES (USA) INC., JEFFERIES FINANCE LLC, JPMORGAN CHASE BANK, N.A., KKR CAPITAL MARKETS LLC, RBC CAPITAL MARKETS, and STIFEL NICOLAUS AND COMPANY, INCORPORATED,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Documentation Agents</w:t>
      </w:r>
    </w:p>
    <w:p>
      <w:pPr>
        <w:pStyle w:val="TextBody"/>
        <w:pBdr>
          <w:bottom w:val="single" w:sz="6" w:space="1" w:color="000000"/>
        </w:pBdr>
        <w:bidi w:val="0"/>
        <w:spacing w:before="0" w:after="0"/>
        <w:jc w:val="center"/>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BANK OF AMERICA, N.A., BARCLAYS BANK PLC, CITIZENS BANK, N.A., CREDIT SUISSE LOAN FUNDING LLC, HSBC SECURITIES (USA) INC., JEFFERIES FINANCE LLC, JPMORGAN CHASE BANK, N.A., KKR CAPITAL MARKETS LLC, RBC CAPITAL MARKETS and STIFEL NICOLAUS AND COMPANY, INCORPORATED,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Lead Arrangers and Joint Bookrunners</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TABLE OF CONTENTS</w:t>
      </w:r>
    </w:p>
    <w:p>
      <w:pPr>
        <w:pStyle w:val="TextBody"/>
        <w:bidi w:val="0"/>
        <w:spacing w:before="0" w:after="0"/>
        <w:jc w:val="left"/>
        <w:rPr/>
      </w:pPr>
      <w:r>
        <w:rPr/>
        <w:t> </w:t>
      </w:r>
    </w:p>
    <w:tbl>
      <w:tblPr>
        <w:tblW w:w="7199" w:type="dxa"/>
        <w:jc w:val="left"/>
        <w:tblInd w:w="0" w:type="dxa"/>
        <w:tblLayout w:type="fixed"/>
        <w:tblCellMar>
          <w:top w:w="28" w:type="dxa"/>
          <w:left w:w="28" w:type="dxa"/>
          <w:bottom w:w="28" w:type="dxa"/>
          <w:right w:w="28" w:type="dxa"/>
        </w:tblCellMar>
      </w:tblPr>
      <w:tblGrid>
        <w:gridCol w:w="1336"/>
        <w:gridCol w:w="146"/>
        <w:gridCol w:w="4936"/>
        <w:gridCol w:w="781"/>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3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91" w:after="0"/>
              <w:ind w:left="0" w:right="158" w:hanging="0"/>
              <w:jc w:val="right"/>
              <w:rPr>
                <w:rFonts w:ascii="Times New Roman;serif" w:hAnsi="Times New Roman;serif"/>
                <w:b w:val="false"/>
                <w:sz w:val="20"/>
                <w:u w:val="single"/>
              </w:rPr>
            </w:pPr>
            <w:r>
              <w:rPr>
                <w:rFonts w:ascii="Times New Roman;serif" w:hAnsi="Times New Roman;serif"/>
                <w:b w:val="false"/>
                <w:sz w:val="20"/>
                <w:u w:val="single"/>
              </w:rPr>
              <w:t>Page</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left"/>
              <w:rPr/>
            </w:pPr>
            <w:r>
              <w:rPr/>
              <w:t> </w:t>
            </w:r>
          </w:p>
        </w:tc>
      </w:tr>
      <w:tr>
        <w:trPr/>
        <w:tc>
          <w:tcPr>
            <w:tcW w:w="1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I</w:t>
            </w:r>
          </w:p>
        </w:tc>
        <w:tc>
          <w:tcPr>
            <w:tcW w:w="78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3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DEFINITIONS</w:t>
            </w:r>
          </w:p>
        </w:tc>
        <w:tc>
          <w:tcPr>
            <w:tcW w:w="78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1.01</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Terms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1.02</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Classification of Loans and Borrowings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62</w:t>
            </w:r>
            <w:r>
              <w:rPr>
                <w:rFonts w:ascii="Times New Roman;serif" w:hAnsi="Times New Roman;serif"/>
                <w:b w:val="false"/>
                <w:sz w:val="20"/>
              </w:rPr>
              <w:t>63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1.03</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Terms Generally</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62</w:t>
            </w:r>
            <w:r>
              <w:rPr>
                <w:rFonts w:ascii="Times New Roman;serif" w:hAnsi="Times New Roman;serif"/>
                <w:b w:val="false"/>
                <w:sz w:val="20"/>
              </w:rPr>
              <w:t>63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1.04</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Accounting Terms; GAAP; Certain Calculations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1.05</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Effectuation of Transactions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1.06</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Currency Translation; Rates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1.07</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Limited Condition Transactions.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64</w:t>
            </w:r>
            <w:r>
              <w:rPr>
                <w:rFonts w:ascii="Times New Roman;serif" w:hAnsi="Times New Roman;serif"/>
                <w:b w:val="false"/>
                <w:sz w:val="20"/>
              </w:rPr>
              <w:t>65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1.08</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Cashless Rollovers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65</w:t>
            </w:r>
            <w:r>
              <w:rPr>
                <w:rFonts w:ascii="Times New Roman;serif" w:hAnsi="Times New Roman;serif"/>
                <w:b w:val="false"/>
                <w:sz w:val="20"/>
              </w:rPr>
              <w:t>66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1.09</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Letter of Credit Amounts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65</w:t>
            </w:r>
            <w:r>
              <w:rPr>
                <w:rFonts w:ascii="Times New Roman;serif" w:hAnsi="Times New Roman;serif"/>
                <w:b w:val="false"/>
                <w:sz w:val="20"/>
              </w:rPr>
              <w:t>66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1.10</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Times of Day</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1.11</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Alternative Currencies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II</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CREDITS</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2.01</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66</w:t>
            </w:r>
            <w:r>
              <w:rPr>
                <w:rFonts w:ascii="Times New Roman;serif" w:hAnsi="Times New Roman;serif"/>
                <w:b w:val="false"/>
                <w:sz w:val="20"/>
              </w:rPr>
              <w:t>67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2.02</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Loans and Borrowings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66</w:t>
            </w:r>
            <w:r>
              <w:rPr>
                <w:rFonts w:ascii="Times New Roman;serif" w:hAnsi="Times New Roman;serif"/>
                <w:b w:val="false"/>
                <w:sz w:val="20"/>
              </w:rPr>
              <w:t>67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2.03</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Requests for Borrowings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67</w:t>
            </w:r>
            <w:r>
              <w:rPr>
                <w:rFonts w:ascii="Times New Roman;serif" w:hAnsi="Times New Roman;serif"/>
                <w:b w:val="false"/>
                <w:sz w:val="20"/>
              </w:rPr>
              <w:t>68</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2.04</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[Reserved]</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2.05</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Letters of Credit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2.06</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Funding of Borrowings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2.07</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Elections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74</w:t>
            </w:r>
            <w:r>
              <w:rPr>
                <w:rFonts w:ascii="Times New Roman;serif" w:hAnsi="Times New Roman;serif"/>
                <w:b w:val="false"/>
                <w:sz w:val="20"/>
              </w:rPr>
              <w:t>75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2.08</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Termination and Reduction of Commitments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2.09</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 of Loans; Evidence of Debt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2.10</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Term Loans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76</w:t>
            </w:r>
            <w:r>
              <w:rPr>
                <w:rFonts w:ascii="Times New Roman;serif" w:hAnsi="Times New Roman;serif"/>
                <w:b w:val="false"/>
                <w:sz w:val="20"/>
              </w:rPr>
              <w:t>77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2.11</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Prepayment of Loans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77</w:t>
            </w:r>
            <w:r>
              <w:rPr>
                <w:rFonts w:ascii="Times New Roman;serif" w:hAnsi="Times New Roman;serif"/>
                <w:b w:val="false"/>
                <w:sz w:val="20"/>
              </w:rPr>
              <w:t>78</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2.12</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2.13</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2.14</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Alternate Rate of Interest</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86</w:t>
            </w:r>
            <w:r>
              <w:rPr>
                <w:rFonts w:ascii="Times New Roman;serif" w:hAnsi="Times New Roman;serif"/>
                <w:b w:val="false"/>
                <w:sz w:val="20"/>
              </w:rPr>
              <w:t>87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2.15</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 Costs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2.16</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Break Funding Payments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2.17</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2.18</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Generally; Pro Rata Treatment; Sharing of Setoffs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2.19</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Mitigation Obligations; Replacement of Lenders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2.20</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Incremental Credit Extension</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2.21</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Refinancing Amendments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2.22</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Defaulting Lenders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2.23</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Illegality</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2.24</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Loan Modification Offers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III</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REPRESENTATIONS AND WARRANTIES</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3.01</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Organization; Powers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3.02</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Authorization; Enforceability</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101</w:t>
            </w:r>
            <w:r>
              <w:rPr>
                <w:rFonts w:ascii="Times New Roman;serif" w:hAnsi="Times New Roman;serif"/>
                <w:b w:val="false"/>
                <w:sz w:val="20"/>
              </w:rPr>
              <w:t>100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3.03</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Governmental Approvals; No Conflicts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101</w:t>
            </w:r>
            <w:r>
              <w:rPr>
                <w:rFonts w:ascii="Times New Roman;serif" w:hAnsi="Times New Roman;serif"/>
                <w:b w:val="false"/>
                <w:sz w:val="20"/>
              </w:rPr>
              <w:t>100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3.04</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Condition; No Material Adverse Effect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3.05</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Properties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3.06</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and Environmental Matters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102</w:t>
            </w:r>
            <w:r>
              <w:rPr>
                <w:rFonts w:ascii="Times New Roman;serif" w:hAnsi="Times New Roman;serif"/>
                <w:b w:val="false"/>
                <w:sz w:val="20"/>
              </w:rPr>
              <w:t>101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3.07</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Compliance with Laws and Agreements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3.08</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Company Status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3.09</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229" w:type="dxa"/>
        <w:jc w:val="left"/>
        <w:tblInd w:w="0" w:type="dxa"/>
        <w:tblLayout w:type="fixed"/>
        <w:tblCellMar>
          <w:top w:w="28" w:type="dxa"/>
          <w:left w:w="28" w:type="dxa"/>
          <w:bottom w:w="28" w:type="dxa"/>
          <w:right w:w="28" w:type="dxa"/>
        </w:tblCellMar>
      </w:tblPr>
      <w:tblGrid>
        <w:gridCol w:w="1336"/>
        <w:gridCol w:w="146"/>
        <w:gridCol w:w="4966"/>
        <w:gridCol w:w="781"/>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6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91" w:after="0"/>
              <w:ind w:left="0" w:right="158" w:hanging="0"/>
              <w:jc w:val="right"/>
              <w:rPr>
                <w:rFonts w:ascii="Times New Roman;serif" w:hAnsi="Times New Roman;serif"/>
                <w:b w:val="false"/>
                <w:sz w:val="20"/>
                <w:u w:val="single"/>
              </w:rPr>
            </w:pPr>
            <w:r>
              <w:rPr>
                <w:rFonts w:ascii="Times New Roman;serif" w:hAnsi="Times New Roman;serif"/>
                <w:b w:val="false"/>
                <w:sz w:val="20"/>
                <w:u w:val="single"/>
              </w:rPr>
              <w:t>Page</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lef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3.10</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ERISA</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3.11</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Disclosure</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103</w:t>
            </w:r>
            <w:r>
              <w:rPr>
                <w:rFonts w:ascii="Times New Roman;serif" w:hAnsi="Times New Roman;serif"/>
                <w:b w:val="false"/>
                <w:sz w:val="20"/>
              </w:rPr>
              <w:t>102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3.12</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Subsidiaries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103</w:t>
            </w:r>
            <w:r>
              <w:rPr>
                <w:rFonts w:ascii="Times New Roman;serif" w:hAnsi="Times New Roman;serif"/>
                <w:b w:val="false"/>
                <w:sz w:val="20"/>
              </w:rPr>
              <w:t>102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3.13</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Intellectual Property; Licenses, Etc.</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103</w:t>
            </w:r>
            <w:r>
              <w:rPr>
                <w:rFonts w:ascii="Times New Roman;serif" w:hAnsi="Times New Roman;serif"/>
                <w:b w:val="false"/>
                <w:sz w:val="20"/>
              </w:rPr>
              <w:t>102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3.14</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Solvency</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3.15</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Indebtedness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3.16</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Reserve Regulations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3.17</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Use of Proceeds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3.18</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PATRIOT Act, OFAC and FCPA</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104</w:t>
            </w:r>
            <w:r>
              <w:rPr>
                <w:rFonts w:ascii="Times New Roman;serif" w:hAnsi="Times New Roman;serif"/>
                <w:b w:val="false"/>
                <w:sz w:val="20"/>
              </w:rPr>
              <w:t>103</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IV</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CONDITIONS</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4.01</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Date</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4.02</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Each Credit Event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V</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AFFIRMATIVE COVENANTS</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5.01</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Statements and Other Information</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107</w:t>
            </w:r>
            <w:r>
              <w:rPr>
                <w:rFonts w:ascii="Times New Roman;serif" w:hAnsi="Times New Roman;serif"/>
                <w:b w:val="false"/>
                <w:sz w:val="20"/>
              </w:rPr>
              <w:t>106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5.02</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Notices of Material Events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5.03</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Information Regarding Collateral</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110</w:t>
            </w:r>
            <w:r>
              <w:rPr>
                <w:rFonts w:ascii="Times New Roman;serif" w:hAnsi="Times New Roman;serif"/>
                <w:b w:val="false"/>
                <w:sz w:val="20"/>
              </w:rPr>
              <w:t>109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5.04</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Existence; Conduct of Business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110</w:t>
            </w:r>
            <w:r>
              <w:rPr>
                <w:rFonts w:ascii="Times New Roman;serif" w:hAnsi="Times New Roman;serif"/>
                <w:b w:val="false"/>
                <w:sz w:val="20"/>
              </w:rPr>
              <w:t>109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5.05</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Taxes, Etc.</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110</w:t>
            </w:r>
            <w:r>
              <w:rPr>
                <w:rFonts w:ascii="Times New Roman;serif" w:hAnsi="Times New Roman;serif"/>
                <w:b w:val="false"/>
                <w:sz w:val="20"/>
              </w:rPr>
              <w:t>109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5.06</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Maintenance of Properties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110</w:t>
            </w:r>
            <w:r>
              <w:rPr>
                <w:rFonts w:ascii="Times New Roman;serif" w:hAnsi="Times New Roman;serif"/>
                <w:b w:val="false"/>
                <w:sz w:val="20"/>
              </w:rPr>
              <w:t>109</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5.07</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5.08</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Books and Records; Inspection and Audit Rights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111</w:t>
            </w:r>
            <w:r>
              <w:rPr>
                <w:rFonts w:ascii="Times New Roman;serif" w:hAnsi="Times New Roman;serif"/>
                <w:b w:val="false"/>
                <w:sz w:val="20"/>
              </w:rPr>
              <w:t>110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5.09</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Compliance with Laws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111</w:t>
            </w:r>
            <w:r>
              <w:rPr>
                <w:rFonts w:ascii="Times New Roman;serif" w:hAnsi="Times New Roman;serif"/>
                <w:b w:val="false"/>
                <w:sz w:val="20"/>
              </w:rPr>
              <w:t>110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5.10</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Use of Proceeds and Letters of Credit</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111</w:t>
            </w:r>
            <w:r>
              <w:rPr>
                <w:rFonts w:ascii="Times New Roman;serif" w:hAnsi="Times New Roman;serif"/>
                <w:b w:val="false"/>
                <w:sz w:val="20"/>
              </w:rPr>
              <w:t>110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5.11</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Subsidiaries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5.12</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Further Assurances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112</w:t>
            </w:r>
            <w:r>
              <w:rPr>
                <w:rFonts w:ascii="Times New Roman;serif" w:hAnsi="Times New Roman;serif"/>
                <w:b w:val="false"/>
                <w:sz w:val="20"/>
              </w:rPr>
              <w:t>111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5.13</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Ratings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112</w:t>
            </w:r>
            <w:r>
              <w:rPr>
                <w:rFonts w:ascii="Times New Roman;serif" w:hAnsi="Times New Roman;serif"/>
                <w:b w:val="false"/>
                <w:sz w:val="20"/>
              </w:rPr>
              <w:t>111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5.14</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Certain Post-Closing Obligations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112</w:t>
            </w:r>
            <w:r>
              <w:rPr>
                <w:rFonts w:ascii="Times New Roman;serif" w:hAnsi="Times New Roman;serif"/>
                <w:b w:val="false"/>
                <w:sz w:val="20"/>
              </w:rPr>
              <w:t>111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5.15</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Designation of Subsidiaries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112</w:t>
            </w:r>
            <w:r>
              <w:rPr>
                <w:rFonts w:ascii="Times New Roman;serif" w:hAnsi="Times New Roman;serif"/>
                <w:b w:val="false"/>
                <w:sz w:val="20"/>
              </w:rPr>
              <w:t>111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5.16</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Business</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5.17</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Fiscal Periods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113</w:t>
            </w:r>
            <w:r>
              <w:rPr>
                <w:rFonts w:ascii="Times New Roman;serif" w:hAnsi="Times New Roman;serif"/>
                <w:b w:val="false"/>
                <w:sz w:val="20"/>
              </w:rPr>
              <w:t>112</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VI</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NEGATIVE COVENANTS</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6.01</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Indebtedness; Certain Equity Securities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113</w:t>
            </w:r>
            <w:r>
              <w:rPr>
                <w:rFonts w:ascii="Times New Roman;serif" w:hAnsi="Times New Roman;serif"/>
                <w:b w:val="false"/>
                <w:sz w:val="20"/>
              </w:rPr>
              <w:t>112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6.02</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Liens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118</w:t>
            </w:r>
            <w:r>
              <w:rPr>
                <w:rFonts w:ascii="Times New Roman;serif" w:hAnsi="Times New Roman;serif"/>
                <w:b w:val="false"/>
                <w:sz w:val="20"/>
              </w:rPr>
              <w:t>117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6.03</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Fundamental Changes; Holding Companies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121</w:t>
            </w:r>
            <w:r>
              <w:rPr>
                <w:rFonts w:ascii="Times New Roman;serif" w:hAnsi="Times New Roman;serif"/>
                <w:b w:val="false"/>
                <w:sz w:val="20"/>
              </w:rPr>
              <w:t>120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6.04</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 Loans, Advances, Guarantees and Acquisitions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122</w:t>
            </w:r>
            <w:r>
              <w:rPr>
                <w:rFonts w:ascii="Times New Roman;serif" w:hAnsi="Times New Roman;serif"/>
                <w:b w:val="false"/>
                <w:sz w:val="20"/>
              </w:rPr>
              <w:t>121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6.05</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Sales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125</w:t>
            </w:r>
            <w:r>
              <w:rPr>
                <w:rFonts w:ascii="Times New Roman;serif" w:hAnsi="Times New Roman;serif"/>
                <w:b w:val="false"/>
                <w:sz w:val="20"/>
              </w:rPr>
              <w:t>123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6.06</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Holdings Covenant</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126</w:t>
            </w:r>
            <w:r>
              <w:rPr>
                <w:rFonts w:ascii="Times New Roman;serif" w:hAnsi="Times New Roman;serif"/>
                <w:b w:val="false"/>
                <w:sz w:val="20"/>
              </w:rPr>
              <w:t>125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6.07</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Negative Pledge</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127</w:t>
            </w:r>
            <w:r>
              <w:rPr>
                <w:rFonts w:ascii="Times New Roman;serif" w:hAnsi="Times New Roman;serif"/>
                <w:b w:val="false"/>
                <w:sz w:val="20"/>
              </w:rPr>
              <w:t>126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6.08</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Payments; Certain Payments of Indebtedness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128</w:t>
            </w:r>
            <w:r>
              <w:rPr>
                <w:rFonts w:ascii="Times New Roman;serif" w:hAnsi="Times New Roman;serif"/>
                <w:b w:val="false"/>
                <w:sz w:val="20"/>
              </w:rPr>
              <w:t>127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6.09</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Transactions with Affiliates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133</w:t>
            </w:r>
            <w:r>
              <w:rPr>
                <w:rFonts w:ascii="Times New Roman;serif" w:hAnsi="Times New Roman;serif"/>
                <w:b w:val="false"/>
                <w:sz w:val="20"/>
              </w:rPr>
              <w:t>131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6.10</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Covenant</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134</w:t>
            </w:r>
            <w:r>
              <w:rPr>
                <w:rFonts w:ascii="Times New Roman;serif" w:hAnsi="Times New Roman;serif"/>
                <w:b w:val="false"/>
                <w:sz w:val="20"/>
              </w:rPr>
              <w:t>132</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VII</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EVENTS OF DEFAULT</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7.01</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Events of Default</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134</w:t>
            </w:r>
            <w:r>
              <w:rPr>
                <w:rFonts w:ascii="Times New Roman;serif" w:hAnsi="Times New Roman;serif"/>
                <w:b w:val="false"/>
                <w:sz w:val="20"/>
              </w:rPr>
              <w:t>133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7.02</w:t>
            </w:r>
          </w:p>
        </w:tc>
        <w:tc>
          <w:tcPr>
            <w:tcW w:w="146" w:type="dxa"/>
            <w:tcBorders/>
            <w:vAlign w:val="center"/>
          </w:tcPr>
          <w:p>
            <w:pPr>
              <w:pStyle w:val="TableContents"/>
              <w:bidi w:val="0"/>
              <w:spacing w:before="0" w:after="0"/>
              <w:ind w:left="0" w:right="0" w:hanging="0"/>
              <w:jc w:val="left"/>
              <w:rPr/>
            </w:pPr>
            <w:r>
              <w:rPr/>
              <w:t> </w:t>
            </w:r>
          </w:p>
        </w:tc>
        <w:tc>
          <w:tcPr>
            <w:tcW w:w="4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to Cure</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137</w:t>
            </w:r>
            <w:r>
              <w:rPr>
                <w:rFonts w:ascii="Times New Roman;serif" w:hAnsi="Times New Roman;serif"/>
                <w:b w:val="false"/>
                <w:sz w:val="20"/>
              </w:rPr>
              <w:t>135</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204" w:type="dxa"/>
        <w:jc w:val="left"/>
        <w:tblInd w:w="0" w:type="dxa"/>
        <w:tblLayout w:type="fixed"/>
        <w:tblCellMar>
          <w:top w:w="28" w:type="dxa"/>
          <w:left w:w="28" w:type="dxa"/>
          <w:bottom w:w="28" w:type="dxa"/>
          <w:right w:w="28" w:type="dxa"/>
        </w:tblCellMar>
      </w:tblPr>
      <w:tblGrid>
        <w:gridCol w:w="1336"/>
        <w:gridCol w:w="146"/>
        <w:gridCol w:w="5941"/>
        <w:gridCol w:w="781"/>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4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91" w:after="0"/>
              <w:ind w:left="0" w:right="158" w:hanging="0"/>
              <w:jc w:val="right"/>
              <w:rPr>
                <w:rFonts w:ascii="Times New Roman;serif" w:hAnsi="Times New Roman;serif"/>
                <w:b w:val="false"/>
                <w:sz w:val="20"/>
                <w:u w:val="single"/>
              </w:rPr>
            </w:pPr>
            <w:r>
              <w:rPr>
                <w:rFonts w:ascii="Times New Roman;serif" w:hAnsi="Times New Roman;serif"/>
                <w:b w:val="false"/>
                <w:sz w:val="20"/>
                <w:u w:val="single"/>
              </w:rPr>
              <w:t>Page</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lef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7.03</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Application of Proceeds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138</w:t>
            </w:r>
            <w:r>
              <w:rPr>
                <w:rFonts w:ascii="Times New Roman;serif" w:hAnsi="Times New Roman;serif"/>
                <w:b w:val="false"/>
                <w:sz w:val="20"/>
              </w:rPr>
              <w:t>136</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VIII</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ADMINISTRATIVE AGENT AND COLLATERAL AGENT</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ARTICLE IX</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MISCELLANEOUS</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9.01</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Notices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142</w:t>
            </w:r>
            <w:r>
              <w:rPr>
                <w:rFonts w:ascii="Times New Roman;serif" w:hAnsi="Times New Roman;serif"/>
                <w:b w:val="false"/>
                <w:sz w:val="20"/>
              </w:rPr>
              <w:t>140</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9.02</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Waivers; Amendments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144</w:t>
            </w:r>
            <w:r>
              <w:rPr>
                <w:rFonts w:ascii="Times New Roman;serif" w:hAnsi="Times New Roman;serif"/>
                <w:b w:val="false"/>
                <w:sz w:val="20"/>
              </w:rPr>
              <w:t>142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9.03</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Expenses; Indemnity; Damage Waiver</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147</w:t>
            </w:r>
            <w:r>
              <w:rPr>
                <w:rFonts w:ascii="Times New Roman;serif" w:hAnsi="Times New Roman;serif"/>
                <w:b w:val="false"/>
                <w:sz w:val="20"/>
              </w:rPr>
              <w:t>145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9.04</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Successors and Assigns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148</w:t>
            </w:r>
            <w:r>
              <w:rPr>
                <w:rFonts w:ascii="Times New Roman;serif" w:hAnsi="Times New Roman;serif"/>
                <w:b w:val="false"/>
                <w:sz w:val="20"/>
              </w:rPr>
              <w:t>147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9.05</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Survival</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153</w:t>
            </w:r>
            <w:r>
              <w:rPr>
                <w:rFonts w:ascii="Times New Roman;serif" w:hAnsi="Times New Roman;serif"/>
                <w:b w:val="false"/>
                <w:sz w:val="20"/>
              </w:rPr>
              <w:t>151</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9.06</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Counterparts; Integration; Effectiveness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154</w:t>
            </w:r>
            <w:r>
              <w:rPr>
                <w:rFonts w:ascii="Times New Roman;serif" w:hAnsi="Times New Roman;serif"/>
                <w:b w:val="false"/>
                <w:sz w:val="20"/>
              </w:rPr>
              <w:t>152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9.07</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Severability</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154</w:t>
            </w:r>
            <w:r>
              <w:rPr>
                <w:rFonts w:ascii="Times New Roman;serif" w:hAnsi="Times New Roman;serif"/>
                <w:b w:val="false"/>
                <w:sz w:val="20"/>
              </w:rPr>
              <w:t>152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9.08</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Setoff</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154</w:t>
            </w:r>
            <w:r>
              <w:rPr>
                <w:rFonts w:ascii="Times New Roman;serif" w:hAnsi="Times New Roman;serif"/>
                <w:b w:val="false"/>
                <w:sz w:val="20"/>
              </w:rPr>
              <w:t>152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9.09</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Governing Law; Jurisdiction; Consent to Service of Process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154</w:t>
            </w:r>
            <w:r>
              <w:rPr>
                <w:rFonts w:ascii="Times New Roman;serif" w:hAnsi="Times New Roman;serif"/>
                <w:b w:val="false"/>
                <w:sz w:val="20"/>
              </w:rPr>
              <w:t>152</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9.10</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WAIVER OF JURY TRIAL</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155</w:t>
            </w:r>
            <w:r>
              <w:rPr>
                <w:rFonts w:ascii="Times New Roman;serif" w:hAnsi="Times New Roman;serif"/>
                <w:b w:val="false"/>
                <w:sz w:val="20"/>
              </w:rPr>
              <w:t>153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9.11</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Headings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155</w:t>
            </w:r>
            <w:r>
              <w:rPr>
                <w:rFonts w:ascii="Times New Roman;serif" w:hAnsi="Times New Roman;serif"/>
                <w:b w:val="false"/>
                <w:sz w:val="20"/>
              </w:rPr>
              <w:t>153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9.12</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Confidentiality</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155</w:t>
            </w:r>
            <w:r>
              <w:rPr>
                <w:rFonts w:ascii="Times New Roman;serif" w:hAnsi="Times New Roman;serif"/>
                <w:b w:val="false"/>
                <w:sz w:val="20"/>
              </w:rPr>
              <w:t>153</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9.13</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USA Patriot Act</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156</w:t>
            </w:r>
            <w:r>
              <w:rPr>
                <w:rFonts w:ascii="Times New Roman;serif" w:hAnsi="Times New Roman;serif"/>
                <w:b w:val="false"/>
                <w:sz w:val="20"/>
              </w:rPr>
              <w:t>154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9.14</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Judgment Currency</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156</w:t>
            </w:r>
            <w:r>
              <w:rPr>
                <w:rFonts w:ascii="Times New Roman;serif" w:hAnsi="Times New Roman;serif"/>
                <w:b w:val="false"/>
                <w:sz w:val="20"/>
              </w:rPr>
              <w:t>154</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9.15</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Release of Liens and Guarantees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157</w:t>
            </w:r>
            <w:r>
              <w:rPr>
                <w:rFonts w:ascii="Times New Roman;serif" w:hAnsi="Times New Roman;serif"/>
                <w:b w:val="false"/>
                <w:sz w:val="20"/>
              </w:rPr>
              <w:t>155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9.16</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 Fiduciary Relationship</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157</w:t>
            </w:r>
            <w:r>
              <w:rPr>
                <w:rFonts w:ascii="Times New Roman;serif" w:hAnsi="Times New Roman;serif"/>
                <w:b w:val="false"/>
                <w:sz w:val="20"/>
              </w:rPr>
              <w:t>155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9.17</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Effectiveness of the Merger</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157</w:t>
            </w:r>
            <w:r>
              <w:rPr>
                <w:rFonts w:ascii="Times New Roman;serif" w:hAnsi="Times New Roman;serif"/>
                <w:b w:val="false"/>
                <w:sz w:val="20"/>
              </w:rPr>
              <w:t>155</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9.18</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Acknowledgement and Consent to Bail-In of EEA Financial Institutions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158</w:t>
            </w:r>
            <w:r>
              <w:rPr>
                <w:rFonts w:ascii="Times New Roman;serif" w:hAnsi="Times New Roman;serif"/>
                <w:b w:val="false"/>
                <w:sz w:val="20"/>
              </w:rPr>
              <w:t>156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9.19</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Certain ERISA Matters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158</w:t>
            </w:r>
            <w:r>
              <w:rPr>
                <w:rFonts w:ascii="Times New Roman;serif" w:hAnsi="Times New Roman;serif"/>
                <w:b w:val="false"/>
                <w:sz w:val="20"/>
              </w:rPr>
              <w:t>156</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9.20</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Electronic Execution of Assignments and Certain Other Documents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159</w:t>
            </w:r>
            <w:r>
              <w:rPr>
                <w:rFonts w:ascii="Times New Roman;serif" w:hAnsi="Times New Roman;serif"/>
                <w:b w:val="false"/>
                <w:sz w:val="20"/>
              </w:rPr>
              <w:t>157</w:t>
            </w:r>
          </w:p>
        </w:tc>
      </w:tr>
      <w:tr>
        <w:trPr/>
        <w:tc>
          <w:tcPr>
            <w:tcW w:w="1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SECTION 9.21</w:t>
            </w:r>
          </w:p>
        </w:tc>
        <w:tc>
          <w:tcPr>
            <w:tcW w:w="146"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Acknowledgement Regarding Any Supported QFCs</w:t>
            </w:r>
          </w:p>
        </w:tc>
        <w:tc>
          <w:tcPr>
            <w:tcW w:w="78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trike/>
                <w:sz w:val="20"/>
              </w:rPr>
              <w:t>159</w:t>
            </w:r>
            <w:r>
              <w:rPr>
                <w:rFonts w:ascii="Times New Roman;serif" w:hAnsi="Times New Roman;serif"/>
                <w:b w:val="false"/>
                <w:sz w:val="20"/>
              </w:rPr>
              <w:t>157</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343"/>
        <w:gridCol w:w="346"/>
        <w:gridCol w:w="8516"/>
      </w:tblGrid>
      <w:tr>
        <w:trPr/>
        <w:tc>
          <w:tcPr>
            <w:tcW w:w="1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1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SCHEDULES:</w:t>
            </w:r>
          </w:p>
        </w:tc>
      </w:tr>
      <w:tr>
        <w:trPr/>
        <w:tc>
          <w:tcPr>
            <w:tcW w:w="10205" w:type="dxa"/>
            <w:gridSpan w:val="3"/>
            <w:tcBorders/>
            <w:vAlign w:val="center"/>
          </w:tcPr>
          <w:p>
            <w:pPr>
              <w:pStyle w:val="TableContents"/>
              <w:bidi w:val="0"/>
              <w:spacing w:before="0" w:after="0"/>
              <w:ind w:left="0" w:right="0" w:hanging="0"/>
              <w:jc w:val="left"/>
              <w:rPr/>
            </w:pPr>
            <w:r>
              <w:rPr/>
              <w:t> </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1.01(a)</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Excluded Subsidiaries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2.01(a)</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Commitments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2.01(b)</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Commitments; Letter of Credit Commitments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3.05</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Date Material Real Property</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3.12</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Subsidiaries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5.14</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Certain Post-Closing Obligations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6.01</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Existing Indebtedness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6.02</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Existing Liens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6.04(f)</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Existing Investments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6.07</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Existing Restrictions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Schedule 6.09</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Existing Transactions with Affiliates</w:t>
            </w:r>
          </w:p>
        </w:tc>
      </w:tr>
      <w:tr>
        <w:trPr/>
        <w:tc>
          <w:tcPr>
            <w:tcW w:w="10205" w:type="dxa"/>
            <w:gridSpan w:val="3"/>
            <w:tcBorders/>
            <w:vAlign w:val="center"/>
          </w:tcPr>
          <w:p>
            <w:pPr>
              <w:pStyle w:val="TableContents"/>
              <w:bidi w:val="0"/>
              <w:spacing w:before="0" w:after="0"/>
              <w:ind w:left="0" w:right="0" w:hanging="0"/>
              <w:jc w:val="left"/>
              <w:rPr/>
            </w:pPr>
            <w:r>
              <w:rPr/>
              <w:t> </w:t>
            </w:r>
          </w:p>
        </w:tc>
      </w:tr>
      <w:tr>
        <w:trPr/>
        <w:tc>
          <w:tcPr>
            <w:tcW w:w="1020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EXHIBITS:</w:t>
            </w:r>
          </w:p>
        </w:tc>
      </w:tr>
      <w:tr>
        <w:trPr/>
        <w:tc>
          <w:tcPr>
            <w:tcW w:w="10205" w:type="dxa"/>
            <w:gridSpan w:val="3"/>
            <w:tcBorders/>
            <w:vAlign w:val="center"/>
          </w:tcPr>
          <w:p>
            <w:pPr>
              <w:pStyle w:val="TableContents"/>
              <w:bidi w:val="0"/>
              <w:spacing w:before="0" w:after="0"/>
              <w:ind w:left="0" w:right="0" w:hanging="0"/>
              <w:jc w:val="left"/>
              <w:rPr/>
            </w:pPr>
            <w:r>
              <w:rPr/>
              <w:t> </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A</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Assignment and Assumption</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B</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Affiliated Lender Assignment and Assumption</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C</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Guarantee Agreement</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D</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Collateral Agreement</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E</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First Lien Intercreditor Agreement</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F</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First Lien/Second Lien Intercreditor Agreement</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G</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Closing Certificate</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H</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Intercompany Note</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I</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Specified Discount Prepayment Notice</w:t>
            </w:r>
          </w:p>
        </w:tc>
      </w:tr>
      <w:tr>
        <w:trPr/>
        <w:tc>
          <w:tcPr>
            <w:tcW w:w="134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Exhibit J</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Specified Discount Prepayment Response</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K</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Discount Range Prepayment Notice</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L</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Discount Range Prepayment Offer</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M</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Solicited Discounted Prepayment Notice</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N</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Solicited Discounted Prepayment Offer</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O</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Acceptance and Prepayment Notice</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P-1</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U.S. Tax Compliance Certificate (For Non-U.S. Lenders That Are Not Partnerships For U.S. Federal Income Tax Purposes)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P-2</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U.S. Tax Compliance Certificate (For Non-U.S. Lenders That Are Partnerships For U.S. Federal Income Tax Purposes)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P-3</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U.S. Tax Compliance Certificate (For Non-U.S. Participants That Are Not Partnerships For U.S. Federal Income Tax Purposes)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P-4</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U.S. Tax Compliance Certificate (For Non-U.S. Participants That Are Partnerships For U.S. Federal Income Tax Purposes)</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Q</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Borrowing Request</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R</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Interest Election Request</w:t>
            </w:r>
          </w:p>
        </w:tc>
      </w:tr>
      <w:tr>
        <w:trPr/>
        <w:tc>
          <w:tcPr>
            <w:tcW w:w="1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S</w:t>
            </w:r>
          </w:p>
        </w:tc>
        <w:tc>
          <w:tcPr>
            <w:tcW w:w="346" w:type="dxa"/>
            <w:tcBorders/>
            <w:vAlign w:val="center"/>
          </w:tcPr>
          <w:p>
            <w:pPr>
              <w:pStyle w:val="TableContents"/>
              <w:bidi w:val="0"/>
              <w:spacing w:before="0" w:after="0"/>
              <w:ind w:left="0" w:right="0" w:hanging="0"/>
              <w:jc w:val="center"/>
              <w:rPr/>
            </w:pPr>
            <w:r>
              <w:rPr/>
              <w:t>—</w:t>
            </w:r>
          </w:p>
        </w:tc>
        <w:tc>
          <w:tcPr>
            <w:tcW w:w="8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Form of Notice of Loan Prepayment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FIRST LIEN CREDIT AGREEMENT, dated as of January 31, 2020 (as amended by Amendment No. 1, dated as of February 1, 2021, and Amendment No. 2, dated as of May 28, 2021, this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among FASTBALL PARENT, INC., a Delaware corporation (“</w:t>
      </w:r>
      <w:r>
        <w:rPr>
          <w:rFonts w:ascii="Times New Roman;serif" w:hAnsi="Times New Roman;serif"/>
          <w:b w:val="false"/>
          <w:sz w:val="20"/>
          <w:u w:val="single"/>
        </w:rPr>
        <w:t>Holdings</w:t>
      </w:r>
      <w:r>
        <w:rPr>
          <w:rFonts w:ascii="Times New Roman" w:hAnsi="Times New Roman"/>
          <w:sz w:val="20"/>
        </w:rPr>
        <w:t>”</w:t>
      </w:r>
      <w:r>
        <w:rPr>
          <w:rFonts w:ascii="Times New Roman;serif" w:hAnsi="Times New Roman;serif"/>
          <w:b w:val="false"/>
          <w:sz w:val="20"/>
        </w:rPr>
        <w:t>), FASTBALL MERGERSUB, LLC, a Delaware limited liability company (“</w:t>
      </w:r>
      <w:r>
        <w:rPr>
          <w:rFonts w:ascii="Times New Roman;serif" w:hAnsi="Times New Roman;serif"/>
          <w:b w:val="false"/>
          <w:sz w:val="20"/>
          <w:u w:val="single"/>
        </w:rPr>
        <w:t>Merger Sub</w:t>
      </w:r>
      <w:r>
        <w:rPr>
          <w:rFonts w:ascii="Times New Roman" w:hAnsi="Times New Roman"/>
          <w:sz w:val="20"/>
        </w:rPr>
        <w:t xml:space="preserve">” </w:t>
      </w:r>
      <w:r>
        <w:rPr>
          <w:rFonts w:ascii="Times New Roman;serif" w:hAnsi="Times New Roman;serif"/>
          <w:b w:val="false"/>
          <w:sz w:val="20"/>
        </w:rPr>
        <w:t>and, prior to the consummation of the Merger, the “</w:t>
      </w:r>
      <w:r>
        <w:rPr>
          <w:rFonts w:ascii="Times New Roman;serif" w:hAnsi="Times New Roman;serif"/>
          <w:b w:val="false"/>
          <w:sz w:val="20"/>
          <w:u w:val="single"/>
        </w:rPr>
        <w:t>Borrower</w:t>
      </w:r>
      <w:r>
        <w:rPr>
          <w:rFonts w:ascii="Times New Roman" w:hAnsi="Times New Roman"/>
          <w:sz w:val="20"/>
        </w:rPr>
        <w:t>”</w:t>
      </w:r>
      <w:r>
        <w:rPr>
          <w:rFonts w:ascii="Times New Roman;serif" w:hAnsi="Times New Roman;serif"/>
          <w:b w:val="false"/>
          <w:sz w:val="20"/>
        </w:rPr>
        <w:t>) (which on the Effective Date shall be merged with and into FIRST ADVANTAGE HOLDINGS, LLC (f/k/a STG-Fairway Holdings, LLC), a Delaware corporation, with First Advantage Holdings, LLC surviving such merger (the “</w:t>
      </w:r>
      <w:r>
        <w:rPr>
          <w:rFonts w:ascii="Times New Roman;serif" w:hAnsi="Times New Roman;serif"/>
          <w:b w:val="false"/>
          <w:sz w:val="20"/>
          <w:u w:val="single"/>
        </w:rPr>
        <w:t>Target</w:t>
      </w:r>
      <w:r>
        <w:rPr>
          <w:rFonts w:ascii="Times New Roman" w:hAnsi="Times New Roman"/>
          <w:sz w:val="20"/>
        </w:rPr>
        <w:t xml:space="preserve">” </w:t>
      </w:r>
      <w:r>
        <w:rPr>
          <w:rFonts w:ascii="Times New Roman;serif" w:hAnsi="Times New Roman;serif"/>
          <w:b w:val="false"/>
          <w:sz w:val="20"/>
        </w:rPr>
        <w:t>and, following the consummation of the Merger, the “</w:t>
      </w:r>
      <w:r>
        <w:rPr>
          <w:rFonts w:ascii="Times New Roman;serif" w:hAnsi="Times New Roman;serif"/>
          <w:b w:val="false"/>
          <w:sz w:val="20"/>
          <w:u w:val="single"/>
        </w:rPr>
        <w:t>Borrower</w:t>
      </w:r>
      <w:r>
        <w:rPr>
          <w:rFonts w:ascii="Times New Roman" w:hAnsi="Times New Roman"/>
          <w:sz w:val="20"/>
        </w:rPr>
        <w:t>”</w:t>
      </w:r>
      <w:r>
        <w:rPr>
          <w:rFonts w:ascii="Times New Roman;serif" w:hAnsi="Times New Roman;serif"/>
          <w:b w:val="false"/>
          <w:sz w:val="20"/>
        </w:rPr>
        <w:t>)), the LENDERS from time to time party hereto, and BANK OF AMERICA, N.A., as Administrative Agent, Collateral Agent and an Issuing Bank.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WHEREAS, the Borrower has requested (a) the Term Lenders to extend Term Loans, which, on the Amendment No. 1 Effective Date shall be in the form of $766,650,000 aggregate principal amount of Term Loans, (b) the Revolving Lenders to provide Revolving Loans, subject to the Revolving Commitment, which, on the Amendment No. 1 Effective Date shall be in an aggregate principal amount of $75,000,000, to the Borrower at any time during the Revolving Availability Period, and (c) the Issuing Banks to issue Letters of Credit at any time during the Revolving Availability Period, in an aggregate face amount at any time outstanding not in excess of $15,000,000;</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NOW THEREFORE, the parties hereto agree as follows: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ARTICLE I</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DEFINITIONS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1.01 </w:t>
      </w:r>
      <w:r>
        <w:rPr>
          <w:rFonts w:ascii="Times New Roman;serif" w:hAnsi="Times New Roman;serif"/>
          <w:b w:val="false"/>
          <w:sz w:val="20"/>
          <w:u w:val="single"/>
        </w:rPr>
        <w:t>Defined Terms</w:t>
      </w:r>
      <w:r>
        <w:rPr>
          <w:rFonts w:ascii="Times New Roman;serif" w:hAnsi="Times New Roman;serif"/>
          <w:b w:val="false"/>
          <w:sz w:val="20"/>
        </w:rPr>
        <w:t>. As used in this Agreement, the following terms have the meanings specified below:</w:t>
      </w:r>
    </w:p>
    <w:p>
      <w:pPr>
        <w:pStyle w:val="TextBody"/>
        <w:bidi w:val="0"/>
        <w:spacing w:before="240" w:after="0"/>
        <w:jc w:val="both"/>
        <w:rPr/>
      </w:pPr>
      <w:r>
        <w:rPr/>
        <w:t>“</w:t>
      </w:r>
      <w:r>
        <w:rPr>
          <w:rFonts w:ascii="Times New Roman;serif" w:hAnsi="Times New Roman;serif"/>
          <w:b w:val="false"/>
          <w:sz w:val="20"/>
          <w:u w:val="single"/>
        </w:rPr>
        <w:t>2021 Additional Revolving Commitment</w:t>
      </w:r>
      <w:r>
        <w:rPr>
          <w:rFonts w:ascii="Times New Roman" w:hAnsi="Times New Roman"/>
          <w:sz w:val="20"/>
        </w:rPr>
        <w:t xml:space="preserve">” </w:t>
      </w:r>
      <w:r>
        <w:rPr>
          <w:rFonts w:ascii="Times New Roman;serif" w:hAnsi="Times New Roman;serif"/>
          <w:b w:val="false"/>
          <w:sz w:val="20"/>
        </w:rPr>
        <w:t>means, with respect to each 2021 Additional Revolving Lender, the commitment of such 2021 Additional Revolving Lender to make Revolving Loans and to acquire participations in Letters of Credit hereunder. The initial amount of each 2021 Additional Revolving Lender’s 2021 Additional Revolving Commitment is set forth on Schedule 1 to Amendment No. 2 and made a part hereof. As of the Amendment No. 2 Effective Date, the aggregate amount of the 2021 Additional Revolving Lenders’ 2021 Additional Revolving Commitments is $25,000,000.</w:t>
      </w:r>
    </w:p>
    <w:p>
      <w:pPr>
        <w:pStyle w:val="TextBody"/>
        <w:bidi w:val="0"/>
        <w:spacing w:before="240" w:after="0"/>
        <w:jc w:val="both"/>
        <w:rPr/>
      </w:pPr>
      <w:r>
        <w:rPr/>
        <w:t>“</w:t>
      </w:r>
      <w:r>
        <w:rPr>
          <w:rFonts w:ascii="Times New Roman;serif" w:hAnsi="Times New Roman;serif"/>
          <w:b w:val="false"/>
          <w:sz w:val="20"/>
          <w:u w:val="single"/>
        </w:rPr>
        <w:t>2021 Additional Revolving Lender</w:t>
      </w:r>
      <w:r>
        <w:rPr>
          <w:rFonts w:ascii="Times New Roman" w:hAnsi="Times New Roman"/>
          <w:sz w:val="20"/>
        </w:rPr>
        <w:t xml:space="preserve">” </w:t>
      </w:r>
      <w:r>
        <w:rPr>
          <w:rFonts w:ascii="Times New Roman;serif" w:hAnsi="Times New Roman;serif"/>
          <w:b w:val="false"/>
          <w:sz w:val="20"/>
        </w:rPr>
        <w:t>has the meaning assigned to such term in Amendment No. 2.</w:t>
      </w:r>
    </w:p>
    <w:p>
      <w:pPr>
        <w:pStyle w:val="TextBody"/>
        <w:bidi w:val="0"/>
        <w:spacing w:before="240" w:after="0"/>
        <w:jc w:val="both"/>
        <w:rPr/>
      </w:pPr>
      <w:r>
        <w:rPr/>
        <w:t>“</w:t>
      </w:r>
      <w:r>
        <w:rPr>
          <w:rFonts w:ascii="Times New Roman;serif" w:hAnsi="Times New Roman;serif"/>
          <w:b w:val="false"/>
          <w:sz w:val="20"/>
          <w:u w:val="single"/>
        </w:rPr>
        <w:t>2021 Revolving Commitments</w:t>
      </w:r>
      <w:r>
        <w:rPr>
          <w:rFonts w:ascii="Times New Roman" w:hAnsi="Times New Roman"/>
          <w:sz w:val="20"/>
        </w:rPr>
        <w:t xml:space="preserve">” </w:t>
      </w:r>
      <w:r>
        <w:rPr>
          <w:rFonts w:ascii="Times New Roman;serif" w:hAnsi="Times New Roman;serif"/>
          <w:b w:val="false"/>
          <w:sz w:val="20"/>
        </w:rPr>
        <w:t xml:space="preserve">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w:t>
      </w:r>
      <w:r>
        <w:rPr>
          <w:rFonts w:ascii="Times New Roman;serif" w:hAnsi="Times New Roman;serif"/>
          <w:b w:val="false"/>
          <w:sz w:val="20"/>
          <w:u w:val="single"/>
        </w:rPr>
        <w:t>Section 2.08</w:t>
      </w:r>
      <w:r>
        <w:rPr>
          <w:rFonts w:ascii="Times New Roman" w:hAnsi="Times New Roman"/>
          <w:sz w:val="20"/>
        </w:rPr>
        <w:t xml:space="preserve"> </w:t>
      </w:r>
      <w:r>
        <w:rPr>
          <w:rFonts w:ascii="Times New Roman;serif" w:hAnsi="Times New Roman;serif"/>
          <w:b w:val="false"/>
          <w:sz w:val="20"/>
        </w:rPr>
        <w:t>and (b) reduced or increased from time to time pursuant to (i) assignments by or to such Lender pursuant to an Assignment and Assumption or (ii) a Refinancing Amendment or a Loan Modification Agreement. The initial amount of each Lender’s 2021 Revolving Commitment is set forth on Schedule 1 to Amendment No. 2 and made a part hereof, or in the Assignment and Assumption, Loan Modification Agreement or Refinancing Amendment pursuant to which such Lender shall have assumed its Revolving Commitment, as the case may be. The aggregate amount of the Revolving Lenders’ 2021 Revolving Commitments as of the Amendment No. 2 Effective Date (after giving effect to the establishment of the 2021 Additional Revolving Commitments on the Amendment No. 2 Effective Date) is $100,000,000.</w:t>
      </w:r>
    </w:p>
    <w:p>
      <w:pPr>
        <w:pStyle w:val="TextBody"/>
        <w:bidi w:val="0"/>
        <w:spacing w:before="240" w:after="0"/>
        <w:jc w:val="both"/>
        <w:rPr/>
      </w:pPr>
      <w:r>
        <w:rPr/>
        <w:t>“</w:t>
      </w:r>
      <w:r>
        <w:rPr>
          <w:rFonts w:ascii="Times New Roman;serif" w:hAnsi="Times New Roman;serif"/>
          <w:b w:val="false"/>
          <w:sz w:val="20"/>
          <w:u w:val="single"/>
        </w:rPr>
        <w:t>ABR</w:t>
      </w:r>
      <w:r>
        <w:rPr>
          <w:rFonts w:ascii="Times New Roman;serif" w:hAnsi="Times New Roman;serif"/>
          <w:b w:val="false"/>
          <w:sz w:val="20"/>
        </w:rPr>
        <w:t>,” when used in reference to any Loan or Borrowing, refers to whether such Loan is, or the Loans comprising such Borrowing are, bearing interest at a rate determined by reference to the Alternate Base Rate.</w:t>
      </w:r>
    </w:p>
    <w:p>
      <w:pPr>
        <w:pStyle w:val="TextBody"/>
        <w:bidi w:val="0"/>
        <w:spacing w:before="240" w:after="0"/>
        <w:jc w:val="both"/>
        <w:rPr/>
      </w:pPr>
      <w:r>
        <w:rPr/>
        <w:t>“</w:t>
      </w:r>
      <w:r>
        <w:rPr>
          <w:rFonts w:ascii="Times New Roman;serif" w:hAnsi="Times New Roman;serif"/>
          <w:b w:val="false"/>
          <w:sz w:val="20"/>
          <w:u w:val="single"/>
        </w:rPr>
        <w:t>Acceptable Discount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Acceptable Prepayment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Acceptance and Prepayment Notice</w:t>
      </w:r>
      <w:r>
        <w:rPr>
          <w:rFonts w:ascii="Times New Roman" w:hAnsi="Times New Roman"/>
          <w:sz w:val="20"/>
        </w:rPr>
        <w:t xml:space="preserve">” </w:t>
      </w:r>
      <w:r>
        <w:rPr>
          <w:rFonts w:ascii="Times New Roman;serif" w:hAnsi="Times New Roman;serif"/>
          <w:b w:val="false"/>
          <w:sz w:val="20"/>
        </w:rPr>
        <w:t xml:space="preserve">means an irrevocable written notice from a Term Lender accepting a Solicited Discounted Prepayment Offer to make a Discounted Term Loan Prepayment at the Acceptable Discount specified therein pursuant to </w:t>
      </w:r>
      <w:r>
        <w:rPr>
          <w:rFonts w:ascii="Times New Roman;serif" w:hAnsi="Times New Roman;serif"/>
          <w:b w:val="false"/>
          <w:sz w:val="20"/>
          <w:u w:val="single"/>
        </w:rPr>
        <w:t>Section 2.11(a)(ii)(D)</w:t>
      </w:r>
      <w:r>
        <w:rPr>
          <w:rFonts w:ascii="Times New Roman" w:hAnsi="Times New Roman"/>
          <w:sz w:val="20"/>
        </w:rPr>
        <w:t xml:space="preserve"> </w:t>
      </w:r>
      <w:r>
        <w:rPr>
          <w:rFonts w:ascii="Times New Roman;serif" w:hAnsi="Times New Roman;serif"/>
          <w:b w:val="false"/>
          <w:sz w:val="20"/>
        </w:rPr>
        <w:t xml:space="preserve">substantially in the form of </w:t>
      </w:r>
      <w:r>
        <w:rPr>
          <w:rFonts w:ascii="Times New Roman;serif" w:hAnsi="Times New Roman;serif"/>
          <w:b w:val="false"/>
          <w:sz w:val="20"/>
          <w:u w:val="single"/>
        </w:rPr>
        <w:t>Exhibit O</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Acceptance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Accepting Lenders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2.24(a)</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Accounting Changes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1.04(d)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Accrued Expenses</w:t>
      </w:r>
      <w:r>
        <w:rPr>
          <w:rFonts w:ascii="Times New Roman" w:hAnsi="Times New Roman"/>
          <w:sz w:val="20"/>
        </w:rPr>
        <w:t xml:space="preserve">” </w:t>
      </w:r>
      <w:r>
        <w:rPr>
          <w:rFonts w:ascii="Times New Roman;serif" w:hAnsi="Times New Roman;serif"/>
          <w:b w:val="false"/>
          <w:sz w:val="20"/>
        </w:rPr>
        <w:t>has the meaning assigned to such term in the definition of “Excess Cash Flow.”</w:t>
      </w:r>
    </w:p>
    <w:p>
      <w:pPr>
        <w:pStyle w:val="TextBody"/>
        <w:bidi w:val="0"/>
        <w:spacing w:before="240" w:after="0"/>
        <w:jc w:val="both"/>
        <w:rPr/>
      </w:pPr>
      <w:r>
        <w:rPr/>
        <w:t>“</w:t>
      </w:r>
      <w:r>
        <w:rPr>
          <w:rFonts w:ascii="Times New Roman;serif" w:hAnsi="Times New Roman;serif"/>
          <w:b w:val="false"/>
          <w:sz w:val="20"/>
          <w:u w:val="single"/>
        </w:rPr>
        <w:t>Acquired EBITDA</w:t>
      </w:r>
      <w:r>
        <w:rPr>
          <w:rFonts w:ascii="Times New Roman" w:hAnsi="Times New Roman"/>
          <w:sz w:val="20"/>
        </w:rPr>
        <w:t xml:space="preserve">” </w:t>
      </w:r>
      <w:r>
        <w:rPr>
          <w:rFonts w:ascii="Times New Roman;serif" w:hAnsi="Times New Roman;serif"/>
          <w:b w:val="false"/>
          <w:sz w:val="20"/>
        </w:rPr>
        <w:t>means, with respect to any Pro Forma Entity for any period, the amount for such period of Consolidated EBITDA of such Pro Forma Entity (determined as if references to the Borrower and the Restricted Subsidiaries in the definition of the term “Consolidated EBITDA” were references to such Pro Forma Entity and its Subsidiaries which will become Restricted Subsidiaries), all as determined on a consolidated basis for such Pro Forma Entity.</w:t>
      </w:r>
    </w:p>
    <w:p>
      <w:pPr>
        <w:pStyle w:val="TextBody"/>
        <w:bidi w:val="0"/>
        <w:spacing w:before="240" w:after="0"/>
        <w:jc w:val="both"/>
        <w:rPr/>
      </w:pPr>
      <w:r>
        <w:rPr/>
        <w:t>“</w:t>
      </w:r>
      <w:r>
        <w:rPr>
          <w:rFonts w:ascii="Times New Roman;serif" w:hAnsi="Times New Roman;serif"/>
          <w:b w:val="false"/>
          <w:sz w:val="20"/>
          <w:u w:val="single"/>
        </w:rPr>
        <w:t>Acquired Entity or Business</w:t>
      </w:r>
      <w:r>
        <w:rPr>
          <w:rFonts w:ascii="Times New Roman" w:hAnsi="Times New Roman"/>
          <w:sz w:val="20"/>
        </w:rPr>
        <w:t xml:space="preserve">” </w:t>
      </w:r>
      <w:r>
        <w:rPr>
          <w:rFonts w:ascii="Times New Roman;serif" w:hAnsi="Times New Roman;serif"/>
          <w:b w:val="false"/>
          <w:sz w:val="20"/>
        </w:rPr>
        <w:t>has the meaning assigned to such term in the definition of “Consolidated EBITDA.”</w:t>
      </w:r>
    </w:p>
    <w:p>
      <w:pPr>
        <w:pStyle w:val="TextBody"/>
        <w:bidi w:val="0"/>
        <w:spacing w:before="240" w:after="0"/>
        <w:jc w:val="both"/>
        <w:rPr/>
      </w:pPr>
      <w:r>
        <w:rPr/>
        <w:t>“</w:t>
      </w:r>
      <w:r>
        <w:rPr>
          <w:rFonts w:ascii="Times New Roman;serif" w:hAnsi="Times New Roman;serif"/>
          <w:b w:val="false"/>
          <w:sz w:val="20"/>
          <w:u w:val="single"/>
        </w:rPr>
        <w:t>Acquisition</w:t>
      </w:r>
      <w:r>
        <w:rPr>
          <w:rFonts w:ascii="Times New Roman" w:hAnsi="Times New Roman"/>
          <w:sz w:val="20"/>
        </w:rPr>
        <w:t xml:space="preserve">” </w:t>
      </w:r>
      <w:r>
        <w:rPr>
          <w:rFonts w:ascii="Times New Roman;serif" w:hAnsi="Times New Roman;serif"/>
          <w:b w:val="false"/>
          <w:sz w:val="20"/>
        </w:rPr>
        <w:t>means the acquisition of the Target and its subsidiaries pursuant to the Acquisition Agreement.</w:t>
      </w:r>
    </w:p>
    <w:p>
      <w:pPr>
        <w:pStyle w:val="TextBody"/>
        <w:bidi w:val="0"/>
        <w:spacing w:before="240" w:after="0"/>
        <w:jc w:val="both"/>
        <w:rPr/>
      </w:pPr>
      <w:r>
        <w:rPr/>
        <w:t>“</w:t>
      </w:r>
      <w:r>
        <w:rPr>
          <w:rFonts w:ascii="Times New Roman;serif" w:hAnsi="Times New Roman;serif"/>
          <w:b w:val="false"/>
          <w:sz w:val="20"/>
          <w:u w:val="single"/>
        </w:rPr>
        <w:t>Acquisition Agreement</w:t>
      </w:r>
      <w:r>
        <w:rPr>
          <w:rFonts w:ascii="Times New Roman" w:hAnsi="Times New Roman"/>
          <w:sz w:val="20"/>
        </w:rPr>
        <w:t xml:space="preserve">” </w:t>
      </w:r>
      <w:r>
        <w:rPr>
          <w:rFonts w:ascii="Times New Roman;serif" w:hAnsi="Times New Roman;serif"/>
          <w:b w:val="false"/>
          <w:sz w:val="20"/>
        </w:rPr>
        <w:t>means the Agreement and Plan of Merger (together with all exhibits, schedules and other disclosure letters thereto), dated as of November 19, 2019, by and among Fastball Parent, Inc., Merger Sub, the Target and STG IV, L.P., as the securityholder representative.</w:t>
      </w:r>
    </w:p>
    <w:p>
      <w:pPr>
        <w:pStyle w:val="TextBody"/>
        <w:bidi w:val="0"/>
        <w:spacing w:before="240" w:after="0"/>
        <w:jc w:val="both"/>
        <w:rPr/>
      </w:pPr>
      <w:r>
        <w:rPr/>
        <w:t>“</w:t>
      </w:r>
      <w:r>
        <w:rPr>
          <w:rFonts w:ascii="Times New Roman;serif" w:hAnsi="Times New Roman;serif"/>
          <w:b w:val="false"/>
          <w:sz w:val="20"/>
          <w:u w:val="single"/>
        </w:rPr>
        <w:t>Acquisition Documents</w:t>
      </w:r>
      <w:r>
        <w:rPr>
          <w:rFonts w:ascii="Times New Roman" w:hAnsi="Times New Roman"/>
          <w:sz w:val="20"/>
        </w:rPr>
        <w:t xml:space="preserve">” </w:t>
      </w:r>
      <w:r>
        <w:rPr>
          <w:rFonts w:ascii="Times New Roman;serif" w:hAnsi="Times New Roman;serif"/>
          <w:b w:val="false"/>
          <w:sz w:val="20"/>
        </w:rPr>
        <w:t>means the Acquisition Agreement, all other agreements entered into between Holdings or its Affiliates and the Target or its Affiliates, in connection with the Acquisition and all schedules, exhibits and annexes to each of the foregoing and all side letters, instruments and agreements affecting the terms of the foregoing or entered into in connection therewith.</w:t>
      </w:r>
    </w:p>
    <w:p>
      <w:pPr>
        <w:pStyle w:val="TextBody"/>
        <w:bidi w:val="0"/>
        <w:spacing w:before="240" w:after="0"/>
        <w:jc w:val="both"/>
        <w:rPr/>
      </w:pPr>
      <w:r>
        <w:rPr/>
        <w:t>“</w:t>
      </w:r>
      <w:r>
        <w:rPr>
          <w:rFonts w:ascii="Times New Roman;serif" w:hAnsi="Times New Roman;serif"/>
          <w:b w:val="false"/>
          <w:sz w:val="20"/>
          <w:u w:val="single"/>
        </w:rPr>
        <w:t>Acquisition Transaction</w:t>
      </w:r>
      <w:r>
        <w:rPr>
          <w:rFonts w:ascii="Times New Roman" w:hAnsi="Times New Roman"/>
          <w:sz w:val="20"/>
        </w:rPr>
        <w:t xml:space="preserve">” </w:t>
      </w:r>
      <w:r>
        <w:rPr>
          <w:rFonts w:ascii="Times New Roman;serif" w:hAnsi="Times New Roman;serif"/>
          <w:b w:val="false"/>
          <w:sz w:val="20"/>
        </w:rPr>
        <w:t xml:space="preserve">means any Investment by Holdings, the Borrower or any Restricted Subsidiary in a Person if (a) as a result of such Investment, (i) such Person becomes a Restricted Subsidiary or (ii) such Person, in one transaction or a series of related transactions, is merged, consolidated, or amalgamated with or into, or transfers or conveys substantially all of its assets (or all or substantially all the assets constituting a business unit, division, product line or line of business) to, or is liquidated into, Holdings, the Borrower or a Restricted Subsidiary and (b) after giving effect to such Investment, the Borrower is in compliance with </w:t>
      </w:r>
      <w:r>
        <w:rPr>
          <w:rFonts w:ascii="Times New Roman;serif" w:hAnsi="Times New Roman;serif"/>
          <w:b w:val="false"/>
          <w:sz w:val="20"/>
          <w:u w:val="single"/>
        </w:rPr>
        <w:t>Section 5.16</w:t>
      </w:r>
      <w:r>
        <w:rPr>
          <w:rFonts w:ascii="Times New Roman;serif" w:hAnsi="Times New Roman;serif"/>
          <w:b w:val="false"/>
          <w:sz w:val="20"/>
        </w:rPr>
        <w:t>, and, in each case, any Investment held by such Person.</w:t>
      </w:r>
    </w:p>
    <w:p>
      <w:pPr>
        <w:pStyle w:val="TextBody"/>
        <w:bidi w:val="0"/>
        <w:spacing w:before="240" w:after="0"/>
        <w:jc w:val="both"/>
        <w:rPr/>
      </w:pPr>
      <w:r>
        <w:rPr/>
        <w:t>“</w:t>
      </w:r>
      <w:r>
        <w:rPr>
          <w:rFonts w:ascii="Times New Roman;serif" w:hAnsi="Times New Roman;serif"/>
          <w:b w:val="false"/>
          <w:sz w:val="20"/>
          <w:u w:val="single"/>
        </w:rPr>
        <w:t>Additional Lender</w:t>
      </w:r>
      <w:r>
        <w:rPr>
          <w:rFonts w:ascii="Times New Roman" w:hAnsi="Times New Roman"/>
          <w:sz w:val="20"/>
        </w:rPr>
        <w:t xml:space="preserve">” </w:t>
      </w:r>
      <w:r>
        <w:rPr>
          <w:rFonts w:ascii="Times New Roman;serif" w:hAnsi="Times New Roman;serif"/>
          <w:b w:val="false"/>
          <w:sz w:val="20"/>
        </w:rPr>
        <w:t>means any Additional Revolving Lender or any Additional Term Lender, as applicable.</w:t>
      </w:r>
    </w:p>
    <w:p>
      <w:pPr>
        <w:pStyle w:val="TextBody"/>
        <w:bidi w:val="0"/>
        <w:spacing w:before="240" w:after="0"/>
        <w:jc w:val="both"/>
        <w:rPr/>
      </w:pPr>
      <w:r>
        <w:rPr/>
        <w:t>“</w:t>
      </w:r>
      <w:r>
        <w:rPr>
          <w:rFonts w:ascii="Times New Roman;serif" w:hAnsi="Times New Roman;serif"/>
          <w:b w:val="false"/>
          <w:sz w:val="20"/>
          <w:u w:val="single"/>
        </w:rPr>
        <w:t>Additional Revolving Lender</w:t>
      </w:r>
      <w:r>
        <w:rPr>
          <w:rFonts w:ascii="Times New Roman" w:hAnsi="Times New Roman"/>
          <w:sz w:val="20"/>
        </w:rPr>
        <w:t xml:space="preserve">” </w:t>
      </w:r>
      <w:r>
        <w:rPr>
          <w:rFonts w:ascii="Times New Roman;serif" w:hAnsi="Times New Roman;serif"/>
          <w:b w:val="false"/>
          <w:sz w:val="20"/>
        </w:rPr>
        <w:t xml:space="preserve">means, at any time, any bank, financial institution or other institutional lender or investor that agrees to provide any portion of any (a) Incremental Revolving Commitment Increase or Additional/Replacement Revolving Commitments pursuant to an Incremental Facility Amendment in accordance with </w:t>
      </w:r>
      <w:r>
        <w:rPr>
          <w:rFonts w:ascii="Times New Roman;serif" w:hAnsi="Times New Roman;serif"/>
          <w:b w:val="false"/>
          <w:sz w:val="20"/>
          <w:u w:val="single"/>
        </w:rPr>
        <w:t>Section 2.20</w:t>
      </w:r>
      <w:r>
        <w:rPr>
          <w:rFonts w:ascii="Times New Roman" w:hAnsi="Times New Roman"/>
          <w:sz w:val="20"/>
        </w:rPr>
        <w:t xml:space="preserve"> </w:t>
      </w:r>
      <w:r>
        <w:rPr>
          <w:rFonts w:ascii="Times New Roman;serif" w:hAnsi="Times New Roman;serif"/>
          <w:b w:val="false"/>
          <w:sz w:val="20"/>
        </w:rPr>
        <w:t xml:space="preserve">or (b) Credit Agreement Refinancing Indebtedness pursuant to a Refinancing Amendment in accordance with </w:t>
      </w:r>
      <w:r>
        <w:rPr>
          <w:rFonts w:ascii="Times New Roman;serif" w:hAnsi="Times New Roman;serif"/>
          <w:b w:val="false"/>
          <w:sz w:val="20"/>
          <w:u w:val="single"/>
        </w:rPr>
        <w:t>Section 2.21</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each Additional Revolving Lender shall be subject to the approval of the Administrative Agent and each Issuing Bank (such approval in each case not to be unreasonably withheld or delayed) and the Borrower.</w:t>
      </w:r>
    </w:p>
    <w:p>
      <w:pPr>
        <w:pStyle w:val="TextBody"/>
        <w:bidi w:val="0"/>
        <w:spacing w:before="240" w:after="0"/>
        <w:jc w:val="both"/>
        <w:rPr/>
      </w:pPr>
      <w:r>
        <w:rPr/>
        <w:t>“</w:t>
      </w:r>
      <w:r>
        <w:rPr>
          <w:rFonts w:ascii="Times New Roman;serif" w:hAnsi="Times New Roman;serif"/>
          <w:b w:val="false"/>
          <w:sz w:val="20"/>
          <w:u w:val="single"/>
        </w:rPr>
        <w:t>Additional Term B-1 Commitment</w:t>
      </w:r>
      <w:r>
        <w:rPr>
          <w:rFonts w:ascii="Times New Roman" w:hAnsi="Times New Roman"/>
          <w:sz w:val="20"/>
        </w:rPr>
        <w:t xml:space="preserve">” </w:t>
      </w:r>
      <w:r>
        <w:rPr>
          <w:rFonts w:ascii="Times New Roman;serif" w:hAnsi="Times New Roman;serif"/>
          <w:b w:val="false"/>
          <w:sz w:val="20"/>
        </w:rPr>
        <w:t>means, with respect to an Additional Term B-1 Lender, the commitment of such Additional Term B-1 Lender to make an Additional Term B-1 Loan hereunder on the Amendment No. 1 Effective Date, in the amount set forth opposite such Lender’s name on Schedule 1 to Amendment No. 1 and made a part hereof. The aggregate amount of the Additional Term B-1 Commitments of all Additional Term B-1 Lenders shall equal the outstanding aggregate principal amount of Non-Exchanged Amendment No. 1 Term Loans.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Additional Term B-1 Lender</w:t>
      </w:r>
      <w:r>
        <w:rPr>
          <w:rFonts w:ascii="Times New Roman" w:hAnsi="Times New Roman"/>
          <w:sz w:val="20"/>
        </w:rPr>
        <w:t xml:space="preserve">” </w:t>
      </w:r>
      <w:r>
        <w:rPr>
          <w:rFonts w:ascii="Times New Roman;serif" w:hAnsi="Times New Roman;serif"/>
          <w:b w:val="false"/>
          <w:sz w:val="20"/>
        </w:rPr>
        <w:t>means a Person with an Additional Term B-1 Commitment to make Additional Term B-1 Loans to the Borrowers on the Amendment No. 1 Effective Date.</w:t>
      </w:r>
    </w:p>
    <w:p>
      <w:pPr>
        <w:pStyle w:val="TextBody"/>
        <w:bidi w:val="0"/>
        <w:spacing w:before="240" w:after="0"/>
        <w:jc w:val="both"/>
        <w:rPr/>
      </w:pPr>
      <w:r>
        <w:rPr/>
        <w:t>“</w:t>
      </w:r>
      <w:r>
        <w:rPr>
          <w:rFonts w:ascii="Times New Roman;serif" w:hAnsi="Times New Roman;serif"/>
          <w:b w:val="false"/>
          <w:sz w:val="20"/>
          <w:u w:val="single"/>
        </w:rPr>
        <w:t>Additional Term B-1 Loan</w:t>
      </w:r>
      <w:r>
        <w:rPr>
          <w:rFonts w:ascii="Times New Roman" w:hAnsi="Times New Roman"/>
          <w:sz w:val="20"/>
        </w:rPr>
        <w:t xml:space="preserve">” </w:t>
      </w:r>
      <w:r>
        <w:rPr>
          <w:rFonts w:ascii="Times New Roman;serif" w:hAnsi="Times New Roman;serif"/>
          <w:b w:val="false"/>
          <w:sz w:val="20"/>
        </w:rPr>
        <w:t xml:space="preserve">means a Loan that is made pursuant to the second sentence of </w:t>
      </w:r>
      <w:r>
        <w:rPr>
          <w:rFonts w:ascii="Times New Roman;serif" w:hAnsi="Times New Roman;serif"/>
          <w:b w:val="false"/>
          <w:sz w:val="20"/>
          <w:u w:val="single"/>
        </w:rPr>
        <w:t>Section 2.02(d)</w:t>
      </w:r>
      <w:r>
        <w:rPr>
          <w:rFonts w:ascii="Times New Roman" w:hAnsi="Times New Roman"/>
          <w:sz w:val="20"/>
        </w:rPr>
        <w:t xml:space="preserve"> </w:t>
      </w:r>
      <w:r>
        <w:rPr>
          <w:rFonts w:ascii="Times New Roman;serif" w:hAnsi="Times New Roman;serif"/>
          <w:b w:val="false"/>
          <w:sz w:val="20"/>
        </w:rPr>
        <w:t>of this Agreement on the Amendment No. 1 Effective Date.</w:t>
      </w:r>
    </w:p>
    <w:p>
      <w:pPr>
        <w:pStyle w:val="TextBody"/>
        <w:bidi w:val="0"/>
        <w:spacing w:before="240" w:after="0"/>
        <w:jc w:val="both"/>
        <w:rPr/>
      </w:pPr>
      <w:r>
        <w:rPr/>
        <w:t>“</w:t>
      </w:r>
      <w:r>
        <w:rPr>
          <w:rFonts w:ascii="Times New Roman;serif" w:hAnsi="Times New Roman;serif"/>
          <w:b w:val="false"/>
          <w:sz w:val="20"/>
          <w:u w:val="single"/>
        </w:rPr>
        <w:t>Additional Term Lender</w:t>
      </w:r>
      <w:r>
        <w:rPr>
          <w:rFonts w:ascii="Times New Roman" w:hAnsi="Times New Roman"/>
          <w:sz w:val="20"/>
        </w:rPr>
        <w:t xml:space="preserve">” </w:t>
      </w:r>
      <w:r>
        <w:rPr>
          <w:rFonts w:ascii="Times New Roman;serif" w:hAnsi="Times New Roman;serif"/>
          <w:b w:val="false"/>
          <w:sz w:val="20"/>
        </w:rPr>
        <w:t xml:space="preserve">means, at any time, any bank, financial institution or other institutional lender or investor (including any such bank, financial institution or other lender or investor that is a Lender at such time) that agrees to provide any portion of any (a) Incremental Term Loan pursuant to an Incremental Facility Amendment in accordance with </w:t>
      </w:r>
      <w:r>
        <w:rPr>
          <w:rFonts w:ascii="Times New Roman;serif" w:hAnsi="Times New Roman;serif"/>
          <w:b w:val="false"/>
          <w:sz w:val="20"/>
          <w:u w:val="single"/>
        </w:rPr>
        <w:t>Section 2.20</w:t>
      </w:r>
      <w:r>
        <w:rPr>
          <w:rFonts w:ascii="Times New Roman" w:hAnsi="Times New Roman"/>
          <w:sz w:val="20"/>
        </w:rPr>
        <w:t xml:space="preserve"> </w:t>
      </w:r>
      <w:r>
        <w:rPr>
          <w:rFonts w:ascii="Times New Roman;serif" w:hAnsi="Times New Roman;serif"/>
          <w:b w:val="false"/>
          <w:sz w:val="20"/>
        </w:rPr>
        <w:t xml:space="preserve">or (b) Credit Agreement Refinancing Indebtedness pursuant to a Refinancing Amendment in accordance with </w:t>
      </w:r>
      <w:r>
        <w:rPr>
          <w:rFonts w:ascii="Times New Roman;serif" w:hAnsi="Times New Roman;serif"/>
          <w:b w:val="false"/>
          <w:sz w:val="20"/>
          <w:u w:val="single"/>
        </w:rPr>
        <w:t>Section 2.21</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pStyle w:val="TextBody"/>
        <w:bidi w:val="0"/>
        <w:spacing w:before="240" w:after="0"/>
        <w:jc w:val="left"/>
        <w:rPr/>
      </w:pPr>
      <w:r>
        <w:rPr/>
        <w:t>“</w:t>
      </w:r>
      <w:r>
        <w:rPr>
          <w:rFonts w:ascii="Times New Roman;serif" w:hAnsi="Times New Roman;serif"/>
          <w:b w:val="false"/>
          <w:sz w:val="20"/>
          <w:u w:val="single"/>
        </w:rPr>
        <w:t>Additional/Replacement Revolving Commitment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2.20(a)</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Adjusted</w:t>
      </w:r>
      <w:r>
        <w:rPr>
          <w:rFonts w:ascii="Times New Roman" w:hAnsi="Times New Roman"/>
          <w:sz w:val="20"/>
        </w:rPr>
        <w:t xml:space="preserve"> </w:t>
      </w:r>
      <w:r>
        <w:rPr>
          <w:rFonts w:ascii="Times New Roman;serif" w:hAnsi="Times New Roman;serif"/>
          <w:b w:val="false"/>
          <w:strike/>
          <w:sz w:val="20"/>
          <w:u w:val="single"/>
        </w:rPr>
        <w:t>LIBO Rate</w:t>
      </w:r>
      <w:r>
        <w:rPr>
          <w:rFonts w:ascii="Times New Roman" w:hAnsi="Times New Roman"/>
          <w:strike/>
          <w:sz w:val="20"/>
        </w:rPr>
        <w:t xml:space="preserve">” </w:t>
      </w:r>
      <w:r>
        <w:rPr>
          <w:rFonts w:ascii="Times New Roman;serif" w:hAnsi="Times New Roman;serif"/>
          <w:b w:val="false"/>
          <w:strike/>
          <w:sz w:val="20"/>
        </w:rPr>
        <w:t>means, with respect to any Eurocurrency Borrowing for any Interest Period, an</w:t>
      </w:r>
      <w:r>
        <w:rPr>
          <w:rFonts w:ascii="Times New Roman" w:hAnsi="Times New Roman"/>
          <w:sz w:val="20"/>
        </w:rPr>
        <w:t xml:space="preserve"> </w:t>
      </w:r>
      <w:r>
        <w:rPr>
          <w:rFonts w:ascii="Times New Roman;serif" w:hAnsi="Times New Roman;serif"/>
          <w:b w:val="false"/>
          <w:strike/>
          <w:sz w:val="20"/>
        </w:rPr>
        <w:t xml:space="preserve">interest rate per annum equal to (a) the LIBO Rate for such Interest Period </w:t>
      </w:r>
      <w:r>
        <w:rPr>
          <w:rFonts w:ascii="Times New Roman;serif" w:hAnsi="Times New Roman;serif"/>
          <w:b w:val="false"/>
          <w:strike/>
          <w:sz w:val="20"/>
          <w:u w:val="single"/>
        </w:rPr>
        <w:t xml:space="preserve">multiplied by </w:t>
      </w:r>
      <w:r>
        <w:rPr>
          <w:rFonts w:ascii="Times New Roman;serif" w:hAnsi="Times New Roman;serif"/>
          <w:b w:val="false"/>
          <w:strike/>
          <w:sz w:val="20"/>
        </w:rPr>
        <w:t>(b) the Statutory Reserve</w:t>
      </w:r>
      <w:r>
        <w:rPr>
          <w:rFonts w:ascii="Times New Roman" w:hAnsi="Times New Roman"/>
          <w:sz w:val="20"/>
        </w:rPr>
        <w:t xml:space="preserve"> </w:t>
      </w:r>
      <w:r>
        <w:rPr>
          <w:rFonts w:ascii="Times New Roman;serif" w:hAnsi="Times New Roman;serif"/>
          <w:b w:val="false"/>
          <w:strike/>
          <w:sz w:val="20"/>
        </w:rPr>
        <w:t>Rate.</w:t>
      </w:r>
      <w:r>
        <w:rPr>
          <w:rFonts w:ascii="Times New Roman" w:hAnsi="Times New Roman"/>
          <w:sz w:val="20"/>
        </w:rPr>
        <w:t xml:space="preserve"> </w:t>
      </w:r>
      <w:r>
        <w:rPr>
          <w:rFonts w:ascii="Times New Roman;serif" w:hAnsi="Times New Roman;serif"/>
          <w:b w:val="false"/>
          <w:sz w:val="20"/>
          <w:u w:val="single"/>
        </w:rPr>
        <w:t>Term SOFR” means, for purposes of any calculation, the rate per annum equal to (a) with respect to the Term</w:t>
      </w:r>
      <w:r>
        <w:rPr>
          <w:rFonts w:ascii="Times New Roman" w:hAnsi="Times New Roman"/>
          <w:sz w:val="20"/>
        </w:rPr>
        <w:t xml:space="preserve"> </w:t>
      </w:r>
      <w:r>
        <w:rPr>
          <w:rFonts w:ascii="Times New Roman;serif" w:hAnsi="Times New Roman;serif"/>
          <w:b w:val="false"/>
          <w:sz w:val="20"/>
          <w:u w:val="single"/>
        </w:rPr>
        <w:t xml:space="preserve">Loans, (i) Term SOFR, </w:t>
      </w:r>
      <w:r>
        <w:rPr>
          <w:rFonts w:ascii="Times New Roman;serif" w:hAnsi="Times New Roman;serif"/>
          <w:b w:val="false"/>
          <w:i/>
          <w:sz w:val="20"/>
          <w:u w:val="single"/>
        </w:rPr>
        <w:t xml:space="preserve">plus </w:t>
      </w:r>
      <w:r>
        <w:rPr>
          <w:rFonts w:ascii="Times New Roman;serif" w:hAnsi="Times New Roman;serif"/>
          <w:b w:val="false"/>
          <w:sz w:val="20"/>
          <w:u w:val="single"/>
        </w:rPr>
        <w:t>(ii)(A) for one-month Interest Periods, 0.11448%, (B) for three-month Interest Periods,</w:t>
      </w:r>
      <w:r>
        <w:rPr>
          <w:rFonts w:ascii="Times New Roman" w:hAnsi="Times New Roman"/>
          <w:sz w:val="20"/>
        </w:rPr>
        <w:t xml:space="preserve"> </w:t>
      </w:r>
      <w:r>
        <w:rPr>
          <w:rFonts w:ascii="Times New Roman;serif" w:hAnsi="Times New Roman;serif"/>
          <w:b w:val="false"/>
          <w:sz w:val="20"/>
          <w:u w:val="single"/>
        </w:rPr>
        <w:t>0.26161%</w:t>
      </w:r>
      <w:r>
        <w:rPr>
          <w:rFonts w:ascii="Times New Roman" w:hAnsi="Times New Roman"/>
          <w:sz w:val="20"/>
        </w:rPr>
        <w:t xml:space="preserve"> </w:t>
      </w:r>
      <w:r>
        <w:rPr>
          <w:rFonts w:ascii="Times New Roman;serif" w:hAnsi="Times New Roman;serif"/>
          <w:b w:val="false"/>
          <w:sz w:val="20"/>
          <w:u w:val="single"/>
        </w:rPr>
        <w:t>and (C) for six-month Interest Periods, 0.42826% and (b) otherwise, Term SOFR; provided that, if</w:t>
      </w:r>
      <w:r>
        <w:rPr>
          <w:rFonts w:ascii="Times New Roman" w:hAnsi="Times New Roman"/>
          <w:sz w:val="20"/>
        </w:rPr>
        <w:t xml:space="preserve"> </w:t>
      </w:r>
      <w:r>
        <w:rPr>
          <w:rFonts w:ascii="Times New Roman;serif" w:hAnsi="Times New Roman;serif"/>
          <w:b w:val="false"/>
          <w:sz w:val="20"/>
          <w:u w:val="single"/>
        </w:rPr>
        <w:t>Adjusted Term SOFR is less than 0.00% per annum, then Adjusted Term SOFR with respect to the Loans shall be</w:t>
      </w:r>
      <w:r>
        <w:rPr>
          <w:rFonts w:ascii="Times New Roman" w:hAnsi="Times New Roman"/>
          <w:sz w:val="20"/>
        </w:rPr>
        <w:t xml:space="preserve"> </w:t>
      </w:r>
      <w:r>
        <w:rPr>
          <w:rFonts w:ascii="Times New Roman;serif" w:hAnsi="Times New Roman;serif"/>
          <w:b w:val="false"/>
          <w:sz w:val="20"/>
          <w:u w:val="single"/>
        </w:rPr>
        <w:t>deemed</w:t>
      </w:r>
      <w:r>
        <w:rPr>
          <w:rFonts w:ascii="Times New Roman" w:hAnsi="Times New Roman"/>
          <w:sz w:val="20"/>
        </w:rPr>
        <w:t xml:space="preserve"> </w:t>
      </w:r>
      <w:r>
        <w:rPr>
          <w:rFonts w:ascii="Times New Roman;serif" w:hAnsi="Times New Roman;serif"/>
          <w:b w:val="false"/>
          <w:sz w:val="20"/>
          <w:u w:val="single"/>
        </w:rPr>
        <w:t>to be 0.00% per annum. Each determination by the Administrative Agent of Adjusted Term SOFR shall be</w:t>
      </w:r>
      <w:r>
        <w:rPr>
          <w:rFonts w:ascii="Times New Roman" w:hAnsi="Times New Roman"/>
          <w:sz w:val="20"/>
        </w:rPr>
        <w:t xml:space="preserve"> </w:t>
      </w:r>
      <w:r>
        <w:rPr>
          <w:rFonts w:ascii="Times New Roman;serif" w:hAnsi="Times New Roman;serif"/>
          <w:b w:val="false"/>
          <w:sz w:val="20"/>
          <w:u w:val="single"/>
        </w:rPr>
        <w:t>conclusive and binding for all purposes absent manifest error.</w:t>
      </w:r>
    </w:p>
    <w:p>
      <w:pPr>
        <w:pStyle w:val="TextBody"/>
        <w:bidi w:val="0"/>
        <w:spacing w:before="240" w:after="0"/>
        <w:jc w:val="left"/>
        <w:rPr/>
      </w:pPr>
      <w:r>
        <w:rPr>
          <w:strike/>
        </w:rPr>
        <w:t>“</w:t>
      </w:r>
      <w:r>
        <w:rPr>
          <w:rFonts w:ascii="Times New Roman;serif" w:hAnsi="Times New Roman;serif"/>
          <w:b w:val="false"/>
          <w:strike/>
          <w:sz w:val="20"/>
          <w:u w:val="single"/>
        </w:rPr>
        <w:t>Adjustment</w:t>
      </w:r>
      <w:r>
        <w:rPr>
          <w:rFonts w:ascii="Times New Roman" w:hAnsi="Times New Roman"/>
          <w:strike/>
          <w:sz w:val="20"/>
        </w:rPr>
        <w:t xml:space="preserve">” </w:t>
      </w:r>
      <w:r>
        <w:rPr>
          <w:rFonts w:ascii="Times New Roman;serif" w:hAnsi="Times New Roman;serif"/>
          <w:b w:val="false"/>
          <w:strike/>
          <w:sz w:val="20"/>
        </w:rPr>
        <w:t xml:space="preserve">has the meaning assigned to such term in </w:t>
      </w:r>
      <w:r>
        <w:rPr>
          <w:rFonts w:ascii="Times New Roman;serif" w:hAnsi="Times New Roman;serif"/>
          <w:b w:val="false"/>
          <w:strike/>
          <w:sz w:val="20"/>
          <w:u w:val="single"/>
        </w:rPr>
        <w:t>Section 2.14(b)</w:t>
      </w:r>
      <w:r>
        <w:rPr>
          <w:rFonts w:ascii="Times New Roman;serif" w:hAnsi="Times New Roman;serif"/>
          <w:b w:val="false"/>
          <w:strike/>
          <w:sz w:val="20"/>
        </w:rPr>
        <w:t>.</w:t>
      </w:r>
    </w:p>
    <w:p>
      <w:pPr>
        <w:pStyle w:val="TextBody"/>
        <w:bidi w:val="0"/>
        <w:spacing w:before="240" w:after="0"/>
        <w:jc w:val="both"/>
        <w:rPr/>
      </w:pPr>
      <w:r>
        <w:rPr/>
        <w:t>“</w:t>
      </w:r>
      <w:r>
        <w:rPr>
          <w:rFonts w:ascii="Times New Roman;serif" w:hAnsi="Times New Roman;serif"/>
          <w:b w:val="false"/>
          <w:sz w:val="20"/>
          <w:u w:val="single"/>
        </w:rPr>
        <w:t>Administrative Agent</w:t>
      </w:r>
      <w:r>
        <w:rPr>
          <w:rFonts w:ascii="Times New Roman" w:hAnsi="Times New Roman"/>
          <w:sz w:val="20"/>
        </w:rPr>
        <w:t xml:space="preserve">” </w:t>
      </w:r>
      <w:r>
        <w:rPr>
          <w:rFonts w:ascii="Times New Roman;serif" w:hAnsi="Times New Roman;serif"/>
          <w:b w:val="false"/>
          <w:sz w:val="20"/>
        </w:rPr>
        <w:t xml:space="preserve">means Bank of America, in its capacity as administrative agent hereunder and under the other Loan Documents, and its successors in such capacity as provided in </w:t>
      </w:r>
      <w:r>
        <w:rPr>
          <w:rFonts w:ascii="Times New Roman;serif" w:hAnsi="Times New Roman;serif"/>
          <w:b w:val="false"/>
          <w:sz w:val="20"/>
          <w:u w:val="single"/>
        </w:rPr>
        <w:t>Article VIII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Administrative Agent’s Office</w:t>
      </w:r>
      <w:r>
        <w:rPr>
          <w:rFonts w:ascii="Times New Roman" w:hAnsi="Times New Roman"/>
          <w:sz w:val="20"/>
        </w:rPr>
        <w:t xml:space="preserve">” </w:t>
      </w:r>
      <w:r>
        <w:rPr>
          <w:rFonts w:ascii="Times New Roman;serif" w:hAnsi="Times New Roman;serif"/>
          <w:b w:val="false"/>
          <w:sz w:val="20"/>
        </w:rPr>
        <w:t xml:space="preserve">means the Administrative Agent’s address and, as appropriate, account as set forth in </w:t>
      </w:r>
      <w:r>
        <w:rPr>
          <w:rFonts w:ascii="Times New Roman;serif" w:hAnsi="Times New Roman;serif"/>
          <w:b w:val="false"/>
          <w:sz w:val="20"/>
          <w:u w:val="single"/>
        </w:rPr>
        <w:t>Section 9.02</w:t>
      </w:r>
      <w:r>
        <w:rPr>
          <w:rFonts w:ascii="Times New Roman;serif" w:hAnsi="Times New Roman;serif"/>
          <w:b w:val="false"/>
          <w:sz w:val="20"/>
        </w:rPr>
        <w:t>, or such other address or account as the Administrative Agent may from time to time notify to the Borrower and the Lenders.</w:t>
      </w:r>
    </w:p>
    <w:p>
      <w:pPr>
        <w:pStyle w:val="TextBody"/>
        <w:bidi w:val="0"/>
        <w:spacing w:before="240" w:after="0"/>
        <w:jc w:val="both"/>
        <w:rPr/>
      </w:pPr>
      <w:r>
        <w:rPr/>
        <w:t>“</w:t>
      </w:r>
      <w:r>
        <w:rPr>
          <w:rFonts w:ascii="Times New Roman;serif" w:hAnsi="Times New Roman;serif"/>
          <w:b w:val="false"/>
          <w:sz w:val="20"/>
          <w:u w:val="single"/>
        </w:rPr>
        <w:t>Administrative Questionnaire</w:t>
      </w:r>
      <w:r>
        <w:rPr>
          <w:rFonts w:ascii="Times New Roman" w:hAnsi="Times New Roman"/>
          <w:sz w:val="20"/>
        </w:rPr>
        <w:t xml:space="preserve">” </w:t>
      </w:r>
      <w:r>
        <w:rPr>
          <w:rFonts w:ascii="Times New Roman;serif" w:hAnsi="Times New Roman;serif"/>
          <w:b w:val="false"/>
          <w:sz w:val="20"/>
        </w:rPr>
        <w:t>means an administrative questionnaire in a form supplied by the Administrative Agent.</w:t>
      </w:r>
    </w:p>
    <w:p>
      <w:pPr>
        <w:pStyle w:val="TextBody"/>
        <w:bidi w:val="0"/>
        <w:spacing w:before="240" w:after="0"/>
        <w:jc w:val="left"/>
        <w:rPr/>
      </w:pPr>
      <w:r>
        <w:rPr/>
        <w:t>“</w:t>
      </w:r>
      <w:r>
        <w:rPr>
          <w:rFonts w:ascii="Times New Roman;serif" w:hAnsi="Times New Roman;serif"/>
          <w:b w:val="false"/>
          <w:sz w:val="20"/>
          <w:u w:val="single"/>
        </w:rPr>
        <w:t>Affected Class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2.24(a)</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Affiliate</w:t>
      </w:r>
      <w:r>
        <w:rPr>
          <w:rFonts w:ascii="Times New Roman" w:hAnsi="Times New Roman"/>
          <w:sz w:val="20"/>
        </w:rPr>
        <w:t xml:space="preserve">” </w:t>
      </w:r>
      <w:r>
        <w:rPr>
          <w:rFonts w:ascii="Times New Roman;serif" w:hAnsi="Times New Roman;serif"/>
          <w:b w:val="false"/>
          <w:sz w:val="20"/>
        </w:rPr>
        <w:t>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w:t>
      </w:r>
    </w:p>
    <w:p>
      <w:pPr>
        <w:pStyle w:val="TextBody"/>
        <w:bidi w:val="0"/>
        <w:spacing w:before="240" w:after="0"/>
        <w:jc w:val="both"/>
        <w:rPr/>
      </w:pPr>
      <w:r>
        <w:rPr/>
        <w:t>“</w:t>
      </w:r>
      <w:r>
        <w:rPr>
          <w:rFonts w:ascii="Times New Roman;serif" w:hAnsi="Times New Roman;serif"/>
          <w:b w:val="false"/>
          <w:sz w:val="20"/>
          <w:u w:val="single"/>
        </w:rPr>
        <w:t>Affiliated Debt Fund</w:t>
      </w:r>
      <w:r>
        <w:rPr>
          <w:rFonts w:ascii="Times New Roman" w:hAnsi="Times New Roman"/>
          <w:sz w:val="20"/>
        </w:rPr>
        <w:t xml:space="preserve">” </w:t>
      </w:r>
      <w:r>
        <w:rPr>
          <w:rFonts w:ascii="Times New Roman;serif" w:hAnsi="Times New Roman;serif"/>
          <w:b w:val="false"/>
          <w:sz w:val="20"/>
        </w:rPr>
        <w:t>means any Affiliated Lender that is a bona fide diversified (i.e., formed to make multiple investments) debt or similar structured capital fund either (i) with information barriers in place restricting the sharing of investment-related and other information between it and the SLP Fund or (ii) whose managers or general partner have fiduciary duties to the investors of such fund independent of their fiduciary duties to the investors in the SLP Fund; provided that the SLP Fund does not, directly or indirectly, possess the power to direct or cause the direction of the investment policies of any such fund.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Affiliated Lender</w:t>
      </w:r>
      <w:r>
        <w:rPr>
          <w:rFonts w:ascii="Times New Roman" w:hAnsi="Times New Roman"/>
          <w:sz w:val="20"/>
        </w:rPr>
        <w:t xml:space="preserve">” </w:t>
      </w:r>
      <w:r>
        <w:rPr>
          <w:rFonts w:ascii="Times New Roman;serif" w:hAnsi="Times New Roman;serif"/>
          <w:b w:val="false"/>
          <w:sz w:val="20"/>
        </w:rPr>
        <w:t>means, at any time, any Lender that is an Affiliate of Holdings (other than the Borrower or any of its Subsidiaries) at such time.</w:t>
      </w:r>
    </w:p>
    <w:p>
      <w:pPr>
        <w:pStyle w:val="TextBody"/>
        <w:bidi w:val="0"/>
        <w:spacing w:before="240" w:after="0"/>
        <w:jc w:val="both"/>
        <w:rPr/>
      </w:pPr>
      <w:r>
        <w:rPr/>
        <w:t>“</w:t>
      </w:r>
      <w:r>
        <w:rPr>
          <w:rFonts w:ascii="Times New Roman;serif" w:hAnsi="Times New Roman;serif"/>
          <w:b w:val="false"/>
          <w:sz w:val="20"/>
          <w:u w:val="single"/>
        </w:rPr>
        <w:t>Affiliated Lender Assignment and Assumption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rPr>
        <w:t>9.04(f)(5).</w:t>
      </w:r>
    </w:p>
    <w:p>
      <w:pPr>
        <w:pStyle w:val="TextBody"/>
        <w:bidi w:val="0"/>
        <w:spacing w:before="240" w:after="0"/>
        <w:jc w:val="left"/>
        <w:rPr/>
      </w:pPr>
      <w:r>
        <w:rPr/>
        <w:t>“</w:t>
      </w:r>
      <w:r>
        <w:rPr>
          <w:rFonts w:ascii="Times New Roman;serif" w:hAnsi="Times New Roman;serif"/>
          <w:b w:val="false"/>
          <w:sz w:val="20"/>
          <w:u w:val="single"/>
        </w:rPr>
        <w:t>Affiliated Lender Cap</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9.04(f)(3)</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Agent</w:t>
      </w:r>
      <w:r>
        <w:rPr>
          <w:rFonts w:ascii="Times New Roman" w:hAnsi="Times New Roman"/>
          <w:sz w:val="20"/>
        </w:rPr>
        <w:t xml:space="preserve">” </w:t>
      </w:r>
      <w:r>
        <w:rPr>
          <w:rFonts w:ascii="Times New Roman;serif" w:hAnsi="Times New Roman;serif"/>
          <w:b w:val="false"/>
          <w:sz w:val="20"/>
        </w:rPr>
        <w:t>means the Administrative Agent, the Collateral Agent, each Lead Arranger, each Joint Bookrunner, the Syndication Agent, each Documentation Agent and any successors and assigns in such capacity, and “</w:t>
      </w:r>
      <w:r>
        <w:rPr>
          <w:rFonts w:ascii="Times New Roman;serif" w:hAnsi="Times New Roman;serif"/>
          <w:b w:val="false"/>
          <w:sz w:val="20"/>
          <w:u w:val="single"/>
        </w:rPr>
        <w:t>Agents</w:t>
      </w:r>
      <w:r>
        <w:rPr>
          <w:rFonts w:ascii="Times New Roman" w:hAnsi="Times New Roman"/>
          <w:sz w:val="20"/>
        </w:rPr>
        <w:t xml:space="preserve">” </w:t>
      </w:r>
      <w:r>
        <w:rPr>
          <w:rFonts w:ascii="Times New Roman;serif" w:hAnsi="Times New Roman;serif"/>
          <w:b w:val="false"/>
          <w:sz w:val="20"/>
        </w:rPr>
        <w:t>means two or more of them.</w:t>
      </w:r>
    </w:p>
    <w:p>
      <w:pPr>
        <w:pStyle w:val="TextBody"/>
        <w:bidi w:val="0"/>
        <w:spacing w:before="240" w:after="0"/>
        <w:jc w:val="left"/>
        <w:rPr/>
      </w:pPr>
      <w:r>
        <w:rPr/>
        <w:t>“</w:t>
      </w:r>
      <w:r>
        <w:rPr>
          <w:rFonts w:ascii="Times New Roman;serif" w:hAnsi="Times New Roman;serif"/>
          <w:b w:val="false"/>
          <w:sz w:val="20"/>
          <w:u w:val="single"/>
        </w:rPr>
        <w:t>Agreement</w:t>
      </w:r>
      <w:r>
        <w:rPr>
          <w:rFonts w:ascii="Times New Roman" w:hAnsi="Times New Roman"/>
          <w:sz w:val="20"/>
        </w:rPr>
        <w:t xml:space="preserve">” </w:t>
      </w:r>
      <w:r>
        <w:rPr>
          <w:rFonts w:ascii="Times New Roman;serif" w:hAnsi="Times New Roman;serif"/>
          <w:b w:val="false"/>
          <w:sz w:val="20"/>
        </w:rPr>
        <w:t>has the meaning provided in the preamble hereto.</w:t>
      </w:r>
    </w:p>
    <w:p>
      <w:pPr>
        <w:pStyle w:val="TextBody"/>
        <w:bidi w:val="0"/>
        <w:spacing w:before="240" w:after="0"/>
        <w:jc w:val="left"/>
        <w:rPr/>
      </w:pPr>
      <w:r>
        <w:rPr/>
        <w:t>“</w:t>
      </w:r>
      <w:r>
        <w:rPr>
          <w:rFonts w:ascii="Times New Roman;serif" w:hAnsi="Times New Roman;serif"/>
          <w:b w:val="false"/>
          <w:sz w:val="20"/>
          <w:u w:val="single"/>
        </w:rPr>
        <w:t>Agreement Currency</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9.14(b)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Alternate Base Rate</w:t>
      </w:r>
      <w:r>
        <w:rPr>
          <w:rFonts w:ascii="Times New Roman" w:hAnsi="Times New Roman"/>
          <w:sz w:val="20"/>
        </w:rPr>
        <w:t xml:space="preserve">” </w:t>
      </w:r>
      <w:r>
        <w:rPr>
          <w:rFonts w:ascii="Times New Roman;serif" w:hAnsi="Times New Roman;serif"/>
          <w:b w:val="false"/>
          <w:sz w:val="20"/>
        </w:rPr>
        <w:t xml:space="preserve">means for any day a fluctuating rate per annum equal to the highest of (a) the Federal Funds Effective Rate plus 1/2 of 1%, (b) the Prime Rate in effect for such day, (c) </w:t>
      </w:r>
      <w:r>
        <w:rPr>
          <w:rFonts w:ascii="Times New Roman;serif" w:hAnsi="Times New Roman;serif"/>
          <w:b w:val="false"/>
          <w:strike/>
          <w:sz w:val="20"/>
        </w:rPr>
        <w:t>the Adjusted LIBO Rate on such</w:t>
      </w:r>
      <w:r>
        <w:rPr>
          <w:rFonts w:ascii="Times New Roman" w:hAnsi="Times New Roman"/>
          <w:sz w:val="20"/>
        </w:rPr>
        <w:t xml:space="preserve"> </w:t>
      </w:r>
      <w:r>
        <w:rPr>
          <w:rFonts w:ascii="Times New Roman;serif" w:hAnsi="Times New Roman;serif"/>
          <w:b w:val="false"/>
          <w:strike/>
          <w:sz w:val="20"/>
        </w:rPr>
        <w:t>day (or if such day is not a Business Day, the immediately preceding Business Day) for a deposit in dollars with a</w:t>
      </w:r>
      <w:r>
        <w:rPr>
          <w:rFonts w:ascii="Times New Roman" w:hAnsi="Times New Roman"/>
          <w:sz w:val="20"/>
        </w:rPr>
        <w:t xml:space="preserve"> </w:t>
      </w:r>
      <w:r>
        <w:rPr>
          <w:rFonts w:ascii="Times New Roman;serif" w:hAnsi="Times New Roman;serif"/>
          <w:b w:val="false"/>
          <w:strike/>
          <w:sz w:val="20"/>
        </w:rPr>
        <w:t>maturity of one month</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plus 1.00% and (d) 1.00%.</w:t>
      </w:r>
    </w:p>
    <w:p>
      <w:pPr>
        <w:pStyle w:val="TextBody"/>
        <w:bidi w:val="0"/>
        <w:spacing w:before="240" w:after="0"/>
        <w:jc w:val="both"/>
        <w:rPr/>
      </w:pPr>
      <w:r>
        <w:rPr/>
        <w:t>“</w:t>
      </w:r>
      <w:r>
        <w:rPr>
          <w:rFonts w:ascii="Times New Roman;serif" w:hAnsi="Times New Roman;serif"/>
          <w:b w:val="false"/>
          <w:sz w:val="20"/>
          <w:u w:val="single"/>
        </w:rPr>
        <w:t>Alternative Currency</w:t>
      </w:r>
      <w:r>
        <w:rPr>
          <w:rFonts w:ascii="Times New Roman" w:hAnsi="Times New Roman"/>
          <w:sz w:val="20"/>
        </w:rPr>
        <w:t xml:space="preserve">” </w:t>
      </w:r>
      <w:r>
        <w:rPr>
          <w:rFonts w:ascii="Times New Roman;serif" w:hAnsi="Times New Roman;serif"/>
          <w:b w:val="false"/>
          <w:sz w:val="20"/>
        </w:rPr>
        <w:t xml:space="preserve">means each currency (other than dollars) that is approved in accordance with </w:t>
      </w:r>
      <w:r>
        <w:rPr>
          <w:rFonts w:ascii="Times New Roman;serif" w:hAnsi="Times New Roman;serif"/>
          <w:b w:val="false"/>
          <w:sz w:val="20"/>
          <w:u w:val="single"/>
        </w:rPr>
        <w:t>Section 1.11</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for each Alternative Currency, such requested currency is an Eligible Currency.</w:t>
      </w:r>
    </w:p>
    <w:p>
      <w:pPr>
        <w:pStyle w:val="TextBody"/>
        <w:bidi w:val="0"/>
        <w:spacing w:before="240" w:after="0"/>
        <w:jc w:val="both"/>
        <w:rPr/>
      </w:pPr>
      <w:r>
        <w:rPr/>
        <w:t>“</w:t>
      </w:r>
      <w:r>
        <w:rPr>
          <w:rFonts w:ascii="Times New Roman;serif" w:hAnsi="Times New Roman;serif"/>
          <w:b w:val="false"/>
          <w:sz w:val="20"/>
          <w:u w:val="single"/>
        </w:rPr>
        <w:t>Amendment No. 1</w:t>
      </w:r>
      <w:r>
        <w:rPr>
          <w:rFonts w:ascii="Times New Roman" w:hAnsi="Times New Roman"/>
          <w:sz w:val="20"/>
        </w:rPr>
        <w:t xml:space="preserve">” </w:t>
      </w:r>
      <w:r>
        <w:rPr>
          <w:rFonts w:ascii="Times New Roman;serif" w:hAnsi="Times New Roman;serif"/>
          <w:b w:val="false"/>
          <w:sz w:val="20"/>
        </w:rPr>
        <w:t>means Amendment No. 1, dated as of February 1, 2021, among Holdings, the Borrower, the Lenders party thereto and the Administrative Agent.</w:t>
      </w:r>
    </w:p>
    <w:p>
      <w:pPr>
        <w:pStyle w:val="TextBody"/>
        <w:bidi w:val="0"/>
        <w:spacing w:before="240" w:after="0"/>
        <w:jc w:val="both"/>
        <w:rPr/>
      </w:pPr>
      <w:r>
        <w:rPr/>
        <w:t>“</w:t>
      </w:r>
      <w:r>
        <w:rPr>
          <w:rFonts w:ascii="Times New Roman;serif" w:hAnsi="Times New Roman;serif"/>
          <w:b w:val="false"/>
          <w:sz w:val="20"/>
          <w:u w:val="single"/>
        </w:rPr>
        <w:t>Amendment No. 1 Effective Date</w:t>
      </w:r>
      <w:r>
        <w:rPr>
          <w:rFonts w:ascii="Times New Roman" w:hAnsi="Times New Roman"/>
          <w:sz w:val="20"/>
        </w:rPr>
        <w:t xml:space="preserve">” </w:t>
      </w:r>
      <w:r>
        <w:rPr>
          <w:rFonts w:ascii="Times New Roman;serif" w:hAnsi="Times New Roman;serif"/>
          <w:b w:val="false"/>
          <w:sz w:val="20"/>
        </w:rPr>
        <w:t>means February 1, 2021, the date on which all conditions precedent set forth in Section 6 of Amendment No. 1 are satisfied.</w:t>
      </w:r>
    </w:p>
    <w:p>
      <w:pPr>
        <w:pStyle w:val="TextBody"/>
        <w:bidi w:val="0"/>
        <w:spacing w:before="240" w:after="0"/>
        <w:jc w:val="left"/>
        <w:rPr/>
      </w:pPr>
      <w:r>
        <w:rPr/>
        <w:t>“</w:t>
      </w:r>
      <w:r>
        <w:rPr>
          <w:rFonts w:ascii="Times New Roman;serif" w:hAnsi="Times New Roman;serif"/>
          <w:b w:val="false"/>
          <w:sz w:val="20"/>
          <w:u w:val="single"/>
        </w:rPr>
        <w:t>Amendment No. 1 Lead Arrangers</w:t>
      </w:r>
      <w:r>
        <w:rPr>
          <w:rFonts w:ascii="Times New Roman" w:hAnsi="Times New Roman"/>
          <w:sz w:val="20"/>
        </w:rPr>
        <w:t xml:space="preserve">” </w:t>
      </w:r>
      <w:r>
        <w:rPr>
          <w:rFonts w:ascii="Times New Roman;serif" w:hAnsi="Times New Roman;serif"/>
          <w:b w:val="false"/>
          <w:sz w:val="20"/>
        </w:rPr>
        <w:t>has the meaning provided in Amendment No. 1.</w:t>
      </w:r>
    </w:p>
    <w:p>
      <w:pPr>
        <w:pStyle w:val="TextBody"/>
        <w:bidi w:val="0"/>
        <w:spacing w:before="240" w:after="0"/>
        <w:jc w:val="both"/>
        <w:rPr/>
      </w:pPr>
      <w:r>
        <w:rPr/>
        <w:t>“</w:t>
      </w:r>
      <w:r>
        <w:rPr>
          <w:rFonts w:ascii="Times New Roman;serif" w:hAnsi="Times New Roman;serif"/>
          <w:b w:val="false"/>
          <w:sz w:val="20"/>
          <w:u w:val="single"/>
        </w:rPr>
        <w:t>Amendment No. 1 Reaffirmation Agreement</w:t>
      </w:r>
      <w:r>
        <w:rPr>
          <w:rFonts w:ascii="Times New Roman" w:hAnsi="Times New Roman"/>
          <w:sz w:val="20"/>
        </w:rPr>
        <w:t xml:space="preserve">” </w:t>
      </w:r>
      <w:r>
        <w:rPr>
          <w:rFonts w:ascii="Times New Roman;serif" w:hAnsi="Times New Roman;serif"/>
          <w:b w:val="false"/>
          <w:sz w:val="20"/>
        </w:rPr>
        <w:t>means the Amendment No. 1 Reaffirmation Agreement, by and among the Administrative Agent, the Collateral Agent, Holdings, the Borrower and each of the Subsidiary Loan Parties, dated as of the Amendment No. 1 Effective Date.</w:t>
      </w:r>
    </w:p>
    <w:p>
      <w:pPr>
        <w:pStyle w:val="TextBody"/>
        <w:bidi w:val="0"/>
        <w:spacing w:before="240" w:after="0"/>
        <w:jc w:val="both"/>
        <w:rPr/>
      </w:pPr>
      <w:r>
        <w:rPr/>
        <w:t>“</w:t>
      </w:r>
      <w:r>
        <w:rPr>
          <w:rFonts w:ascii="Times New Roman;serif" w:hAnsi="Times New Roman;serif"/>
          <w:b w:val="false"/>
          <w:sz w:val="20"/>
          <w:u w:val="single"/>
        </w:rPr>
        <w:t>Amendment No. 2</w:t>
      </w:r>
      <w:r>
        <w:rPr>
          <w:rFonts w:ascii="Times New Roman" w:hAnsi="Times New Roman"/>
          <w:sz w:val="20"/>
        </w:rPr>
        <w:t xml:space="preserve">” </w:t>
      </w:r>
      <w:r>
        <w:rPr>
          <w:rFonts w:ascii="Times New Roman;serif" w:hAnsi="Times New Roman;serif"/>
          <w:b w:val="false"/>
          <w:sz w:val="20"/>
        </w:rPr>
        <w:t>means Amendment No. 2, dated as of May 28, 2021, among Holdings, the Borrower, the Lenders party thereto and the Administrative Agent.</w:t>
      </w:r>
    </w:p>
    <w:p>
      <w:pPr>
        <w:pStyle w:val="TextBody"/>
        <w:bidi w:val="0"/>
        <w:spacing w:before="240" w:after="0"/>
        <w:jc w:val="both"/>
        <w:rPr/>
      </w:pPr>
      <w:r>
        <w:rPr/>
        <w:t>“</w:t>
      </w:r>
      <w:r>
        <w:rPr>
          <w:rFonts w:ascii="Times New Roman;serif" w:hAnsi="Times New Roman;serif"/>
          <w:b w:val="false"/>
          <w:sz w:val="20"/>
          <w:u w:val="single"/>
        </w:rPr>
        <w:t>Amendment No. 2 Effective Date</w:t>
      </w:r>
      <w:r>
        <w:rPr>
          <w:rFonts w:ascii="Times New Roman" w:hAnsi="Times New Roman"/>
          <w:sz w:val="20"/>
        </w:rPr>
        <w:t xml:space="preserve">” </w:t>
      </w:r>
      <w:r>
        <w:rPr>
          <w:rFonts w:ascii="Times New Roman;serif" w:hAnsi="Times New Roman;serif"/>
          <w:b w:val="false"/>
          <w:sz w:val="20"/>
        </w:rPr>
        <w:t>means the date on which all conditions precedent set forth in Section 7 of Amendment No. 2 are satisfied.</w:t>
      </w:r>
    </w:p>
    <w:p>
      <w:pPr>
        <w:pStyle w:val="TextBody"/>
        <w:bidi w:val="0"/>
        <w:spacing w:before="240" w:after="0"/>
        <w:jc w:val="both"/>
        <w:rPr/>
      </w:pPr>
      <w:r>
        <w:rPr/>
        <w:t>“</w:t>
      </w:r>
      <w:r>
        <w:rPr>
          <w:rFonts w:ascii="Times New Roman;serif" w:hAnsi="Times New Roman;serif"/>
          <w:b w:val="false"/>
          <w:sz w:val="20"/>
          <w:u w:val="single"/>
        </w:rPr>
        <w:t>Amendment No. 2 Reaffirmation Agreement</w:t>
      </w:r>
      <w:r>
        <w:rPr>
          <w:rFonts w:ascii="Times New Roman" w:hAnsi="Times New Roman"/>
          <w:sz w:val="20"/>
        </w:rPr>
        <w:t xml:space="preserve">” </w:t>
      </w:r>
      <w:r>
        <w:rPr>
          <w:rFonts w:ascii="Times New Roman;serif" w:hAnsi="Times New Roman;serif"/>
          <w:b w:val="false"/>
          <w:sz w:val="20"/>
        </w:rPr>
        <w:t>means the Amendment No. 2 Reaffirmation Agreement, by and among the Administrative Agent, the Collateral Agent, Holdings, the Borrower and each of the Subsidiary Loan Parties, dated as of May 28, 2021.</w:t>
      </w:r>
    </w:p>
    <w:p>
      <w:pPr>
        <w:pStyle w:val="TextBody"/>
        <w:bidi w:val="0"/>
        <w:spacing w:before="240" w:after="0"/>
        <w:jc w:val="both"/>
        <w:rPr/>
      </w:pPr>
      <w:r>
        <w:rPr/>
        <w:t>“</w:t>
      </w:r>
      <w:r>
        <w:rPr>
          <w:rFonts w:ascii="Times New Roman;serif" w:hAnsi="Times New Roman;serif"/>
          <w:b w:val="false"/>
          <w:sz w:val="20"/>
          <w:u w:val="single"/>
        </w:rPr>
        <w:t>Applicable Account</w:t>
      </w:r>
      <w:r>
        <w:rPr>
          <w:rFonts w:ascii="Times New Roman" w:hAnsi="Times New Roman"/>
          <w:sz w:val="20"/>
        </w:rPr>
        <w:t xml:space="preserve">” </w:t>
      </w:r>
      <w:r>
        <w:rPr>
          <w:rFonts w:ascii="Times New Roman;serif" w:hAnsi="Times New Roman;serif"/>
          <w:b w:val="false"/>
          <w:sz w:val="20"/>
        </w:rPr>
        <w:t>means, with respect to any payment to be made to the Administrative Agent hereunder, the account specified by the Administrative Agent from time to time for the purpose of receiving payments of such type.</w:t>
      </w:r>
    </w:p>
    <w:p>
      <w:pPr>
        <w:pStyle w:val="TextBody"/>
        <w:bidi w:val="0"/>
        <w:spacing w:before="240" w:after="0"/>
        <w:jc w:val="left"/>
        <w:rPr/>
      </w:pPr>
      <w:r>
        <w:rPr/>
        <w:t>“</w:t>
      </w:r>
      <w:r>
        <w:rPr>
          <w:rFonts w:ascii="Times New Roman;serif" w:hAnsi="Times New Roman;serif"/>
          <w:b w:val="false"/>
          <w:sz w:val="20"/>
          <w:u w:val="single"/>
        </w:rPr>
        <w:t>Applicable Creditor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9.14(b)</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Applicable Discount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Applicable Fronting Exposure</w:t>
      </w:r>
      <w:r>
        <w:rPr>
          <w:rFonts w:ascii="Times New Roman" w:hAnsi="Times New Roman"/>
          <w:sz w:val="20"/>
        </w:rPr>
        <w:t xml:space="preserve">” </w:t>
      </w:r>
      <w:r>
        <w:rPr>
          <w:rFonts w:ascii="Times New Roman;serif" w:hAnsi="Times New Roman;serif"/>
          <w:b w:val="false"/>
          <w:sz w:val="20"/>
        </w:rPr>
        <w:t>means, with respect to any Person that is an Issuing Bank at any time, the sum of (a) the Dollar Equivalent of the aggregate amount of all Letters of Credit issued by such Person in its capacity as an Issuing Bank (if applicable) that remains available for drawing at such time and (b) the Dollar Equivalent of the aggregate amount of all LC Disbursements made by such Person in its capacity as an Issuing Bank (if applicable) that have not yet been reimbursed by or on behalf of the Borrower at such time.</w:t>
      </w:r>
    </w:p>
    <w:p>
      <w:pPr>
        <w:pStyle w:val="TextBody"/>
        <w:bidi w:val="0"/>
        <w:spacing w:before="240" w:after="0"/>
        <w:jc w:val="both"/>
        <w:rPr/>
      </w:pPr>
      <w:r>
        <w:rPr/>
        <w:t>“</w:t>
      </w:r>
      <w:r>
        <w:rPr>
          <w:rFonts w:ascii="Times New Roman;serif" w:hAnsi="Times New Roman;serif"/>
          <w:b w:val="false"/>
          <w:sz w:val="20"/>
          <w:u w:val="single"/>
        </w:rPr>
        <w:t>Applicable Percentage</w:t>
      </w:r>
      <w:r>
        <w:rPr>
          <w:rFonts w:ascii="Times New Roman" w:hAnsi="Times New Roman"/>
          <w:sz w:val="20"/>
        </w:rPr>
        <w:t xml:space="preserve">” </w:t>
      </w:r>
      <w:r>
        <w:rPr>
          <w:rFonts w:ascii="Times New Roman;serif" w:hAnsi="Times New Roman;serif"/>
          <w:b w:val="false"/>
          <w:sz w:val="20"/>
        </w:rPr>
        <w:t xml:space="preserve">means, at any time with respect to any Revolving Lender, the percentage (carried out to the ninth decimal place) of the aggregate Revolving Commitments represented by such Lender’s Revolving Commitment at such time (or, if the Revolving Commitments have terminated or expired, such Lender’s share of the total Revolving Exposure at that time);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at any time any Revolving Lender shall be a Defaulting Lender, “Applicable Percentage” shall mean the percentage (carried out to the ninth decimal place) of the total Revolving Commitments (disregarding any such Defaulting Lender’s Revolving Commitment) represented by such Lender’s Revolving Commitment.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pStyle w:val="TextBody"/>
        <w:bidi w:val="0"/>
        <w:spacing w:before="240" w:after="0"/>
        <w:jc w:val="both"/>
        <w:rPr/>
      </w:pPr>
      <w:r>
        <w:rPr/>
        <w:t>“</w:t>
      </w:r>
      <w:r>
        <w:rPr>
          <w:rFonts w:ascii="Times New Roman;serif" w:hAnsi="Times New Roman;serif"/>
          <w:b w:val="false"/>
          <w:sz w:val="20"/>
          <w:u w:val="single"/>
        </w:rPr>
        <w:t>Applicable Rate</w:t>
      </w:r>
      <w:r>
        <w:rPr>
          <w:rFonts w:ascii="Times New Roman" w:hAnsi="Times New Roman"/>
          <w:sz w:val="20"/>
        </w:rPr>
        <w:t xml:space="preserve">” </w:t>
      </w:r>
      <w:r>
        <w:rPr>
          <w:rFonts w:ascii="Times New Roman;serif" w:hAnsi="Times New Roman;serif"/>
          <w:b w:val="false"/>
          <w:sz w:val="20"/>
        </w:rPr>
        <w:t xml:space="preserve">means, for any day, (a) with respect to any Term Loan, (i) prior to the Amendment No. 1 Effective Date, (1) 2.50% per annum, in the case of an ABR Loan or (2) 3.50% per annum, in the case of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and (ii) on and after the Amendment No. 1 Effective Date, (1) 2.25% per annum, in the case of an ABR Loan or (2) 3.25% per annum, in the case of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and (b) with respect to any Revolving Loan, (1) 3.50% per annum, in the case of an ABR Loan, or (2) 4.50% per annum, in the case of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from and after the delivery of the financial statements and related Compliance Certificate for the first full fiscal quarter of the Borrower completed after the Effective Date pursuant to </w:t>
      </w:r>
      <w:r>
        <w:rPr>
          <w:rFonts w:ascii="Times New Roman;serif" w:hAnsi="Times New Roman;serif"/>
          <w:b w:val="false"/>
          <w:sz w:val="20"/>
          <w:u w:val="single"/>
        </w:rPr>
        <w:t>Section 5.01</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with respect to clause (a) above prior to the Amendment No. 1 Effective Date, the Applicable Rate shall be based on the First Lien Leverage Ratio set forth in the most recent Compliance Certificate in accordance with the pricing grid below:</w:t>
      </w:r>
    </w:p>
    <w:tbl>
      <w:tblPr>
        <w:tblW w:w="8999" w:type="dxa"/>
        <w:jc w:val="left"/>
        <w:tblInd w:w="0" w:type="dxa"/>
        <w:tblLayout w:type="fixed"/>
        <w:tblCellMar>
          <w:top w:w="28" w:type="dxa"/>
          <w:left w:w="28" w:type="dxa"/>
          <w:bottom w:w="28" w:type="dxa"/>
          <w:right w:w="28" w:type="dxa"/>
        </w:tblCellMar>
      </w:tblPr>
      <w:tblGrid>
        <w:gridCol w:w="511"/>
        <w:gridCol w:w="1906"/>
        <w:gridCol w:w="2476"/>
        <w:gridCol w:w="4106"/>
      </w:tblGrid>
      <w:tr>
        <w:trPr/>
        <w:tc>
          <w:tcPr>
            <w:tcW w:w="51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4106" w:type="dxa"/>
            <w:tcBorders/>
            <w:vAlign w:val="center"/>
          </w:tcPr>
          <w:p>
            <w:pPr>
              <w:pStyle w:val="TableContents"/>
              <w:bidi w:val="0"/>
              <w:spacing w:before="0" w:after="283"/>
              <w:jc w:val="left"/>
              <w:rPr>
                <w:sz w:val="4"/>
                <w:szCs w:val="4"/>
              </w:rPr>
            </w:pPr>
            <w:r>
              <w:rPr>
                <w:sz w:val="4"/>
                <w:szCs w:val="4"/>
              </w:rPr>
            </w:r>
          </w:p>
        </w:tc>
      </w:tr>
      <w:tr>
        <w:trPr/>
        <w:tc>
          <w:tcPr>
            <w:tcW w:w="511" w:type="dxa"/>
            <w:tcBorders>
              <w:top w:val="single" w:sz="4" w:space="0" w:color="000000"/>
              <w:left w:val="single" w:sz="6" w:space="0" w:color="000000"/>
              <w:bottom w:val="single" w:sz="4" w:space="0" w:color="000000"/>
              <w:right w:val="single" w:sz="6"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Level</w:t>
            </w:r>
          </w:p>
        </w:tc>
        <w:tc>
          <w:tcPr>
            <w:tcW w:w="190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 Lien Leverage Ratio</w:t>
            </w:r>
          </w:p>
        </w:tc>
        <w:tc>
          <w:tcPr>
            <w:tcW w:w="247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ABR Term Loan Applicable Rate</w:t>
            </w:r>
          </w:p>
        </w:tc>
        <w:tc>
          <w:tcPr>
            <w:tcW w:w="410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firstLine="115"/>
              <w:jc w:val="left"/>
              <w:rPr>
                <w:rFonts w:ascii="Times New Roman" w:hAnsi="Times New Roman"/>
                <w:sz w:val="18"/>
              </w:rPr>
            </w:pPr>
            <w:r>
              <w:rPr>
                <w:rFonts w:ascii="Times New Roman;serif" w:hAnsi="Times New Roman;serif"/>
                <w:b w:val="false"/>
                <w:strike/>
                <w:sz w:val="18"/>
              </w:rPr>
              <w:t>Eurocurrency</w:t>
            </w:r>
            <w:r>
              <w:rPr>
                <w:rFonts w:ascii="Times New Roman;serif" w:hAnsi="Times New Roman;serif"/>
                <w:b w:val="false"/>
                <w:sz w:val="18"/>
                <w:u w:val="single"/>
              </w:rPr>
              <w:t>Term SOFR</w:t>
            </w:r>
            <w:r>
              <w:rPr>
                <w:rFonts w:ascii="Times New Roman" w:hAnsi="Times New Roman"/>
                <w:sz w:val="18"/>
              </w:rPr>
              <w:t xml:space="preserve"> </w:t>
            </w:r>
            <w:r>
              <w:rPr>
                <w:rFonts w:ascii="Times New Roman;serif" w:hAnsi="Times New Roman;serif"/>
                <w:b w:val="false"/>
                <w:sz w:val="18"/>
              </w:rPr>
              <w:t>Term Loan Applicable Rate</w:t>
            </w:r>
          </w:p>
        </w:tc>
      </w:tr>
      <w:tr>
        <w:trPr/>
        <w:tc>
          <w:tcPr>
            <w:tcW w:w="51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0" w:right="0" w:firstLine="115"/>
              <w:jc w:val="left"/>
              <w:rPr>
                <w:rFonts w:ascii="Times New Roman;serif" w:hAnsi="Times New Roman;serif"/>
                <w:b w:val="false"/>
                <w:sz w:val="18"/>
              </w:rPr>
            </w:pPr>
            <w:r>
              <w:rPr>
                <w:rFonts w:ascii="Times New Roman;serif" w:hAnsi="Times New Roman;serif"/>
                <w:b w:val="false"/>
                <w:sz w:val="18"/>
              </w:rPr>
              <w:t>1</w:t>
            </w:r>
          </w:p>
        </w:tc>
        <w:tc>
          <w:tcPr>
            <w:tcW w:w="190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115" w:right="0" w:hanging="0"/>
              <w:jc w:val="left"/>
              <w:rPr>
                <w:rFonts w:ascii="Times New Roman;serif" w:hAnsi="Times New Roman;serif"/>
                <w:b w:val="false"/>
                <w:sz w:val="18"/>
              </w:rPr>
            </w:pPr>
            <w:r>
              <w:rPr>
                <w:rFonts w:ascii="Times New Roman;serif" w:hAnsi="Times New Roman;serif"/>
                <w:b w:val="false"/>
                <w:sz w:val="18"/>
              </w:rPr>
              <w:t>&gt; 4.00 to 1.00</w:t>
            </w:r>
          </w:p>
        </w:tc>
        <w:tc>
          <w:tcPr>
            <w:tcW w:w="247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2.50%</w:t>
            </w:r>
          </w:p>
        </w:tc>
        <w:tc>
          <w:tcPr>
            <w:tcW w:w="410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15"/>
              <w:jc w:val="left"/>
              <w:rPr>
                <w:rFonts w:ascii="Times New Roman;serif" w:hAnsi="Times New Roman;serif"/>
                <w:b w:val="false"/>
                <w:sz w:val="18"/>
              </w:rPr>
            </w:pPr>
            <w:r>
              <w:rPr>
                <w:rFonts w:ascii="Times New Roman;serif" w:hAnsi="Times New Roman;serif"/>
                <w:b w:val="false"/>
                <w:sz w:val="18"/>
              </w:rPr>
              <w:t>3.50%</w:t>
            </w:r>
          </w:p>
        </w:tc>
      </w:tr>
      <w:tr>
        <w:trPr/>
        <w:tc>
          <w:tcPr>
            <w:tcW w:w="51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0" w:right="0" w:firstLine="115"/>
              <w:jc w:val="left"/>
              <w:rPr>
                <w:rFonts w:ascii="Times New Roman;serif" w:hAnsi="Times New Roman;serif"/>
                <w:b w:val="false"/>
                <w:sz w:val="18"/>
              </w:rPr>
            </w:pPr>
            <w:r>
              <w:rPr>
                <w:rFonts w:ascii="Times New Roman;serif" w:hAnsi="Times New Roman;serif"/>
                <w:b w:val="false"/>
                <w:sz w:val="18"/>
              </w:rPr>
              <w:t>2</w:t>
            </w:r>
          </w:p>
        </w:tc>
        <w:tc>
          <w:tcPr>
            <w:tcW w:w="190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115" w:right="0" w:hanging="0"/>
              <w:jc w:val="left"/>
              <w:rPr/>
            </w:pPr>
            <w:r>
              <w:rPr/>
              <w:t xml:space="preserve">≤ </w:t>
            </w:r>
            <w:r>
              <w:rPr>
                <w:rFonts w:ascii="Times New Roman;serif" w:hAnsi="Times New Roman;serif"/>
                <w:b w:val="false"/>
                <w:sz w:val="18"/>
              </w:rPr>
              <w:t>4.00 to 1.00</w:t>
            </w:r>
          </w:p>
        </w:tc>
        <w:tc>
          <w:tcPr>
            <w:tcW w:w="247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2.25%</w:t>
            </w:r>
          </w:p>
        </w:tc>
        <w:tc>
          <w:tcPr>
            <w:tcW w:w="410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3.25%</w:t>
            </w:r>
          </w:p>
        </w:tc>
      </w:tr>
    </w:tbl>
    <w:p>
      <w:pPr>
        <w:pStyle w:val="TextBody"/>
        <w:bidi w:val="0"/>
        <w:spacing w:before="0" w:after="0"/>
        <w:jc w:val="left"/>
        <w:rPr/>
      </w:pPr>
      <w:r>
        <w:rPr/>
        <w:t> </w:t>
      </w:r>
    </w:p>
    <w:p>
      <w:pPr>
        <w:pStyle w:val="TextBody"/>
        <w:bidi w:val="0"/>
        <w:spacing w:before="40" w:after="0"/>
        <w:jc w:val="both"/>
        <w:rPr>
          <w:rFonts w:ascii="Times New Roman" w:hAnsi="Times New Roman"/>
          <w:b w:val="false"/>
          <w:sz w:val="20"/>
        </w:rPr>
      </w:pPr>
      <w:r>
        <w:rPr>
          <w:rFonts w:ascii="Times New Roman" w:hAnsi="Times New Roman"/>
          <w:b w:val="false"/>
          <w:sz w:val="20"/>
        </w:rPr>
        <w:t>(ii)</w:t>
      </w:r>
    </w:p>
    <w:p>
      <w:pPr>
        <w:pStyle w:val="TextBody"/>
        <w:bidi w:val="0"/>
        <w:spacing w:before="40" w:after="283"/>
        <w:jc w:val="both"/>
        <w:rPr>
          <w:rFonts w:ascii="Times New Roman;serif" w:hAnsi="Times New Roman;serif"/>
          <w:b w:val="false"/>
          <w:sz w:val="20"/>
        </w:rPr>
      </w:pPr>
      <w:r>
        <w:rPr>
          <w:rFonts w:ascii="Times New Roman;serif" w:hAnsi="Times New Roman;serif"/>
          <w:b w:val="false"/>
          <w:sz w:val="20"/>
        </w:rPr>
        <w:t>with respect to clause (a) above on and after the Amendment No. 1 Effective Date, the Applicable Rate shall be based on the First Lien Leverage Ratio set forth in the most recent Compliance Certificate in accordance with the pricing grid below:</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06"/>
        <w:gridCol w:w="2114"/>
        <w:gridCol w:w="2686"/>
        <w:gridCol w:w="4999"/>
      </w:tblGrid>
      <w:tr>
        <w:trPr/>
        <w:tc>
          <w:tcPr>
            <w:tcW w:w="40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406" w:type="dxa"/>
            <w:tcBorders>
              <w:top w:val="single" w:sz="4" w:space="0" w:color="000000"/>
              <w:left w:val="single" w:sz="6" w:space="0" w:color="000000"/>
              <w:bottom w:val="single" w:sz="4" w:space="0" w:color="000000"/>
              <w:right w:val="single" w:sz="6"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2" w:right="0" w:hanging="0"/>
              <w:jc w:val="left"/>
              <w:rPr>
                <w:rFonts w:ascii="Times New Roman;serif" w:hAnsi="Times New Roman;serif"/>
                <w:b w:val="false"/>
                <w:sz w:val="20"/>
              </w:rPr>
            </w:pPr>
            <w:r>
              <w:rPr>
                <w:rFonts w:ascii="Times New Roman;serif" w:hAnsi="Times New Roman;serif"/>
                <w:b w:val="false"/>
                <w:sz w:val="20"/>
              </w:rPr>
              <w:t>eve</w:t>
            </w:r>
          </w:p>
        </w:tc>
        <w:tc>
          <w:tcPr>
            <w:tcW w:w="2114"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7" w:right="0" w:hanging="0"/>
              <w:jc w:val="left"/>
              <w:rPr>
                <w:rFonts w:ascii="Times New Roman;serif" w:hAnsi="Times New Roman;serif"/>
                <w:b w:val="false"/>
                <w:sz w:val="20"/>
              </w:rPr>
            </w:pPr>
            <w:r>
              <w:rPr>
                <w:rFonts w:ascii="Times New Roman;serif" w:hAnsi="Times New Roman;serif"/>
                <w:b w:val="false"/>
                <w:sz w:val="20"/>
              </w:rPr>
              <w:t>First Lien Leverage Ratio</w:t>
            </w:r>
          </w:p>
        </w:tc>
        <w:tc>
          <w:tcPr>
            <w:tcW w:w="268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7" w:right="0" w:hanging="0"/>
              <w:jc w:val="left"/>
              <w:rPr>
                <w:rFonts w:ascii="Times New Roman;serif" w:hAnsi="Times New Roman;serif"/>
                <w:b w:val="false"/>
                <w:sz w:val="20"/>
              </w:rPr>
            </w:pPr>
            <w:r>
              <w:rPr>
                <w:rFonts w:ascii="Times New Roman;serif" w:hAnsi="Times New Roman;serif"/>
                <w:b w:val="false"/>
                <w:sz w:val="20"/>
              </w:rPr>
              <w:t>ABR Term Loan Applicable Rate</w:t>
            </w:r>
          </w:p>
        </w:tc>
        <w:tc>
          <w:tcPr>
            <w:tcW w:w="4999"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firstLine="722"/>
              <w:jc w:val="left"/>
              <w:rPr>
                <w:rFonts w:ascii="Times New Roman" w:hAnsi="Times New Roman"/>
                <w:sz w:val="20"/>
              </w:rPr>
            </w:pP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Term Loan Applicable Rate</w:t>
            </w:r>
          </w:p>
        </w:tc>
      </w:tr>
      <w:tr>
        <w:trPr/>
        <w:tc>
          <w:tcPr>
            <w:tcW w:w="406"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722" w:right="0" w:hanging="0"/>
              <w:jc w:val="left"/>
              <w:rPr>
                <w:rFonts w:ascii="Times New Roman;serif" w:hAnsi="Times New Roman;serif"/>
                <w:b w:val="false"/>
                <w:sz w:val="20"/>
              </w:rPr>
            </w:pPr>
            <w:r>
              <w:rPr>
                <w:rFonts w:ascii="Times New Roman;serif" w:hAnsi="Times New Roman;serif"/>
                <w:b w:val="false"/>
                <w:sz w:val="20"/>
              </w:rPr>
              <w:t>1</w:t>
            </w:r>
          </w:p>
        </w:tc>
        <w:tc>
          <w:tcPr>
            <w:tcW w:w="2114"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27"/>
              <w:jc w:val="right"/>
              <w:rPr>
                <w:rFonts w:ascii="Times New Roman;serif" w:hAnsi="Times New Roman;serif"/>
                <w:b w:val="false"/>
                <w:sz w:val="20"/>
              </w:rPr>
            </w:pPr>
            <w:r>
              <w:rPr>
                <w:rFonts w:ascii="Times New Roman;serif" w:hAnsi="Times New Roman;serif"/>
                <w:b w:val="false"/>
                <w:sz w:val="20"/>
              </w:rPr>
              <w:t>&gt; 4.00 to 1.00</w:t>
            </w:r>
          </w:p>
        </w:tc>
        <w:tc>
          <w:tcPr>
            <w:tcW w:w="268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28"/>
              <w:jc w:val="left"/>
              <w:rPr>
                <w:rFonts w:ascii="Times New Roman;serif" w:hAnsi="Times New Roman;serif"/>
                <w:b w:val="false"/>
                <w:sz w:val="20"/>
              </w:rPr>
            </w:pPr>
            <w:r>
              <w:rPr>
                <w:rFonts w:ascii="Times New Roman;serif" w:hAnsi="Times New Roman;serif"/>
                <w:b w:val="false"/>
                <w:sz w:val="20"/>
              </w:rPr>
              <w:t>2.25%</w:t>
            </w:r>
          </w:p>
        </w:tc>
        <w:tc>
          <w:tcPr>
            <w:tcW w:w="4999"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22"/>
              <w:jc w:val="left"/>
              <w:rPr>
                <w:rFonts w:ascii="Times New Roman;serif" w:hAnsi="Times New Roman;serif"/>
                <w:b w:val="false"/>
                <w:sz w:val="20"/>
              </w:rPr>
            </w:pPr>
            <w:r>
              <w:rPr>
                <w:rFonts w:ascii="Times New Roman;serif" w:hAnsi="Times New Roman;serif"/>
                <w:b w:val="false"/>
                <w:sz w:val="20"/>
              </w:rPr>
              <w:t>3.25%</w:t>
            </w:r>
          </w:p>
        </w:tc>
      </w:tr>
      <w:tr>
        <w:trPr/>
        <w:tc>
          <w:tcPr>
            <w:tcW w:w="406"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722" w:right="0" w:hanging="0"/>
              <w:jc w:val="left"/>
              <w:rPr>
                <w:rFonts w:ascii="Times New Roman;serif" w:hAnsi="Times New Roman;serif"/>
                <w:b w:val="false"/>
                <w:sz w:val="20"/>
              </w:rPr>
            </w:pPr>
            <w:r>
              <w:rPr>
                <w:rFonts w:ascii="Times New Roman;serif" w:hAnsi="Times New Roman;serif"/>
                <w:b w:val="false"/>
                <w:sz w:val="20"/>
              </w:rPr>
              <w:t>2</w:t>
            </w:r>
          </w:p>
        </w:tc>
        <w:tc>
          <w:tcPr>
            <w:tcW w:w="2114"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27"/>
              <w:jc w:val="right"/>
              <w:rPr/>
            </w:pPr>
            <w:r>
              <w:rPr/>
              <w:t xml:space="preserve">≤ </w:t>
            </w:r>
            <w:r>
              <w:rPr>
                <w:rFonts w:ascii="Times New Roman;serif" w:hAnsi="Times New Roman;serif"/>
                <w:b w:val="false"/>
                <w:sz w:val="20"/>
              </w:rPr>
              <w:t>4.00 to 1.00</w:t>
            </w:r>
          </w:p>
        </w:tc>
        <w:tc>
          <w:tcPr>
            <w:tcW w:w="268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28"/>
              <w:jc w:val="left"/>
              <w:rPr>
                <w:rFonts w:ascii="Times New Roman;serif" w:hAnsi="Times New Roman;serif"/>
                <w:b w:val="false"/>
                <w:sz w:val="20"/>
              </w:rPr>
            </w:pPr>
            <w:r>
              <w:rPr>
                <w:rFonts w:ascii="Times New Roman;serif" w:hAnsi="Times New Roman;serif"/>
                <w:b w:val="false"/>
                <w:sz w:val="20"/>
              </w:rPr>
              <w:t>2.00%</w:t>
            </w:r>
          </w:p>
        </w:tc>
        <w:tc>
          <w:tcPr>
            <w:tcW w:w="4999" w:type="dxa"/>
            <w:tcBorders>
              <w:bottom w:val="single" w:sz="4" w:space="0" w:color="000000"/>
              <w:right w:val="single" w:sz="6" w:space="0" w:color="000000"/>
            </w:tcBorders>
            <w:tcMar>
              <w:top w:w="0" w:type="dxa"/>
              <w:left w:w="0" w:type="dxa"/>
            </w:tcMar>
            <w:vAlign w:val="center"/>
          </w:tcPr>
          <w:p>
            <w:pPr>
              <w:pStyle w:val="TableContents"/>
              <w:bidi w:val="0"/>
              <w:spacing w:before="0" w:after="0"/>
              <w:ind w:left="728" w:right="0" w:hanging="0"/>
              <w:jc w:val="left"/>
              <w:rPr>
                <w:rFonts w:ascii="Times New Roman;serif" w:hAnsi="Times New Roman;serif"/>
                <w:b w:val="false"/>
                <w:sz w:val="20"/>
              </w:rPr>
            </w:pPr>
            <w:r>
              <w:rPr>
                <w:rFonts w:ascii="Times New Roman;serif" w:hAnsi="Times New Roman;serif"/>
                <w:b w:val="false"/>
                <w:sz w:val="20"/>
              </w:rPr>
              <w:t>3.00%</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(iii)</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with respect to clause (b) above, the Applicable Rate shall be based on the First Lien Leverage Ratio set forth in the most recent Compliance Certificate in accordance with the pricing grid below:</w:t>
      </w:r>
    </w:p>
    <w:p>
      <w:pPr>
        <w:pStyle w:val="TextBody"/>
        <w:bidi w:val="0"/>
        <w:spacing w:before="0" w:after="0"/>
        <w:jc w:val="left"/>
        <w:rPr/>
      </w:pPr>
      <w:r>
        <w:rPr/>
        <w:t> </w:t>
      </w:r>
    </w:p>
    <w:tbl>
      <w:tblPr>
        <w:tblW w:w="7891" w:type="dxa"/>
        <w:jc w:val="left"/>
        <w:tblInd w:w="0" w:type="dxa"/>
        <w:tblLayout w:type="fixed"/>
        <w:tblCellMar>
          <w:top w:w="28" w:type="dxa"/>
          <w:left w:w="28" w:type="dxa"/>
          <w:bottom w:w="28" w:type="dxa"/>
          <w:right w:w="28" w:type="dxa"/>
        </w:tblCellMar>
      </w:tblPr>
      <w:tblGrid>
        <w:gridCol w:w="511"/>
        <w:gridCol w:w="1966"/>
        <w:gridCol w:w="2836"/>
        <w:gridCol w:w="2578"/>
      </w:tblGrid>
      <w:tr>
        <w:trPr/>
        <w:tc>
          <w:tcPr>
            <w:tcW w:w="51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511" w:type="dxa"/>
            <w:tcBorders>
              <w:top w:val="single" w:sz="4" w:space="0" w:color="000000"/>
              <w:left w:val="single" w:sz="6" w:space="0" w:color="000000"/>
              <w:bottom w:val="single" w:sz="4" w:space="0" w:color="000000"/>
              <w:right w:val="single" w:sz="6"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2" w:right="0" w:hanging="0"/>
              <w:jc w:val="left"/>
              <w:rPr>
                <w:rFonts w:ascii="Times New Roman;serif" w:hAnsi="Times New Roman;serif"/>
                <w:b w:val="false"/>
                <w:sz w:val="18"/>
              </w:rPr>
            </w:pPr>
            <w:r>
              <w:rPr>
                <w:rFonts w:ascii="Times New Roman;serif" w:hAnsi="Times New Roman;serif"/>
                <w:b w:val="false"/>
                <w:sz w:val="18"/>
              </w:rPr>
              <w:t>Level</w:t>
            </w:r>
          </w:p>
        </w:tc>
        <w:tc>
          <w:tcPr>
            <w:tcW w:w="196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7" w:right="0" w:hanging="0"/>
              <w:jc w:val="left"/>
              <w:rPr>
                <w:rFonts w:ascii="Times New Roman;serif" w:hAnsi="Times New Roman;serif"/>
                <w:b w:val="false"/>
                <w:sz w:val="18"/>
              </w:rPr>
            </w:pPr>
            <w:r>
              <w:rPr>
                <w:rFonts w:ascii="Times New Roman;serif" w:hAnsi="Times New Roman;serif"/>
                <w:b w:val="false"/>
                <w:sz w:val="18"/>
              </w:rPr>
              <w:t>First Lien Leverage Ratio</w:t>
            </w:r>
          </w:p>
        </w:tc>
        <w:tc>
          <w:tcPr>
            <w:tcW w:w="283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7" w:right="0" w:hanging="0"/>
              <w:jc w:val="left"/>
              <w:rPr>
                <w:rFonts w:ascii="Times New Roman;serif" w:hAnsi="Times New Roman;serif"/>
                <w:b w:val="false"/>
                <w:sz w:val="18"/>
              </w:rPr>
            </w:pPr>
            <w:r>
              <w:rPr>
                <w:rFonts w:ascii="Times New Roman;serif" w:hAnsi="Times New Roman;serif"/>
                <w:b w:val="false"/>
                <w:sz w:val="18"/>
              </w:rPr>
              <w:t>ABR Revolving Loan Applicable Rate</w:t>
            </w:r>
          </w:p>
        </w:tc>
        <w:tc>
          <w:tcPr>
            <w:tcW w:w="2578"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8" w:right="0" w:hanging="0"/>
              <w:jc w:val="left"/>
              <w:rPr>
                <w:rFonts w:ascii="Times New Roman" w:hAnsi="Times New Roman"/>
                <w:sz w:val="18"/>
              </w:rPr>
            </w:pPr>
            <w:r>
              <w:rPr>
                <w:rFonts w:ascii="Times New Roman;serif" w:hAnsi="Times New Roman;serif"/>
                <w:b w:val="false"/>
                <w:strike/>
                <w:sz w:val="18"/>
              </w:rPr>
              <w:t>Eurocurrency</w:t>
            </w:r>
            <w:r>
              <w:rPr>
                <w:rFonts w:ascii="Times New Roman;serif" w:hAnsi="Times New Roman;serif"/>
                <w:b w:val="false"/>
                <w:sz w:val="18"/>
                <w:u w:val="single"/>
              </w:rPr>
              <w:t>Term SOFR</w:t>
            </w:r>
          </w:p>
          <w:p>
            <w:pPr>
              <w:pStyle w:val="TableContents"/>
              <w:bidi w:val="0"/>
              <w:spacing w:before="0" w:after="0"/>
              <w:ind w:left="0" w:right="0" w:firstLine="117"/>
              <w:jc w:val="left"/>
              <w:rPr>
                <w:rFonts w:ascii="Times New Roman;serif" w:hAnsi="Times New Roman;serif"/>
                <w:b w:val="false"/>
                <w:sz w:val="18"/>
              </w:rPr>
            </w:pPr>
            <w:r>
              <w:rPr>
                <w:rFonts w:ascii="Times New Roman;serif" w:hAnsi="Times New Roman;serif"/>
                <w:b w:val="false"/>
                <w:sz w:val="18"/>
              </w:rPr>
              <w:t>Revolving Loan Applicable Rate</w:t>
            </w:r>
          </w:p>
        </w:tc>
      </w:tr>
      <w:tr>
        <w:trPr/>
        <w:tc>
          <w:tcPr>
            <w:tcW w:w="51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0" w:right="0" w:firstLine="112"/>
              <w:jc w:val="left"/>
              <w:rPr>
                <w:rFonts w:ascii="Times New Roman;serif" w:hAnsi="Times New Roman;serif"/>
                <w:b w:val="false"/>
                <w:sz w:val="18"/>
              </w:rPr>
            </w:pPr>
            <w:r>
              <w:rPr>
                <w:rFonts w:ascii="Times New Roman;serif" w:hAnsi="Times New Roman;serif"/>
                <w:b w:val="false"/>
                <w:sz w:val="18"/>
              </w:rPr>
              <w:t>1</w:t>
            </w:r>
          </w:p>
        </w:tc>
        <w:tc>
          <w:tcPr>
            <w:tcW w:w="19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
              <w:jc w:val="left"/>
              <w:rPr>
                <w:rFonts w:ascii="Times New Roman;serif" w:hAnsi="Times New Roman;serif"/>
                <w:b w:val="false"/>
                <w:sz w:val="18"/>
              </w:rPr>
            </w:pPr>
            <w:r>
              <w:rPr>
                <w:rFonts w:ascii="Times New Roman;serif" w:hAnsi="Times New Roman;serif"/>
                <w:b w:val="false"/>
                <w:sz w:val="18"/>
              </w:rPr>
              <w:t>&gt; 4.25 to 1.00</w:t>
            </w:r>
          </w:p>
        </w:tc>
        <w:tc>
          <w:tcPr>
            <w:tcW w:w="283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8"/>
              <w:jc w:val="left"/>
              <w:rPr>
                <w:rFonts w:ascii="Times New Roman;serif" w:hAnsi="Times New Roman;serif"/>
                <w:b w:val="false"/>
                <w:sz w:val="18"/>
              </w:rPr>
            </w:pPr>
            <w:r>
              <w:rPr>
                <w:rFonts w:ascii="Times New Roman;serif" w:hAnsi="Times New Roman;serif"/>
                <w:b w:val="false"/>
                <w:sz w:val="18"/>
              </w:rPr>
              <w:t>3.50%</w:t>
            </w:r>
          </w:p>
        </w:tc>
        <w:tc>
          <w:tcPr>
            <w:tcW w:w="2578"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17"/>
              <w:jc w:val="left"/>
              <w:rPr>
                <w:rFonts w:ascii="Times New Roman;serif" w:hAnsi="Times New Roman;serif"/>
                <w:b w:val="false"/>
                <w:sz w:val="18"/>
              </w:rPr>
            </w:pPr>
            <w:r>
              <w:rPr>
                <w:rFonts w:ascii="Times New Roman;serif" w:hAnsi="Times New Roman;serif"/>
                <w:b w:val="false"/>
                <w:sz w:val="18"/>
              </w:rPr>
              <w:t>4.50%</w:t>
            </w:r>
          </w:p>
        </w:tc>
      </w:tr>
      <w:tr>
        <w:trPr/>
        <w:tc>
          <w:tcPr>
            <w:tcW w:w="51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0" w:right="0" w:firstLine="112"/>
              <w:jc w:val="left"/>
              <w:rPr>
                <w:rFonts w:ascii="Times New Roman;serif" w:hAnsi="Times New Roman;serif"/>
                <w:b w:val="false"/>
                <w:sz w:val="18"/>
              </w:rPr>
            </w:pPr>
            <w:r>
              <w:rPr>
                <w:rFonts w:ascii="Times New Roman;serif" w:hAnsi="Times New Roman;serif"/>
                <w:b w:val="false"/>
                <w:sz w:val="18"/>
              </w:rPr>
              <w:t>2</w:t>
            </w:r>
          </w:p>
        </w:tc>
        <w:tc>
          <w:tcPr>
            <w:tcW w:w="19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112" w:right="0" w:hanging="0"/>
              <w:jc w:val="left"/>
              <w:rPr/>
            </w:pPr>
            <w:r>
              <w:rPr/>
              <w:t xml:space="preserve">≤ </w:t>
            </w:r>
            <w:r>
              <w:rPr>
                <w:rFonts w:ascii="Times New Roman;serif" w:hAnsi="Times New Roman;serif"/>
                <w:b w:val="false"/>
                <w:sz w:val="18"/>
              </w:rPr>
              <w:t>4.25 to 1.00 and &gt; 3.75</w:t>
            </w:r>
          </w:p>
          <w:p>
            <w:pPr>
              <w:pStyle w:val="TableContents"/>
              <w:bidi w:val="0"/>
              <w:spacing w:before="0" w:after="0"/>
              <w:ind w:left="112" w:right="0" w:hanging="0"/>
              <w:jc w:val="left"/>
              <w:rPr>
                <w:rFonts w:ascii="Times New Roman;serif" w:hAnsi="Times New Roman;serif"/>
                <w:b w:val="false"/>
                <w:sz w:val="18"/>
              </w:rPr>
            </w:pPr>
            <w:r>
              <w:rPr>
                <w:rFonts w:ascii="Times New Roman;serif" w:hAnsi="Times New Roman;serif"/>
                <w:b w:val="false"/>
                <w:sz w:val="18"/>
              </w:rPr>
              <w:t>to 1.00</w:t>
            </w:r>
          </w:p>
          <w:p>
            <w:pPr>
              <w:pStyle w:val="TableContents"/>
              <w:bidi w:val="0"/>
              <w:spacing w:before="0" w:after="0"/>
              <w:ind w:left="0" w:right="0" w:firstLine="7"/>
              <w:jc w:val="left"/>
              <w:rPr/>
            </w:pPr>
            <w:r>
              <w:rPr/>
              <w:t> </w:t>
            </w:r>
          </w:p>
        </w:tc>
        <w:tc>
          <w:tcPr>
            <w:tcW w:w="283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8"/>
              <w:jc w:val="left"/>
              <w:rPr>
                <w:rFonts w:ascii="Times New Roman;serif" w:hAnsi="Times New Roman;serif"/>
                <w:b w:val="false"/>
                <w:sz w:val="18"/>
              </w:rPr>
            </w:pPr>
            <w:r>
              <w:rPr>
                <w:rFonts w:ascii="Times New Roman;serif" w:hAnsi="Times New Roman;serif"/>
                <w:b w:val="false"/>
                <w:sz w:val="18"/>
              </w:rPr>
              <w:t>3.25%</w:t>
            </w:r>
          </w:p>
        </w:tc>
        <w:tc>
          <w:tcPr>
            <w:tcW w:w="2578"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17"/>
              <w:jc w:val="left"/>
              <w:rPr>
                <w:rFonts w:ascii="Times New Roman;serif" w:hAnsi="Times New Roman;serif"/>
                <w:b w:val="false"/>
                <w:sz w:val="18"/>
              </w:rPr>
            </w:pPr>
            <w:r>
              <w:rPr>
                <w:rFonts w:ascii="Times New Roman;serif" w:hAnsi="Times New Roman;serif"/>
                <w:b w:val="false"/>
                <w:sz w:val="18"/>
              </w:rPr>
              <w:t>4.25%</w:t>
            </w:r>
          </w:p>
        </w:tc>
      </w:tr>
      <w:tr>
        <w:trPr/>
        <w:tc>
          <w:tcPr>
            <w:tcW w:w="51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0" w:right="0" w:firstLine="158"/>
              <w:jc w:val="left"/>
              <w:rPr>
                <w:rFonts w:ascii="Times New Roman;serif" w:hAnsi="Times New Roman;serif"/>
                <w:b w:val="false"/>
                <w:sz w:val="18"/>
              </w:rPr>
            </w:pPr>
            <w:r>
              <w:rPr>
                <w:rFonts w:ascii="Times New Roman;serif" w:hAnsi="Times New Roman;serif"/>
                <w:b w:val="false"/>
                <w:sz w:val="18"/>
              </w:rPr>
              <w:t>3</w:t>
            </w:r>
          </w:p>
        </w:tc>
        <w:tc>
          <w:tcPr>
            <w:tcW w:w="19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7"/>
              <w:jc w:val="left"/>
              <w:rPr/>
            </w:pPr>
            <w:r>
              <w:rPr/>
              <w:t xml:space="preserve">≤ </w:t>
            </w:r>
            <w:r>
              <w:rPr>
                <w:rFonts w:ascii="Times New Roman;serif" w:hAnsi="Times New Roman;serif"/>
                <w:b w:val="false"/>
                <w:sz w:val="18"/>
              </w:rPr>
              <w:t>3.75 to 1.00</w:t>
            </w:r>
          </w:p>
        </w:tc>
        <w:tc>
          <w:tcPr>
            <w:tcW w:w="283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8"/>
              <w:jc w:val="left"/>
              <w:rPr>
                <w:rFonts w:ascii="Times New Roman;serif" w:hAnsi="Times New Roman;serif"/>
                <w:b w:val="false"/>
                <w:sz w:val="18"/>
              </w:rPr>
            </w:pPr>
            <w:r>
              <w:rPr>
                <w:rFonts w:ascii="Times New Roman;serif" w:hAnsi="Times New Roman;serif"/>
                <w:b w:val="false"/>
                <w:sz w:val="18"/>
              </w:rPr>
              <w:t>3.00%</w:t>
            </w:r>
          </w:p>
        </w:tc>
        <w:tc>
          <w:tcPr>
            <w:tcW w:w="2578" w:type="dxa"/>
            <w:tcBorders>
              <w:bottom w:val="single" w:sz="4" w:space="0" w:color="000000"/>
              <w:right w:val="single" w:sz="6" w:space="0" w:color="000000"/>
            </w:tcBorders>
            <w:tcMar>
              <w:top w:w="0" w:type="dxa"/>
              <w:left w:w="0" w:type="dxa"/>
            </w:tcMar>
            <w:vAlign w:val="center"/>
          </w:tcPr>
          <w:p>
            <w:pPr>
              <w:pStyle w:val="TableContents"/>
              <w:bidi w:val="0"/>
              <w:spacing w:before="0" w:after="0"/>
              <w:ind w:left="8" w:right="0" w:hanging="0"/>
              <w:jc w:val="left"/>
              <w:rPr>
                <w:rFonts w:ascii="Times New Roman;serif" w:hAnsi="Times New Roman;serif"/>
                <w:b w:val="false"/>
                <w:sz w:val="18"/>
              </w:rPr>
            </w:pPr>
            <w:r>
              <w:rPr>
                <w:rFonts w:ascii="Times New Roman;serif" w:hAnsi="Times New Roman;serif"/>
                <w:b w:val="false"/>
                <w:sz w:val="18"/>
              </w:rPr>
              <w:t>4.00%</w:t>
            </w:r>
          </w:p>
        </w:tc>
      </w:tr>
    </w:tbl>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Notwithstanding the foregoing, after the consummation of an IPO, the Applicable Margin at each of the categories above in clauses (i), (ii) and (iii) of the foregoing proviso shall, following written notification by the Borrower to the Administrative Agent of such IPO, automatically be reduced further by 0.25%.</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Any increase or decrease in the Applicable Rate resulting from a change in the First Lien Leverage Ratio shall become effective as of the first Business Day immediately following the date a Compliance Certificate is delivered pursuant to </w:t>
      </w:r>
      <w:r>
        <w:rPr>
          <w:rFonts w:ascii="Times New Roman;serif" w:hAnsi="Times New Roman;serif"/>
          <w:b w:val="false"/>
          <w:sz w:val="20"/>
          <w:u w:val="single"/>
        </w:rPr>
        <w:t>Section 5.01</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at the option of the Administrative Agent (at the direction of the Required Lenders and upon notice to the Borrower of such determination), the highest pricing level shall apply as of the first Business Day after the date on which a Compliance Certificate was required to have been delivered but was not delivered, and shall continue to so apply to and including the date immediately prior to the date on which such Compliance Certificate is so delivered (and thereafter the pricing level otherwise determined in accordance with this definition shall apply). Upon the request of the Administrative Agent or the Required Term Loan Lenders or Required Revolving Lenders, as applicable, on and after receipt of a notice that an Event of Default has occurred, the highest pricing level shall apply as of the date of such Event of Default (as reasonably determined by the Borrower) and shall continue to so apply to but excluding the date on which such Event of Default shall cease to be continuing (and thereafter, in each case, the pricing level otherwise determined in accordance with this definition shall apply).</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In the event that any financial statements under </w:t>
      </w:r>
      <w:r>
        <w:rPr>
          <w:rFonts w:ascii="Times New Roman;serif" w:hAnsi="Times New Roman;serif"/>
          <w:b w:val="false"/>
          <w:sz w:val="20"/>
          <w:u w:val="single"/>
        </w:rPr>
        <w:t>Section 5.01</w:t>
      </w:r>
      <w:r>
        <w:rPr>
          <w:rFonts w:ascii="Times New Roman" w:hAnsi="Times New Roman"/>
          <w:sz w:val="20"/>
        </w:rPr>
        <w:t xml:space="preserve"> </w:t>
      </w:r>
      <w:r>
        <w:rPr>
          <w:rFonts w:ascii="Times New Roman;serif" w:hAnsi="Times New Roman;serif"/>
          <w:b w:val="false"/>
          <w:sz w:val="20"/>
        </w:rPr>
        <w:t>or a Compliance Certificate is shown to be inaccurate at any time and such inaccuracy, if corrected, would have led to a higher Applicable Rate for any period (an “</w:t>
      </w:r>
      <w:r>
        <w:rPr>
          <w:rFonts w:ascii="Times New Roman;serif" w:hAnsi="Times New Roman;serif"/>
          <w:b w:val="false"/>
          <w:sz w:val="20"/>
          <w:u w:val="single"/>
        </w:rPr>
        <w:t>Applicable Period</w:t>
      </w:r>
      <w:r>
        <w:rPr>
          <w:rFonts w:ascii="Times New Roman" w:hAnsi="Times New Roman"/>
          <w:sz w:val="20"/>
        </w:rPr>
        <w:t>”</w:t>
      </w:r>
      <w:r>
        <w:rPr>
          <w:rFonts w:ascii="Times New Roman;serif" w:hAnsi="Times New Roman;serif"/>
          <w:b w:val="false"/>
          <w:sz w:val="20"/>
        </w:rPr>
        <w:t xml:space="preserve">) than the Applicable Rate applied for such Applicable Period, then (i) the Borrower shall promptly (and in no event later than five (5) Business Days thereafter) deliver to the Administrative Agent a correct Compliance Certificate for such Applicable Period, (ii) the Applicable Rate shall be determined by reference to the corrected Compliance Certificate, and (iii) the Borrower shall pay to the Administrative Agent promptly upon written demand (and in no event later than five (5) Business Days after written demand) any additional interest owing as a result of such increased Applicable Rate for such Applicable Period, which payment shall be promptly applied by the Administrative Agent in accordance with the terms hereof. Notwithstanding anything to the contrary in this Agreement, any additional interest hereunder shall not be due and payable until written demand is made for such payment pursuant to this paragraph and accordingly, any nonpayment of such interest as a result of any such inaccuracy shall not constitute a Default (whether retroactively or otherwise), and no such amounts shall be deemed overdue (and no amounts shall accrue default interest pursuant to </w:t>
      </w:r>
      <w:r>
        <w:rPr>
          <w:rFonts w:ascii="Times New Roman;serif" w:hAnsi="Times New Roman;serif"/>
          <w:b w:val="false"/>
          <w:sz w:val="20"/>
          <w:u w:val="single"/>
        </w:rPr>
        <w:t>Section 2.13(c)</w:t>
      </w:r>
      <w:r>
        <w:rPr>
          <w:rFonts w:ascii="Times New Roman;serif" w:hAnsi="Times New Roman;serif"/>
          <w:b w:val="false"/>
          <w:sz w:val="20"/>
        </w:rPr>
        <w:t xml:space="preserve">), at any time prior to the date that is five (5) Business Days following such written demand. It is acknowledged and agreed that nothing in this definition will limit the rights of the Administrative Agent and the Lenders under the Loan Documents, including </w:t>
      </w:r>
      <w:r>
        <w:rPr>
          <w:rFonts w:ascii="Times New Roman;serif" w:hAnsi="Times New Roman;serif"/>
          <w:b w:val="false"/>
          <w:sz w:val="20"/>
          <w:u w:val="single"/>
        </w:rPr>
        <w:t>Article VII</w:t>
      </w:r>
      <w:r>
        <w:rPr>
          <w:rFonts w:ascii="Times New Roman" w:hAnsi="Times New Roman"/>
          <w:sz w:val="20"/>
        </w:rPr>
        <w:t xml:space="preserve"> </w:t>
      </w:r>
      <w:r>
        <w:rPr>
          <w:rFonts w:ascii="Times New Roman;serif" w:hAnsi="Times New Roman;serif"/>
          <w:b w:val="false"/>
          <w:sz w:val="20"/>
        </w:rPr>
        <w:t>herein.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Approved Bank</w:t>
      </w:r>
      <w:r>
        <w:rPr>
          <w:rFonts w:ascii="Times New Roman" w:hAnsi="Times New Roman"/>
          <w:sz w:val="20"/>
        </w:rPr>
        <w:t xml:space="preserve">” </w:t>
      </w:r>
      <w:r>
        <w:rPr>
          <w:rFonts w:ascii="Times New Roman;serif" w:hAnsi="Times New Roman;serif"/>
          <w:b w:val="false"/>
          <w:sz w:val="20"/>
        </w:rPr>
        <w:t>has the meaning assigned to such term in the definition of the term “Permitted Investments.”</w:t>
      </w:r>
    </w:p>
    <w:p>
      <w:pPr>
        <w:pStyle w:val="TextBody"/>
        <w:bidi w:val="0"/>
        <w:spacing w:before="240" w:after="0"/>
        <w:jc w:val="both"/>
        <w:rPr/>
      </w:pPr>
      <w:r>
        <w:rPr/>
        <w:t>“</w:t>
      </w:r>
      <w:r>
        <w:rPr>
          <w:rFonts w:ascii="Times New Roman;serif" w:hAnsi="Times New Roman;serif"/>
          <w:b w:val="false"/>
          <w:sz w:val="20"/>
          <w:u w:val="single"/>
        </w:rPr>
        <w:t>Approved Foreign Bank</w:t>
      </w:r>
      <w:r>
        <w:rPr>
          <w:rFonts w:ascii="Times New Roman" w:hAnsi="Times New Roman"/>
          <w:sz w:val="20"/>
        </w:rPr>
        <w:t xml:space="preserve">” </w:t>
      </w:r>
      <w:r>
        <w:rPr>
          <w:rFonts w:ascii="Times New Roman;serif" w:hAnsi="Times New Roman;serif"/>
          <w:b w:val="false"/>
          <w:sz w:val="20"/>
        </w:rPr>
        <w:t>has the meaning assigned to such term in the definition of the term “Permitted Investments.”</w:t>
      </w:r>
    </w:p>
    <w:p>
      <w:pPr>
        <w:pStyle w:val="TextBody"/>
        <w:bidi w:val="0"/>
        <w:spacing w:before="240" w:after="0"/>
        <w:jc w:val="both"/>
        <w:rPr/>
      </w:pPr>
      <w:r>
        <w:rPr/>
        <w:t>“</w:t>
      </w:r>
      <w:r>
        <w:rPr>
          <w:rFonts w:ascii="Times New Roman;serif" w:hAnsi="Times New Roman;serif"/>
          <w:b w:val="false"/>
          <w:sz w:val="20"/>
          <w:u w:val="single"/>
        </w:rPr>
        <w:t>Approved Fund</w:t>
      </w:r>
      <w:r>
        <w:rPr>
          <w:rFonts w:ascii="Times New Roman" w:hAnsi="Times New Roman"/>
          <w:sz w:val="20"/>
        </w:rPr>
        <w:t xml:space="preserve">” </w:t>
      </w:r>
      <w:r>
        <w:rPr>
          <w:rFonts w:ascii="Times New Roman;serif" w:hAnsi="Times New Roman;serif"/>
          <w:b w:val="false"/>
          <w:sz w:val="20"/>
        </w:rPr>
        <w:t>means any Fund that is administered or managed by (a) a Lender, (b) an Affiliate of a Lender or (c) an entity or an Affiliate of an entity that administers or manages a Lender.</w:t>
      </w:r>
    </w:p>
    <w:p>
      <w:pPr>
        <w:pStyle w:val="TextBody"/>
        <w:bidi w:val="0"/>
        <w:spacing w:before="240" w:after="0"/>
        <w:jc w:val="both"/>
        <w:rPr/>
      </w:pPr>
      <w:r>
        <w:rPr/>
        <w:t>“</w:t>
      </w:r>
      <w:r>
        <w:rPr>
          <w:rFonts w:ascii="Times New Roman;serif" w:hAnsi="Times New Roman;serif"/>
          <w:b w:val="false"/>
          <w:sz w:val="20"/>
          <w:u w:val="single"/>
        </w:rPr>
        <w:t>Asset Sale Prepayment Event</w:t>
      </w:r>
      <w:r>
        <w:rPr>
          <w:rFonts w:ascii="Times New Roman" w:hAnsi="Times New Roman"/>
          <w:sz w:val="20"/>
        </w:rPr>
        <w:t xml:space="preserve">” </w:t>
      </w:r>
      <w:r>
        <w:rPr>
          <w:rFonts w:ascii="Times New Roman;serif" w:hAnsi="Times New Roman;serif"/>
          <w:b w:val="false"/>
          <w:sz w:val="20"/>
        </w:rPr>
        <w:t>has the meaning assigned to such term in clause (a) of the definition of the term “Prepayment Event.”</w:t>
      </w:r>
    </w:p>
    <w:p>
      <w:pPr>
        <w:pStyle w:val="TextBody"/>
        <w:bidi w:val="0"/>
        <w:spacing w:before="240" w:after="0"/>
        <w:jc w:val="both"/>
        <w:rPr/>
      </w:pPr>
      <w:r>
        <w:rPr/>
        <w:t>“</w:t>
      </w:r>
      <w:r>
        <w:rPr>
          <w:rFonts w:ascii="Times New Roman;serif" w:hAnsi="Times New Roman;serif"/>
          <w:b w:val="false"/>
          <w:sz w:val="20"/>
          <w:u w:val="single"/>
        </w:rPr>
        <w:t>Assignment and Assumption</w:t>
      </w:r>
      <w:r>
        <w:rPr>
          <w:rFonts w:ascii="Times New Roman" w:hAnsi="Times New Roman"/>
          <w:sz w:val="20"/>
        </w:rPr>
        <w:t xml:space="preserve">” </w:t>
      </w:r>
      <w:r>
        <w:rPr>
          <w:rFonts w:ascii="Times New Roman;serif" w:hAnsi="Times New Roman;serif"/>
          <w:b w:val="false"/>
          <w:sz w:val="20"/>
        </w:rPr>
        <w:t xml:space="preserve">means an assignment and assumption entered into by a Lender and an Eligible Assignee (with the consent of any Person whose consent is required by </w:t>
      </w:r>
      <w:r>
        <w:rPr>
          <w:rFonts w:ascii="Times New Roman;serif" w:hAnsi="Times New Roman;serif"/>
          <w:b w:val="false"/>
          <w:sz w:val="20"/>
          <w:u w:val="single"/>
        </w:rPr>
        <w:t>Section 9.04</w:t>
      </w:r>
      <w:r>
        <w:rPr>
          <w:rFonts w:ascii="Times New Roman;serif" w:hAnsi="Times New Roman;serif"/>
          <w:b w:val="false"/>
          <w:sz w:val="20"/>
        </w:rPr>
        <w:t xml:space="preserve">), or as otherwise required to be entered into under the terms of this Agreement, substantially in the form of </w:t>
      </w:r>
      <w:r>
        <w:rPr>
          <w:rFonts w:ascii="Times New Roman;serif" w:hAnsi="Times New Roman;serif"/>
          <w:b w:val="false"/>
          <w:sz w:val="20"/>
          <w:u w:val="single"/>
        </w:rPr>
        <w:t>Exhibit A</w:t>
      </w:r>
      <w:r>
        <w:rPr>
          <w:rFonts w:ascii="Times New Roman" w:hAnsi="Times New Roman"/>
          <w:sz w:val="20"/>
        </w:rPr>
        <w:t xml:space="preserve"> </w:t>
      </w:r>
      <w:r>
        <w:rPr>
          <w:rFonts w:ascii="Times New Roman;serif" w:hAnsi="Times New Roman;serif"/>
          <w:b w:val="false"/>
          <w:sz w:val="20"/>
        </w:rPr>
        <w:t>or any other form reasonably approved by the Administrative Agent.</w:t>
      </w:r>
    </w:p>
    <w:p>
      <w:pPr>
        <w:pStyle w:val="TextBody"/>
        <w:bidi w:val="0"/>
        <w:spacing w:before="240" w:after="0"/>
        <w:jc w:val="both"/>
        <w:rPr/>
      </w:pPr>
      <w:r>
        <w:rPr/>
        <w:t>“</w:t>
      </w:r>
      <w:r>
        <w:rPr>
          <w:rFonts w:ascii="Times New Roman;serif" w:hAnsi="Times New Roman;serif"/>
          <w:b w:val="false"/>
          <w:sz w:val="20"/>
          <w:u w:val="single"/>
        </w:rPr>
        <w:t>Auction Agent</w:t>
      </w:r>
      <w:r>
        <w:rPr>
          <w:rFonts w:ascii="Times New Roman" w:hAnsi="Times New Roman"/>
          <w:sz w:val="20"/>
        </w:rPr>
        <w:t xml:space="preserve">” </w:t>
      </w:r>
      <w:r>
        <w:rPr>
          <w:rFonts w:ascii="Times New Roman;serif" w:hAnsi="Times New Roman;serif"/>
          <w:b w:val="false"/>
          <w:sz w:val="20"/>
        </w:rPr>
        <w:t xml:space="preserve">means (a) the Administrative Agent or (b) any other financial institution or advisor employed by Holdings or the Borrower (whether or not an Affiliate of the Administrative Agent) to act as an arranger in connection with any Discounted Term Loan Prepayment pursuant to </w:t>
      </w:r>
      <w:r>
        <w:rPr>
          <w:rFonts w:ascii="Times New Roman;serif" w:hAnsi="Times New Roman;serif"/>
          <w:b w:val="false"/>
          <w:sz w:val="20"/>
          <w:u w:val="single"/>
        </w:rPr>
        <w:t>Section 2.11(a)(ii)</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neither Holdings nor the Borrower shall designate the Administrative Agent as the Auction Agent without the written consent of the Administrative Agent (it being understood that the Administrative Agent shall be under no obligation to agree to act as the Auction Agent).</w:t>
      </w:r>
    </w:p>
    <w:p>
      <w:pPr>
        <w:pStyle w:val="TextBody"/>
        <w:bidi w:val="0"/>
        <w:spacing w:before="240" w:after="0"/>
        <w:jc w:val="both"/>
        <w:rPr/>
      </w:pPr>
      <w:r>
        <w:rPr/>
        <w:t>“</w:t>
      </w:r>
      <w:r>
        <w:rPr>
          <w:rFonts w:ascii="Times New Roman;serif" w:hAnsi="Times New Roman;serif"/>
          <w:b w:val="false"/>
          <w:sz w:val="20"/>
          <w:u w:val="single"/>
        </w:rPr>
        <w:t>Audited Financial Statements</w:t>
      </w:r>
      <w:r>
        <w:rPr>
          <w:rFonts w:ascii="Times New Roman" w:hAnsi="Times New Roman"/>
          <w:sz w:val="20"/>
        </w:rPr>
        <w:t xml:space="preserve">” </w:t>
      </w:r>
      <w:r>
        <w:rPr>
          <w:rFonts w:ascii="Times New Roman;serif" w:hAnsi="Times New Roman;serif"/>
          <w:b w:val="false"/>
          <w:sz w:val="20"/>
        </w:rPr>
        <w:t>means the audited consolidated balance sheets of the Target and its consolidated subsidiaries as at the end of, and related statements of operations and comprehensive income/loss, cash flows and changes in members’ equity of the Target and its consolidated subsidiaries for, the fiscal years ended December 31, 2017 and December 31, 2018.</w:t>
      </w:r>
    </w:p>
    <w:p>
      <w:pPr>
        <w:pStyle w:val="TextBody"/>
        <w:bidi w:val="0"/>
        <w:spacing w:before="240" w:after="0"/>
        <w:jc w:val="both"/>
        <w:rPr/>
      </w:pPr>
      <w:r>
        <w:rPr/>
        <w:t>“</w:t>
      </w:r>
      <w:r>
        <w:rPr>
          <w:rFonts w:ascii="Times New Roman;serif" w:hAnsi="Times New Roman;serif"/>
          <w:b w:val="false"/>
          <w:sz w:val="20"/>
          <w:u w:val="single"/>
        </w:rPr>
        <w:t>Available Amount</w:t>
      </w:r>
      <w:r>
        <w:rPr>
          <w:rFonts w:ascii="Times New Roman;serif" w:hAnsi="Times New Roman;serif"/>
          <w:b w:val="false"/>
          <w:sz w:val="20"/>
        </w:rPr>
        <w:t>,” means, on any date of determination, a cumulative amount equal to (without duplication):</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pPr>
      <w:r>
        <w:rPr>
          <w:rFonts w:ascii="Times New Roman;serif" w:hAnsi="Times New Roman;serif"/>
          <w:b w:val="false"/>
          <w:sz w:val="20"/>
        </w:rPr>
        <w:t>the greater of (i) $65,000,000 and (ii) 50% of Consolidated EBITDA for the Test Period then last ended (such greater amount, the “</w:t>
      </w:r>
      <w:r>
        <w:rPr>
          <w:rFonts w:ascii="Times New Roman;serif" w:hAnsi="Times New Roman;serif"/>
          <w:b w:val="false"/>
          <w:sz w:val="20"/>
          <w:u w:val="single"/>
        </w:rPr>
        <w:t>Starter Basket</w:t>
      </w:r>
      <w:r>
        <w:rPr/>
        <w:t>”</w:t>
      </w:r>
      <w:r>
        <w:rPr>
          <w:rFonts w:ascii="Times New Roman;serif" w:hAnsi="Times New Roman;serif"/>
          <w:b w:val="false"/>
          <w:sz w:val="20"/>
        </w:rPr>
        <w:t xml:space="preserve">),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pPr>
      <w:r>
        <w:rPr>
          <w:rFonts w:ascii="Times New Roman;serif" w:hAnsi="Times New Roman;serif"/>
          <w:b w:val="false"/>
          <w:sz w:val="20"/>
        </w:rPr>
        <w:t xml:space="preserve">(i) 100% of cumulative Consolidated EBITDA for each fiscal quarter of the Borrower commencing with the first fiscal quarter of the Borrower commencing immediately before the Effective Date through the most recent Test Period then last ended minus (ii) 1.5x cumulative Consolidated Fixed Charges for the same period,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pPr>
      <w:r>
        <w:rPr>
          <w:rFonts w:ascii="Times New Roman;serif" w:hAnsi="Times New Roman;serif"/>
          <w:b w:val="false"/>
          <w:sz w:val="20"/>
        </w:rPr>
        <w:t xml:space="preserve">returns, profits, distributions and similar amounts received in cash or Permitted Investments and the Fair Market Value of any in-kind amounts received by Holdings, the Borrower or any Restricted Subsidiary on Investments made using the Available Amount (not to exceed the amount of such Investments),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pPr>
      <w:r>
        <w:rPr>
          <w:rFonts w:ascii="Times New Roman;serif" w:hAnsi="Times New Roman;serif"/>
          <w:b w:val="false"/>
          <w:sz w:val="20"/>
        </w:rPr>
        <w:t xml:space="preserve">the Fair Market Value of Investments of Holdings, the Borrower or any of the Restricted Subsidiaries in any Unrestricted Subsidiary that has been re-designated as a Restricted Subsidiary or that has been merged or consolidated with or into Holdings, the Borrower or any of the Restricted Subsidiaries, </w:t>
      </w:r>
      <w:r>
        <w:rPr>
          <w:rFonts w:ascii="Times New Roman;serif" w:hAnsi="Times New Roman;serif"/>
          <w:b w:val="false"/>
          <w:sz w:val="20"/>
          <w:u w:val="single"/>
        </w:rPr>
        <w:t>plus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pPr>
      <w:r>
        <w:rPr>
          <w:rFonts w:ascii="Times New Roman;serif" w:hAnsi="Times New Roman;serif"/>
          <w:b w:val="false"/>
          <w:sz w:val="20"/>
        </w:rPr>
        <w:t xml:space="preserve">the Net Proceeds of a sale or other Disposition of any Unrestricted Subsidiary (including the issuance or sale of Equity Interests of an Unrestricted Subsidiary) received by Holdings, the Borrower or any Restricted Subsidiary,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0"/>
        <w:jc w:val="both"/>
        <w:rPr/>
      </w:pPr>
      <w:r>
        <w:rPr>
          <w:rFonts w:ascii="Times New Roman;serif" w:hAnsi="Times New Roman;serif"/>
          <w:b w:val="false"/>
          <w:sz w:val="20"/>
        </w:rPr>
        <w:t xml:space="preserve">to the extent not included in Consolidated Net Income, dividends or other distributions or returns on capital received by Holdings, the Borrower or any Restricted Subsidiary from an Unrestricted Subsidiary,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aggregate amount of any Retained Declined Proceeds and Retained Asset Sale Proceeds since the Effective Date.</w:t>
      </w:r>
    </w:p>
    <w:p>
      <w:pPr>
        <w:pStyle w:val="TextBody"/>
        <w:bidi w:val="0"/>
        <w:spacing w:before="240" w:after="0"/>
        <w:jc w:val="both"/>
        <w:rPr/>
      </w:pPr>
      <w:r>
        <w:rPr/>
        <w:t>“</w:t>
      </w:r>
      <w:r>
        <w:rPr>
          <w:rFonts w:ascii="Times New Roman;serif" w:hAnsi="Times New Roman;serif"/>
          <w:b w:val="false"/>
          <w:sz w:val="20"/>
          <w:u w:val="single"/>
        </w:rPr>
        <w:t>Available Cash</w:t>
      </w:r>
      <w:r>
        <w:rPr>
          <w:rFonts w:ascii="Times New Roman" w:hAnsi="Times New Roman"/>
          <w:sz w:val="20"/>
        </w:rPr>
        <w:t xml:space="preserve">” </w:t>
      </w:r>
      <w:r>
        <w:rPr>
          <w:rFonts w:ascii="Times New Roman;serif" w:hAnsi="Times New Roman;serif"/>
          <w:b w:val="false"/>
          <w:sz w:val="20"/>
        </w:rPr>
        <w:t>means, as of any date of determination, the aggregate amount of cash and Permitted Investments of Holdings, the Borrower or any Restricted Subsidiary as of such date to the extent the use thereof for the application to payment of Indebtedness is not prohibited by law or any contract binding on Holdings, the Borrower or any Restricted Subsidiary.</w:t>
      </w:r>
    </w:p>
    <w:p>
      <w:pPr>
        <w:pStyle w:val="TextBody"/>
        <w:bidi w:val="0"/>
        <w:spacing w:before="240" w:after="0"/>
        <w:jc w:val="left"/>
        <w:rPr/>
      </w:pPr>
      <w:r>
        <w:rPr/>
        <w:t>“</w:t>
      </w:r>
      <w:r>
        <w:rPr>
          <w:rFonts w:ascii="Times New Roman;serif" w:hAnsi="Times New Roman;serif"/>
          <w:b w:val="false"/>
          <w:sz w:val="20"/>
          <w:u w:val="single"/>
        </w:rPr>
        <w:t>Available Equity Amount</w:t>
      </w:r>
      <w:r>
        <w:rPr>
          <w:rFonts w:ascii="Times New Roman" w:hAnsi="Times New Roman"/>
          <w:sz w:val="20"/>
        </w:rPr>
        <w:t xml:space="preserve">” </w:t>
      </w:r>
      <w:r>
        <w:rPr>
          <w:rFonts w:ascii="Times New Roman;serif" w:hAnsi="Times New Roman;serif"/>
          <w:b w:val="false"/>
          <w:sz w:val="20"/>
        </w:rPr>
        <w:t>means a cumulative amount equal to (without duplication):</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pPr>
      <w:r>
        <w:rPr>
          <w:rFonts w:ascii="Times New Roman;serif" w:hAnsi="Times New Roman;serif"/>
          <w:b w:val="false"/>
          <w:sz w:val="20"/>
        </w:rPr>
        <w:t xml:space="preserve">the Net Proceeds of new public or private issuances of Qualified Equity Interests in Holdings or any parent of Holdings which are contributed to (or received by) Holdings or the Borrower after the Effective Date,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pPr>
      <w:r>
        <w:rPr>
          <w:rFonts w:ascii="Times New Roman;serif" w:hAnsi="Times New Roman;serif"/>
          <w:b w:val="false"/>
          <w:sz w:val="20"/>
        </w:rPr>
        <w:t xml:space="preserve">capital contributions received by Holdings or the Borrower after the Effective Date in cash or Permitted Investments (other than in respect of any Disqualified Equity Interest) and the Fair Market Value of any in-kind contributions after the Effective Date,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pPr>
      <w:r>
        <w:rPr>
          <w:rFonts w:ascii="Times New Roman;serif" w:hAnsi="Times New Roman;serif"/>
          <w:b w:val="false"/>
          <w:sz w:val="20"/>
        </w:rPr>
        <w:t xml:space="preserve">the net cash proceeds received by Holdings, the Borrower or any Restricted Subsidiary from Indebtedness and Disqualified Equity Interest issuances issued after the Effective Date and which have been exchanged or converted into Qualified Equity Interests, </w:t>
      </w: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returns, profits, distributions and similar amounts received in cash or Permitted Investments and the Fair Market Value of any in-kind amounts received by Holdings, the Borrower and the Restricted Subsidiaries on Investments made using the Available Equity Amount (not to exceed the amount of such Investments);</w:t>
      </w:r>
    </w:p>
    <w:p>
      <w:pPr>
        <w:pStyle w:val="TextBody"/>
        <w:bidi w:val="0"/>
        <w:spacing w:before="240" w:after="0"/>
        <w:jc w:val="both"/>
        <w:rPr>
          <w:rFonts w:ascii="Times New Roman" w:hAnsi="Times New Roman"/>
          <w:sz w:val="20"/>
        </w:rPr>
      </w:pP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Available Equity Amount shall not include any Cure Amount, any amounts used to incur Indebtedness pursuant to Section 6.01(a)(xxiv), any amounts used to make Restricted Payments pursuant to Section 6.01(a)(vi)(c) or any amounts used to make Investments pursuant to Section 6.04(p).</w:t>
      </w:r>
    </w:p>
    <w:p>
      <w:pPr>
        <w:pStyle w:val="TextBody"/>
        <w:bidi w:val="0"/>
        <w:spacing w:before="240" w:after="0"/>
        <w:jc w:val="both"/>
        <w:rPr/>
      </w:pPr>
      <w:r>
        <w:rPr/>
        <w:t>“</w:t>
      </w:r>
      <w:r>
        <w:rPr>
          <w:rFonts w:ascii="Times New Roman;serif" w:hAnsi="Times New Roman;serif"/>
          <w:b w:val="false"/>
          <w:sz w:val="20"/>
          <w:u w:val="single"/>
        </w:rPr>
        <w:t>Available RP Capacity Amount</w:t>
      </w:r>
      <w:r>
        <w:rPr>
          <w:rFonts w:ascii="Times New Roman" w:hAnsi="Times New Roman"/>
          <w:sz w:val="20"/>
        </w:rPr>
        <w:t xml:space="preserve">” </w:t>
      </w:r>
      <w:r>
        <w:rPr>
          <w:rFonts w:ascii="Times New Roman;serif" w:hAnsi="Times New Roman;serif"/>
          <w:b w:val="false"/>
          <w:sz w:val="20"/>
        </w:rPr>
        <w:t xml:space="preserve">means the amount of Restricted Payments that may be made at the time of determination pursuant to </w:t>
      </w:r>
      <w:r>
        <w:rPr>
          <w:rFonts w:ascii="Times New Roman;serif" w:hAnsi="Times New Roman;serif"/>
          <w:b w:val="false"/>
          <w:sz w:val="20"/>
          <w:u w:val="single"/>
        </w:rPr>
        <w:t>Sections 6.08(a)(vi)</w:t>
      </w:r>
      <w:r>
        <w:rPr>
          <w:rFonts w:ascii="Times New Roman;serif" w:hAnsi="Times New Roman;serif"/>
          <w:b w:val="false"/>
          <w:sz w:val="20"/>
        </w:rPr>
        <w:t xml:space="preserve">, </w:t>
      </w:r>
      <w:r>
        <w:rPr>
          <w:rFonts w:ascii="Times New Roman;serif" w:hAnsi="Times New Roman;serif"/>
          <w:b w:val="false"/>
          <w:sz w:val="20"/>
          <w:u w:val="single"/>
        </w:rPr>
        <w:t>(viii)(A)</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(xii)</w:t>
      </w:r>
      <w:r>
        <w:rPr>
          <w:rFonts w:ascii="Times New Roman;serif" w:hAnsi="Times New Roman;serif"/>
          <w:b w:val="false"/>
          <w:sz w:val="20"/>
        </w:rPr>
        <w:t xml:space="preserve">, minus the sum of the amount of the Available RP Capacity Amount utilized by Holdings or any Restricted Subsidiary to (a) make Restricted Payments in reliance on </w:t>
      </w:r>
      <w:r>
        <w:rPr>
          <w:rFonts w:ascii="Times New Roman;serif" w:hAnsi="Times New Roman;serif"/>
          <w:b w:val="false"/>
          <w:sz w:val="20"/>
          <w:u w:val="single"/>
        </w:rPr>
        <w:t>Section 6.08(a)(vi)</w:t>
      </w:r>
      <w:r>
        <w:rPr>
          <w:rFonts w:ascii="Times New Roman;serif" w:hAnsi="Times New Roman;serif"/>
          <w:b w:val="false"/>
          <w:sz w:val="20"/>
        </w:rPr>
        <w:t xml:space="preserve">, </w:t>
      </w:r>
      <w:r>
        <w:rPr>
          <w:rFonts w:ascii="Times New Roman;serif" w:hAnsi="Times New Roman;serif"/>
          <w:b w:val="false"/>
          <w:sz w:val="20"/>
          <w:u w:val="single"/>
        </w:rPr>
        <w:t>(viii)(A)</w:t>
      </w:r>
      <w:r>
        <w:rPr>
          <w:rFonts w:ascii="Times New Roman" w:hAnsi="Times New Roman"/>
          <w:sz w:val="20"/>
        </w:rPr>
        <w:t xml:space="preserve"> </w:t>
      </w:r>
      <w:r>
        <w:rPr>
          <w:rFonts w:ascii="Times New Roman;serif" w:hAnsi="Times New Roman;serif"/>
          <w:b w:val="false"/>
          <w:sz w:val="20"/>
        </w:rPr>
        <w:t xml:space="preserve">and/or </w:t>
      </w:r>
      <w:r>
        <w:rPr>
          <w:rFonts w:ascii="Times New Roman;serif" w:hAnsi="Times New Roman;serif"/>
          <w:b w:val="false"/>
          <w:sz w:val="20"/>
          <w:u w:val="single"/>
        </w:rPr>
        <w:t>(xii)</w:t>
      </w:r>
      <w:r>
        <w:rPr>
          <w:rFonts w:ascii="Times New Roman;serif" w:hAnsi="Times New Roman;serif"/>
          <w:b w:val="false"/>
          <w:sz w:val="20"/>
        </w:rPr>
        <w:t xml:space="preserve">, (b) make Investments pursuant to </w:t>
      </w:r>
      <w:r>
        <w:rPr>
          <w:rFonts w:ascii="Times New Roman;serif" w:hAnsi="Times New Roman;serif"/>
          <w:b w:val="false"/>
          <w:sz w:val="20"/>
          <w:u w:val="single"/>
        </w:rPr>
        <w:t>Section 6.04(n)</w:t>
      </w:r>
      <w:r>
        <w:rPr>
          <w:rFonts w:ascii="Times New Roman;serif" w:hAnsi="Times New Roman;serif"/>
          <w:b w:val="false"/>
          <w:sz w:val="20"/>
        </w:rPr>
        <w:t xml:space="preserve">, (c) make Restricted Debt Payments pursuant to </w:t>
      </w:r>
      <w:r>
        <w:rPr>
          <w:rFonts w:ascii="Times New Roman;serif" w:hAnsi="Times New Roman;serif"/>
          <w:b w:val="false"/>
          <w:sz w:val="20"/>
          <w:u w:val="single"/>
        </w:rPr>
        <w:t>Section 6.08(b)(iv)</w:t>
      </w:r>
      <w:r>
        <w:rPr>
          <w:rFonts w:ascii="Times New Roman" w:hAnsi="Times New Roman"/>
          <w:sz w:val="20"/>
        </w:rPr>
        <w:t xml:space="preserve"> </w:t>
      </w:r>
      <w:r>
        <w:rPr>
          <w:rFonts w:ascii="Times New Roman;serif" w:hAnsi="Times New Roman;serif"/>
          <w:b w:val="false"/>
          <w:sz w:val="20"/>
        </w:rPr>
        <w:t xml:space="preserve">and (d) incur Indebtedness pursuant to </w:t>
      </w:r>
      <w:r>
        <w:rPr>
          <w:rFonts w:ascii="Times New Roman;serif" w:hAnsi="Times New Roman;serif"/>
          <w:b w:val="false"/>
          <w:sz w:val="20"/>
          <w:u w:val="single"/>
        </w:rPr>
        <w:t>Section 6.01(a)(xxix)(A)</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Bail-In Action</w:t>
      </w:r>
      <w:r>
        <w:rPr>
          <w:rFonts w:ascii="Times New Roman" w:hAnsi="Times New Roman"/>
          <w:sz w:val="20"/>
        </w:rPr>
        <w:t xml:space="preserve">” </w:t>
      </w:r>
      <w:r>
        <w:rPr>
          <w:rFonts w:ascii="Times New Roman;serif" w:hAnsi="Times New Roman;serif"/>
          <w:b w:val="false"/>
          <w:sz w:val="20"/>
        </w:rPr>
        <w:t>means the exercise of any Write-Down and Conversion Powers by the applicable EEA Resolution Authority in respect of any liability of an EEA Financial Institution.</w:t>
      </w:r>
    </w:p>
    <w:p>
      <w:pPr>
        <w:pStyle w:val="TextBody"/>
        <w:bidi w:val="0"/>
        <w:spacing w:before="240" w:after="0"/>
        <w:jc w:val="both"/>
        <w:rPr/>
      </w:pPr>
      <w:r>
        <w:rPr/>
        <w:t>“</w:t>
      </w:r>
      <w:r>
        <w:rPr>
          <w:rFonts w:ascii="Times New Roman;serif" w:hAnsi="Times New Roman;serif"/>
          <w:b w:val="false"/>
          <w:sz w:val="20"/>
          <w:u w:val="single"/>
        </w:rPr>
        <w:t>Bail-In Legislation</w:t>
      </w:r>
      <w:r>
        <w:rPr>
          <w:rFonts w:ascii="Times New Roman" w:hAnsi="Times New Roman"/>
          <w:sz w:val="20"/>
        </w:rPr>
        <w:t xml:space="preserve">” </w:t>
      </w:r>
      <w:r>
        <w:rPr>
          <w:rFonts w:ascii="Times New Roman;serif" w:hAnsi="Times New Roman;serif"/>
          <w:b w:val="false"/>
          <w:sz w:val="20"/>
        </w:rPr>
        <w:t>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pStyle w:val="TextBody"/>
        <w:bidi w:val="0"/>
        <w:spacing w:before="240" w:after="0"/>
        <w:jc w:val="left"/>
        <w:rPr/>
      </w:pPr>
      <w:r>
        <w:rPr/>
        <w:t>“</w:t>
      </w:r>
      <w:r>
        <w:rPr>
          <w:rFonts w:ascii="Times New Roman;serif" w:hAnsi="Times New Roman;serif"/>
          <w:b w:val="false"/>
          <w:sz w:val="20"/>
          <w:u w:val="single"/>
        </w:rPr>
        <w:t>Bank of America</w:t>
      </w:r>
      <w:r>
        <w:rPr>
          <w:rFonts w:ascii="Times New Roman" w:hAnsi="Times New Roman"/>
          <w:sz w:val="20"/>
        </w:rPr>
        <w:t xml:space="preserve">” </w:t>
      </w:r>
      <w:r>
        <w:rPr>
          <w:rFonts w:ascii="Times New Roman;serif" w:hAnsi="Times New Roman;serif"/>
          <w:b w:val="false"/>
          <w:sz w:val="20"/>
        </w:rPr>
        <w:t>means Bank of America, N.A. and its successors.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Basel III</w:t>
      </w:r>
      <w:r>
        <w:rPr>
          <w:rFonts w:ascii="Times New Roman" w:hAnsi="Times New Roman"/>
          <w:sz w:val="20"/>
        </w:rPr>
        <w:t xml:space="preserve">” </w:t>
      </w:r>
      <w:r>
        <w:rPr>
          <w:rFonts w:ascii="Times New Roman;serif" w:hAnsi="Times New Roman;serif"/>
          <w:b w:val="false"/>
          <w:sz w:val="20"/>
        </w:rPr>
        <w:t>means, collectively, those certain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banking regulatory authority.</w:t>
      </w:r>
    </w:p>
    <w:p>
      <w:pPr>
        <w:pStyle w:val="TextBody"/>
        <w:bidi w:val="0"/>
        <w:spacing w:before="240" w:after="0"/>
        <w:jc w:val="both"/>
        <w:rPr/>
      </w:pPr>
      <w:r>
        <w:rPr/>
        <w:t>“</w:t>
      </w:r>
      <w:r>
        <w:rPr>
          <w:rFonts w:ascii="Times New Roman;serif" w:hAnsi="Times New Roman;serif"/>
          <w:b w:val="false"/>
          <w:sz w:val="20"/>
          <w:u w:val="single"/>
        </w:rPr>
        <w:t>Beneficial Ownership Certification</w:t>
      </w:r>
      <w:r>
        <w:rPr>
          <w:rFonts w:ascii="Times New Roman" w:hAnsi="Times New Roman"/>
          <w:sz w:val="20"/>
        </w:rPr>
        <w:t xml:space="preserve">” </w:t>
      </w:r>
      <w:r>
        <w:rPr>
          <w:rFonts w:ascii="Times New Roman;serif" w:hAnsi="Times New Roman;serif"/>
          <w:b w:val="false"/>
          <w:sz w:val="20"/>
        </w:rPr>
        <w:t>means a certification regarding beneficial ownership required by the Beneficial Ownership Regulation.</w:t>
      </w:r>
    </w:p>
    <w:p>
      <w:pPr>
        <w:pStyle w:val="TextBody"/>
        <w:bidi w:val="0"/>
        <w:spacing w:before="240" w:after="0"/>
        <w:jc w:val="left"/>
        <w:rPr/>
      </w:pPr>
      <w:r>
        <w:rPr/>
        <w:t>“</w:t>
      </w:r>
      <w:r>
        <w:rPr>
          <w:rFonts w:ascii="Times New Roman;serif" w:hAnsi="Times New Roman;serif"/>
          <w:b w:val="false"/>
          <w:sz w:val="20"/>
          <w:u w:val="single"/>
        </w:rPr>
        <w:t>Beneficial Ownership Regulation</w:t>
      </w:r>
      <w:r>
        <w:rPr>
          <w:rFonts w:ascii="Times New Roman" w:hAnsi="Times New Roman"/>
          <w:sz w:val="20"/>
        </w:rPr>
        <w:t xml:space="preserve">” </w:t>
      </w:r>
      <w:r>
        <w:rPr>
          <w:rFonts w:ascii="Times New Roman;serif" w:hAnsi="Times New Roman;serif"/>
          <w:b w:val="false"/>
          <w:sz w:val="20"/>
        </w:rPr>
        <w:t>means 31 C.F.R. § 1010.230.</w:t>
      </w:r>
    </w:p>
    <w:p>
      <w:pPr>
        <w:pStyle w:val="TextBody"/>
        <w:bidi w:val="0"/>
        <w:spacing w:before="240" w:after="0"/>
        <w:jc w:val="both"/>
        <w:rPr/>
      </w:pPr>
      <w:r>
        <w:rPr/>
        <w:t>“</w:t>
      </w:r>
      <w:r>
        <w:rPr>
          <w:rFonts w:ascii="Times New Roman;serif" w:hAnsi="Times New Roman;serif"/>
          <w:b w:val="false"/>
          <w:sz w:val="20"/>
          <w:u w:val="single"/>
        </w:rPr>
        <w:t>Benefit Plan</w:t>
      </w:r>
      <w:r>
        <w:rPr>
          <w:rFonts w:ascii="Times New Roman" w:hAnsi="Times New Roman"/>
          <w:sz w:val="20"/>
        </w:rPr>
        <w:t xml:space="preserve">” </w:t>
      </w:r>
      <w:r>
        <w:rPr>
          <w:rFonts w:ascii="Times New Roman;serif" w:hAnsi="Times New Roman;serif"/>
          <w:b w:val="false"/>
          <w:sz w:val="20"/>
        </w:rPr>
        <w:t>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240" w:after="0"/>
        <w:jc w:val="both"/>
        <w:rPr/>
      </w:pPr>
      <w:r>
        <w:rPr/>
        <w:t>“</w:t>
      </w:r>
      <w:r>
        <w:rPr>
          <w:rFonts w:ascii="Times New Roman;serif" w:hAnsi="Times New Roman;serif"/>
          <w:b w:val="false"/>
          <w:sz w:val="20"/>
          <w:u w:val="single"/>
        </w:rPr>
        <w:t>Board of Directors</w:t>
      </w:r>
      <w:r>
        <w:rPr>
          <w:rFonts w:ascii="Times New Roman" w:hAnsi="Times New Roman"/>
          <w:sz w:val="20"/>
        </w:rPr>
        <w:t xml:space="preserve">” </w:t>
      </w:r>
      <w:r>
        <w:rPr>
          <w:rFonts w:ascii="Times New Roman;serif" w:hAnsi="Times New Roman;serif"/>
          <w:b w:val="false"/>
          <w:sz w:val="20"/>
        </w:rPr>
        <w:t>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w:t>
      </w:r>
    </w:p>
    <w:p>
      <w:pPr>
        <w:pStyle w:val="TextBody"/>
        <w:bidi w:val="0"/>
        <w:spacing w:before="240" w:after="0"/>
        <w:jc w:val="both"/>
        <w:rPr/>
      </w:pPr>
      <w:r>
        <w:rPr/>
        <w:t>“</w:t>
      </w:r>
      <w:r>
        <w:rPr>
          <w:rFonts w:ascii="Times New Roman;serif" w:hAnsi="Times New Roman;serif"/>
          <w:b w:val="false"/>
          <w:sz w:val="20"/>
          <w:u w:val="single"/>
        </w:rPr>
        <w:t>Board of Governors</w:t>
      </w:r>
      <w:r>
        <w:rPr>
          <w:rFonts w:ascii="Times New Roman" w:hAnsi="Times New Roman"/>
          <w:sz w:val="20"/>
        </w:rPr>
        <w:t xml:space="preserve">” </w:t>
      </w:r>
      <w:r>
        <w:rPr>
          <w:rFonts w:ascii="Times New Roman;serif" w:hAnsi="Times New Roman;serif"/>
          <w:b w:val="false"/>
          <w:sz w:val="20"/>
        </w:rPr>
        <w:t>means the Board of Governors of the Federal Reserve System of the United States of America.</w:t>
      </w:r>
    </w:p>
    <w:p>
      <w:pPr>
        <w:pStyle w:val="TextBody"/>
        <w:bidi w:val="0"/>
        <w:spacing w:before="240" w:after="0"/>
        <w:jc w:val="both"/>
        <w:rPr/>
      </w:pPr>
      <w:r>
        <w:rPr/>
        <w:t>“</w:t>
      </w:r>
      <w:r>
        <w:rPr>
          <w:rFonts w:ascii="Times New Roman;serif" w:hAnsi="Times New Roman;serif"/>
          <w:b w:val="false"/>
          <w:sz w:val="20"/>
          <w:u w:val="single"/>
        </w:rPr>
        <w:t>Borrower</w:t>
      </w:r>
      <w:r>
        <w:rPr>
          <w:rFonts w:ascii="Times New Roman" w:hAnsi="Times New Roman"/>
          <w:sz w:val="20"/>
        </w:rPr>
        <w:t xml:space="preserve">” </w:t>
      </w:r>
      <w:r>
        <w:rPr>
          <w:rFonts w:ascii="Times New Roman;serif" w:hAnsi="Times New Roman;serif"/>
          <w:b w:val="false"/>
          <w:sz w:val="20"/>
        </w:rPr>
        <w:t>means (a) prior to the consummation of the Merger, Merger Sub, (b) immediately after the consummation of the Merger, the Target and (c) any Successor Borrower.</w:t>
      </w:r>
    </w:p>
    <w:p>
      <w:pPr>
        <w:pStyle w:val="TextBody"/>
        <w:bidi w:val="0"/>
        <w:spacing w:before="240" w:after="0"/>
        <w:jc w:val="both"/>
        <w:rPr/>
      </w:pPr>
      <w:r>
        <w:rPr/>
        <w:t>“</w:t>
      </w:r>
      <w:r>
        <w:rPr>
          <w:rFonts w:ascii="Times New Roman;serif" w:hAnsi="Times New Roman;serif"/>
          <w:b w:val="false"/>
          <w:sz w:val="20"/>
          <w:u w:val="single"/>
        </w:rPr>
        <w:t>Borrower Offer of Specified Discount Prepayment</w:t>
      </w:r>
      <w:r>
        <w:rPr>
          <w:rFonts w:ascii="Times New Roman" w:hAnsi="Times New Roman"/>
          <w:sz w:val="20"/>
        </w:rPr>
        <w:t xml:space="preserve">” </w:t>
      </w:r>
      <w:r>
        <w:rPr>
          <w:rFonts w:ascii="Times New Roman;serif" w:hAnsi="Times New Roman;serif"/>
          <w:b w:val="false"/>
          <w:sz w:val="20"/>
        </w:rPr>
        <w:t xml:space="preserve">means the offer by the Borrower to make a voluntary prepayment of Term Loans at a specified discount to par pursuant to </w:t>
      </w:r>
      <w:r>
        <w:rPr>
          <w:rFonts w:ascii="Times New Roman;serif" w:hAnsi="Times New Roman;serif"/>
          <w:b w:val="false"/>
          <w:sz w:val="20"/>
          <w:u w:val="single"/>
        </w:rPr>
        <w:t>Section 2.11(a)(ii)(B)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Borrower Solicitation of Discount Range Prepayment Offers</w:t>
      </w:r>
      <w:r>
        <w:rPr>
          <w:rFonts w:ascii="Times New Roman" w:hAnsi="Times New Roman"/>
          <w:sz w:val="20"/>
        </w:rPr>
        <w:t xml:space="preserve">” </w:t>
      </w:r>
      <w:r>
        <w:rPr>
          <w:rFonts w:ascii="Times New Roman;serif" w:hAnsi="Times New Roman;serif"/>
          <w:b w:val="false"/>
          <w:sz w:val="20"/>
        </w:rPr>
        <w:t xml:space="preserve">means the solicitation by the Borrower of offers for, and the corresponding acceptance by a Term Lender of, a voluntary prepayment of Term Loans at a specified range at a discount to par pursuant to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Borrower Solicitation of Discounted Prepayment Offers</w:t>
      </w:r>
      <w:r>
        <w:rPr>
          <w:rFonts w:ascii="Times New Roman" w:hAnsi="Times New Roman"/>
          <w:sz w:val="20"/>
        </w:rPr>
        <w:t xml:space="preserve">” </w:t>
      </w:r>
      <w:r>
        <w:rPr>
          <w:rFonts w:ascii="Times New Roman;serif" w:hAnsi="Times New Roman;serif"/>
          <w:b w:val="false"/>
          <w:sz w:val="20"/>
        </w:rPr>
        <w:t xml:space="preserve">means the solicitation by the Borrower of offers for, and the subsequent acceptance, if any, by a Term Lender of, a voluntary prepayment of Term Loans at a discount to par pursuant to </w:t>
      </w:r>
      <w:r>
        <w:rPr>
          <w:rFonts w:ascii="Times New Roman;serif" w:hAnsi="Times New Roman;serif"/>
          <w:b w:val="false"/>
          <w:sz w:val="20"/>
          <w:u w:val="single"/>
        </w:rPr>
        <w:t>Section 2.11(a)(ii)(D)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Borrowing</w:t>
      </w:r>
      <w:r>
        <w:rPr>
          <w:rFonts w:ascii="Times New Roman" w:hAnsi="Times New Roman"/>
          <w:sz w:val="20"/>
        </w:rPr>
        <w:t xml:space="preserve">” </w:t>
      </w:r>
      <w:r>
        <w:rPr>
          <w:rFonts w:ascii="Times New Roman;serif" w:hAnsi="Times New Roman;serif"/>
          <w:b w:val="false"/>
          <w:sz w:val="20"/>
        </w:rPr>
        <w:t xml:space="preserve">means Loans of the same Class and Type, made, converted or continued on the same date in the same currency and, in the case of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Loans, as to which a single Interest Period is in effect.</w:t>
      </w:r>
    </w:p>
    <w:p>
      <w:pPr>
        <w:pStyle w:val="TextBody"/>
        <w:bidi w:val="0"/>
        <w:spacing w:before="240" w:after="0"/>
        <w:jc w:val="left"/>
        <w:rPr/>
      </w:pPr>
      <w:r>
        <w:rPr/>
        <w:t>“</w:t>
      </w:r>
      <w:r>
        <w:rPr>
          <w:rFonts w:ascii="Times New Roman;serif" w:hAnsi="Times New Roman;serif"/>
          <w:b w:val="false"/>
          <w:sz w:val="20"/>
          <w:u w:val="single"/>
        </w:rPr>
        <w:t>Borrowing Minimum</w:t>
      </w:r>
      <w:r>
        <w:rPr>
          <w:rFonts w:ascii="Times New Roman" w:hAnsi="Times New Roman"/>
          <w:sz w:val="20"/>
        </w:rPr>
        <w:t xml:space="preserve">” </w:t>
      </w:r>
      <w:r>
        <w:rPr>
          <w:rFonts w:ascii="Times New Roman;serif" w:hAnsi="Times New Roman;serif"/>
          <w:b w:val="false"/>
          <w:sz w:val="20"/>
        </w:rPr>
        <w:t>means $500,000.</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Borrowing Multiple</w:t>
      </w:r>
      <w:r>
        <w:rPr>
          <w:rFonts w:ascii="Times New Roman" w:hAnsi="Times New Roman"/>
          <w:sz w:val="20"/>
        </w:rPr>
        <w:t xml:space="preserve">” </w:t>
      </w:r>
      <w:r>
        <w:rPr>
          <w:rFonts w:ascii="Times New Roman;serif" w:hAnsi="Times New Roman;serif"/>
          <w:b w:val="false"/>
          <w:sz w:val="20"/>
        </w:rPr>
        <w:t>means $100,000.</w:t>
      </w:r>
    </w:p>
    <w:p>
      <w:pPr>
        <w:pStyle w:val="TextBody"/>
        <w:bidi w:val="0"/>
        <w:spacing w:before="240" w:after="0"/>
        <w:jc w:val="both"/>
        <w:rPr/>
      </w:pPr>
      <w:r>
        <w:rPr/>
        <w:t>“</w:t>
      </w:r>
      <w:r>
        <w:rPr>
          <w:rFonts w:ascii="Times New Roman;serif" w:hAnsi="Times New Roman;serif"/>
          <w:b w:val="false"/>
          <w:sz w:val="20"/>
          <w:u w:val="single"/>
        </w:rPr>
        <w:t>Borrowing Request</w:t>
      </w:r>
      <w:r>
        <w:rPr>
          <w:rFonts w:ascii="Times New Roman" w:hAnsi="Times New Roman"/>
          <w:sz w:val="20"/>
        </w:rPr>
        <w:t xml:space="preserve">” </w:t>
      </w:r>
      <w:r>
        <w:rPr>
          <w:rFonts w:ascii="Times New Roman;serif" w:hAnsi="Times New Roman;serif"/>
          <w:b w:val="false"/>
          <w:sz w:val="20"/>
        </w:rPr>
        <w:t xml:space="preserve">means a request by the Borrower for a Borrowing in accordance with </w:t>
      </w:r>
      <w:r>
        <w:rPr>
          <w:rFonts w:ascii="Times New Roman;serif" w:hAnsi="Times New Roman;serif"/>
          <w:b w:val="false"/>
          <w:sz w:val="20"/>
          <w:u w:val="single"/>
        </w:rPr>
        <w:t>Section 2.03</w:t>
      </w:r>
      <w:r>
        <w:rPr>
          <w:rFonts w:ascii="Times New Roman" w:hAnsi="Times New Roman"/>
          <w:sz w:val="20"/>
        </w:rPr>
        <w:t xml:space="preserve"> </w:t>
      </w:r>
      <w:r>
        <w:rPr>
          <w:rFonts w:ascii="Times New Roman;serif" w:hAnsi="Times New Roman;serif"/>
          <w:b w:val="false"/>
          <w:sz w:val="20"/>
        </w:rPr>
        <w:t xml:space="preserve">and substantially in the form of </w:t>
      </w:r>
      <w:r>
        <w:rPr>
          <w:rFonts w:ascii="Times New Roman;serif" w:hAnsi="Times New Roman;serif"/>
          <w:b w:val="false"/>
          <w:sz w:val="20"/>
          <w:u w:val="single"/>
        </w:rPr>
        <w:t>Exhibit Q</w:t>
      </w:r>
      <w:r>
        <w:rPr>
          <w:rFonts w:ascii="Times New Roman" w:hAnsi="Times New Roman"/>
          <w:sz w:val="20"/>
        </w:rPr>
        <w:t xml:space="preserve"> </w:t>
      </w:r>
      <w:r>
        <w:rPr>
          <w:rFonts w:ascii="Times New Roman;serif" w:hAnsi="Times New Roman;serif"/>
          <w:b w:val="false"/>
          <w:sz w:val="20"/>
        </w:rPr>
        <w:t>or such other form as may be reasonably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Business Day</w:t>
      </w:r>
      <w:r>
        <w:rPr>
          <w:rFonts w:ascii="Times New Roman" w:hAnsi="Times New Roman"/>
          <w:sz w:val="20"/>
        </w:rPr>
        <w:t xml:space="preserve">” </w:t>
      </w:r>
      <w:r>
        <w:rPr>
          <w:rFonts w:ascii="Times New Roman;serif" w:hAnsi="Times New Roman;serif"/>
          <w:b w:val="false"/>
          <w:sz w:val="20"/>
        </w:rPr>
        <w:t xml:space="preserve">means any day that is not a Saturday, Sunday or other day on which commercial banks in </w:t>
      </w:r>
      <w:r>
        <w:rPr>
          <w:rFonts w:ascii="Times New Roman;serif" w:hAnsi="Times New Roman;serif"/>
          <w:b w:val="false"/>
          <w:strike/>
          <w:sz w:val="20"/>
        </w:rPr>
        <w:t>the state where the Administrative Agent’s Office is located</w:t>
      </w:r>
      <w:r>
        <w:rPr>
          <w:rFonts w:ascii="Times New Roman;serif" w:hAnsi="Times New Roman;serif"/>
          <w:b w:val="false"/>
          <w:sz w:val="20"/>
          <w:u w:val="single"/>
        </w:rPr>
        <w:t>New York</w:t>
      </w:r>
      <w:r>
        <w:rPr>
          <w:rFonts w:ascii="Times New Roman" w:hAnsi="Times New Roman"/>
          <w:sz w:val="20"/>
        </w:rPr>
        <w:t xml:space="preserve"> </w:t>
      </w:r>
      <w:r>
        <w:rPr>
          <w:rFonts w:ascii="Times New Roman;serif" w:hAnsi="Times New Roman;serif"/>
          <w:b w:val="false"/>
          <w:sz w:val="20"/>
        </w:rPr>
        <w:t>are authorized or required by law to remain closed</w:t>
      </w:r>
      <w:r>
        <w:rPr>
          <w:rFonts w:ascii="Times New Roman;serif" w:hAnsi="Times New Roman;serif"/>
          <w:b w:val="false"/>
          <w:strike/>
          <w:sz w:val="20"/>
        </w:rPr>
        <w:t xml:space="preserve">; </w:t>
      </w:r>
      <w:r>
        <w:rPr>
          <w:rFonts w:ascii="Times New Roman;serif" w:hAnsi="Times New Roman;serif"/>
          <w:b w:val="false"/>
          <w:strike/>
          <w:sz w:val="20"/>
          <w:u w:val="single"/>
        </w:rPr>
        <w:t xml:space="preserve">provided </w:t>
      </w:r>
      <w:r>
        <w:rPr>
          <w:rFonts w:ascii="Times New Roman;serif" w:hAnsi="Times New Roman;serif"/>
          <w:b w:val="false"/>
          <w:strike/>
          <w:sz w:val="20"/>
        </w:rPr>
        <w:t>that when used in connection with a Eurocurrency Loan the term “Business Day” shall also exclude</w:t>
      </w:r>
      <w:r>
        <w:rPr>
          <w:rFonts w:ascii="Times New Roman" w:hAnsi="Times New Roman"/>
          <w:sz w:val="20"/>
        </w:rPr>
        <w:t xml:space="preserve"> </w:t>
      </w:r>
      <w:r>
        <w:rPr>
          <w:rFonts w:ascii="Times New Roman;serif" w:hAnsi="Times New Roman;serif"/>
          <w:b w:val="false"/>
          <w:strike/>
          <w:sz w:val="20"/>
        </w:rPr>
        <w:t>any day that is not a London Banking Day</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Capital Expenditures</w:t>
      </w:r>
      <w:r>
        <w:rPr>
          <w:rFonts w:ascii="Times New Roman" w:hAnsi="Times New Roman"/>
          <w:sz w:val="20"/>
        </w:rPr>
        <w:t xml:space="preserve">” </w:t>
      </w:r>
      <w:r>
        <w:rPr>
          <w:rFonts w:ascii="Times New Roman;serif" w:hAnsi="Times New Roman;serif"/>
          <w:b w:val="false"/>
          <w:sz w:val="20"/>
        </w:rPr>
        <w:t>means, for any period, the additions to property, plant and equipment and other capital expenditures of Holdings, the Borrower and the Restricted Subsidiaries that are (or should be) set forth in a consolidated statement of cash flows of Holdings for such period prepared in accordance with GAAP.</w:t>
      </w:r>
    </w:p>
    <w:p>
      <w:pPr>
        <w:pStyle w:val="TextBody"/>
        <w:bidi w:val="0"/>
        <w:spacing w:before="240" w:after="0"/>
        <w:jc w:val="both"/>
        <w:rPr/>
      </w:pPr>
      <w:r>
        <w:rPr/>
        <w:t>“</w:t>
      </w:r>
      <w:r>
        <w:rPr>
          <w:rFonts w:ascii="Times New Roman;serif" w:hAnsi="Times New Roman;serif"/>
          <w:b w:val="false"/>
          <w:sz w:val="20"/>
          <w:u w:val="single"/>
        </w:rPr>
        <w:t>Capital Lease Obligation</w:t>
      </w:r>
      <w:r>
        <w:rPr>
          <w:rFonts w:ascii="Times New Roman" w:hAnsi="Times New Roman"/>
          <w:sz w:val="20"/>
        </w:rPr>
        <w:t xml:space="preserve">” </w:t>
      </w:r>
      <w:r>
        <w:rPr>
          <w:rFonts w:ascii="Times New Roman;serif" w:hAnsi="Times New Roman;serif"/>
          <w:b w:val="false"/>
          <w:sz w:val="20"/>
        </w:rPr>
        <w:t>means an obligation that is a Capitalized Lease; and the amount of Indebtedness represented thereby at any time shall be the amount of the liability in respect thereof that would at that time be required to be capitalized on a balance sheet in accordance with GAAP as in effect on December 31, 2019 (or, if the Borrower elects by written notice to the Administrative Agents at any time (but only once after the Effective Date), in accordance with GAAP as in effect from time to time but subject to the proviso in the definition of GAAP).</w:t>
      </w:r>
    </w:p>
    <w:p>
      <w:pPr>
        <w:pStyle w:val="TextBody"/>
        <w:bidi w:val="0"/>
        <w:spacing w:before="240" w:after="0"/>
        <w:jc w:val="both"/>
        <w:rPr/>
      </w:pPr>
      <w:r>
        <w:rPr/>
        <w:t>“</w:t>
      </w:r>
      <w:r>
        <w:rPr>
          <w:rFonts w:ascii="Times New Roman;serif" w:hAnsi="Times New Roman;serif"/>
          <w:b w:val="false"/>
          <w:sz w:val="20"/>
          <w:u w:val="single"/>
        </w:rPr>
        <w:t>Capitalized Leases</w:t>
      </w:r>
      <w:r>
        <w:rPr>
          <w:rFonts w:ascii="Times New Roman" w:hAnsi="Times New Roman"/>
          <w:sz w:val="20"/>
        </w:rPr>
        <w:t xml:space="preserve">” </w:t>
      </w:r>
      <w:r>
        <w:rPr>
          <w:rFonts w:ascii="Times New Roman;serif" w:hAnsi="Times New Roman;serif"/>
          <w:b w:val="false"/>
          <w:sz w:val="20"/>
        </w:rPr>
        <w:t>means all leases that have been or should be, in accordance with GAAP, as in effect on December 31, 2019, recorded as capitalized leases (or, if the Borrower has made the election described in the parenthetical in the definition of Capital Lease Obligation, in accordance with GAAP as in effect from time to time but subject to the proviso in the definition of GAAP).</w:t>
      </w:r>
    </w:p>
    <w:p>
      <w:pPr>
        <w:pStyle w:val="TextBody"/>
        <w:bidi w:val="0"/>
        <w:spacing w:before="240" w:after="0"/>
        <w:jc w:val="both"/>
        <w:rPr/>
      </w:pPr>
      <w:r>
        <w:rPr/>
        <w:t>“</w:t>
      </w:r>
      <w:r>
        <w:rPr>
          <w:rFonts w:ascii="Times New Roman;serif" w:hAnsi="Times New Roman;serif"/>
          <w:b w:val="false"/>
          <w:sz w:val="20"/>
          <w:u w:val="single"/>
        </w:rPr>
        <w:t>Capitalized Software Expenditures</w:t>
      </w:r>
      <w:r>
        <w:rPr>
          <w:rFonts w:ascii="Times New Roman" w:hAnsi="Times New Roman"/>
          <w:sz w:val="20"/>
        </w:rPr>
        <w:t xml:space="preserve">” </w:t>
      </w:r>
      <w:r>
        <w:rPr>
          <w:rFonts w:ascii="Times New Roman;serif" w:hAnsi="Times New Roman;serif"/>
          <w:b w:val="false"/>
          <w:sz w:val="20"/>
        </w:rPr>
        <w:t>means,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pStyle w:val="TextBody"/>
        <w:bidi w:val="0"/>
        <w:spacing w:before="240" w:after="0"/>
        <w:jc w:val="both"/>
        <w:rPr/>
      </w:pPr>
      <w:r>
        <w:rPr/>
        <w:t>“</w:t>
      </w:r>
      <w:r>
        <w:rPr>
          <w:rFonts w:ascii="Times New Roman;serif" w:hAnsi="Times New Roman;serif"/>
          <w:b w:val="false"/>
          <w:sz w:val="20"/>
          <w:u w:val="single"/>
        </w:rPr>
        <w:t>Cash Collateralize</w:t>
      </w:r>
      <w:r>
        <w:rPr>
          <w:rFonts w:ascii="Times New Roman" w:hAnsi="Times New Roman"/>
          <w:sz w:val="20"/>
        </w:rPr>
        <w:t xml:space="preserve">” </w:t>
      </w:r>
      <w:r>
        <w:rPr>
          <w:rFonts w:ascii="Times New Roman;serif" w:hAnsi="Times New Roman;serif"/>
          <w:b w:val="false"/>
          <w:sz w:val="20"/>
        </w:rPr>
        <w:t>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the applicable Issuing Bank shall agree in their sole discretion, other credit support, in each case pursuant to documentation in form and substance reasonably satisfactory to the Collateral Agent and each applicable Issuing Bank. “</w:t>
      </w:r>
      <w:r>
        <w:rPr>
          <w:rFonts w:ascii="Times New Roman;serif" w:hAnsi="Times New Roman;serif"/>
          <w:b w:val="false"/>
          <w:sz w:val="20"/>
          <w:u w:val="single"/>
        </w:rPr>
        <w:t>Cash Collateral</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sz w:val="20"/>
          <w:u w:val="single"/>
        </w:rPr>
        <w:t>Cash</w:t>
      </w:r>
      <w:r>
        <w:rPr>
          <w:rFonts w:ascii="Times New Roman" w:hAnsi="Times New Roman"/>
          <w:sz w:val="20"/>
        </w:rPr>
        <w:t xml:space="preserve"> </w:t>
      </w:r>
      <w:r>
        <w:rPr>
          <w:rFonts w:ascii="Times New Roman;serif" w:hAnsi="Times New Roman;serif"/>
          <w:b w:val="false"/>
          <w:sz w:val="20"/>
          <w:u w:val="single"/>
        </w:rPr>
        <w:t>Collateralization</w:t>
      </w:r>
      <w:r>
        <w:rPr>
          <w:rFonts w:ascii="Times New Roman" w:hAnsi="Times New Roman"/>
          <w:sz w:val="20"/>
        </w:rPr>
        <w:t xml:space="preserve">” </w:t>
      </w:r>
      <w:r>
        <w:rPr>
          <w:rFonts w:ascii="Times New Roman;serif" w:hAnsi="Times New Roman;serif"/>
          <w:b w:val="false"/>
          <w:sz w:val="20"/>
        </w:rPr>
        <w:t>shall have meanings correlative to the foregoing and shall include the proceeds of such cash collateral and other credit support.</w:t>
      </w:r>
    </w:p>
    <w:p>
      <w:pPr>
        <w:pStyle w:val="TextBody"/>
        <w:bidi w:val="0"/>
        <w:spacing w:before="240" w:after="0"/>
        <w:jc w:val="both"/>
        <w:rPr/>
      </w:pPr>
      <w:r>
        <w:rPr/>
        <w:t>“</w:t>
      </w:r>
      <w:r>
        <w:rPr>
          <w:rFonts w:ascii="Times New Roman;serif" w:hAnsi="Times New Roman;serif"/>
          <w:b w:val="false"/>
          <w:sz w:val="20"/>
          <w:u w:val="single"/>
        </w:rPr>
        <w:t>Cash Management Obligations</w:t>
      </w:r>
      <w:r>
        <w:rPr>
          <w:rFonts w:ascii="Times New Roman" w:hAnsi="Times New Roman"/>
          <w:sz w:val="20"/>
        </w:rPr>
        <w:t xml:space="preserve">” </w:t>
      </w:r>
      <w:r>
        <w:rPr>
          <w:rFonts w:ascii="Times New Roman;serif" w:hAnsi="Times New Roman;serif"/>
          <w:b w:val="false"/>
          <w:sz w:val="20"/>
        </w:rPr>
        <w:t>means obligations of Holdings, the Borrower or any Restricted Subsidiary in respect of (a) any overdraft and related liabilities arising from treasury, depository, cash pooling arrangements and cash management or treasury services or any automated clearing house transfers of funds, (b) netting services, employee credit or purchase card programs and similar arrangements, (c) letters of credit and (d) other services related, ancillary or complementary to the foregoing (including Cash Management Services).</w:t>
      </w:r>
    </w:p>
    <w:p>
      <w:pPr>
        <w:pStyle w:val="TextBody"/>
        <w:bidi w:val="0"/>
        <w:spacing w:before="240" w:after="0"/>
        <w:jc w:val="both"/>
        <w:rPr/>
      </w:pPr>
      <w:r>
        <w:rPr/>
        <w:t>“</w:t>
      </w:r>
      <w:r>
        <w:rPr>
          <w:rFonts w:ascii="Times New Roman;serif" w:hAnsi="Times New Roman;serif"/>
          <w:b w:val="false"/>
          <w:sz w:val="20"/>
          <w:u w:val="single"/>
        </w:rPr>
        <w:t>Cash Management Services</w:t>
      </w:r>
      <w:r>
        <w:rPr>
          <w:rFonts w:ascii="Times New Roman" w:hAnsi="Times New Roman"/>
          <w:sz w:val="20"/>
        </w:rPr>
        <w:t xml:space="preserve">” </w:t>
      </w:r>
      <w:r>
        <w:rPr>
          <w:rFonts w:ascii="Times New Roman;serif" w:hAnsi="Times New Roman;serif"/>
          <w:b w:val="false"/>
          <w:sz w:val="20"/>
        </w:rPr>
        <w:t>has the meaning assigned to such term in the definition of the term “Secured Cash Management Obligations.”</w:t>
      </w:r>
    </w:p>
    <w:p>
      <w:pPr>
        <w:pStyle w:val="TextBody"/>
        <w:bidi w:val="0"/>
        <w:spacing w:before="240" w:after="0"/>
        <w:jc w:val="both"/>
        <w:rPr/>
      </w:pPr>
      <w:r>
        <w:rPr/>
        <w:t>“</w:t>
      </w:r>
      <w:r>
        <w:rPr>
          <w:rFonts w:ascii="Times New Roman;serif" w:hAnsi="Times New Roman;serif"/>
          <w:b w:val="false"/>
          <w:sz w:val="20"/>
          <w:u w:val="single"/>
        </w:rPr>
        <w:t>Casualty Event</w:t>
      </w:r>
      <w:r>
        <w:rPr>
          <w:rFonts w:ascii="Times New Roman" w:hAnsi="Times New Roman"/>
          <w:sz w:val="20"/>
        </w:rPr>
        <w:t xml:space="preserve">” </w:t>
      </w:r>
      <w:r>
        <w:rPr>
          <w:rFonts w:ascii="Times New Roman;serif" w:hAnsi="Times New Roman;serif"/>
          <w:b w:val="false"/>
          <w:sz w:val="20"/>
        </w:rPr>
        <w:t>means any event that gives rise to the receipt by Holdings, the Borrower or any Restricted Subsidiary of any insurance proceeds or condemnation awards in respect of any equipment, fixed assets or real property (including any improvements thereon) to replace or repair such equipment, fixed assets or real property.</w:t>
      </w:r>
    </w:p>
    <w:p>
      <w:pPr>
        <w:pStyle w:val="TextBody"/>
        <w:bidi w:val="0"/>
        <w:spacing w:before="240" w:after="0"/>
        <w:jc w:val="left"/>
        <w:rPr/>
      </w:pPr>
      <w:r>
        <w:rPr/>
        <w:t>“</w:t>
      </w:r>
      <w:r>
        <w:rPr>
          <w:rFonts w:ascii="Times New Roman;serif" w:hAnsi="Times New Roman;serif"/>
          <w:b w:val="false"/>
          <w:sz w:val="20"/>
          <w:u w:val="single"/>
        </w:rPr>
        <w:t>CFC</w:t>
      </w:r>
      <w:r>
        <w:rPr>
          <w:rFonts w:ascii="Times New Roman" w:hAnsi="Times New Roman"/>
          <w:sz w:val="20"/>
        </w:rPr>
        <w:t xml:space="preserve">” </w:t>
      </w:r>
      <w:r>
        <w:rPr>
          <w:rFonts w:ascii="Times New Roman;serif" w:hAnsi="Times New Roman;serif"/>
          <w:b w:val="false"/>
          <w:sz w:val="20"/>
        </w:rPr>
        <w:t>means a “controlled foreign corporation” within the meaning of Section 957 of the Code.</w:t>
      </w:r>
    </w:p>
    <w:p>
      <w:pPr>
        <w:pStyle w:val="TextBody"/>
        <w:bidi w:val="0"/>
        <w:spacing w:before="240" w:after="0"/>
        <w:jc w:val="both"/>
        <w:rPr/>
      </w:pPr>
      <w:r>
        <w:rPr/>
        <w:t>“</w:t>
      </w:r>
      <w:r>
        <w:rPr>
          <w:rFonts w:ascii="Times New Roman;serif" w:hAnsi="Times New Roman;serif"/>
          <w:b w:val="false"/>
          <w:sz w:val="20"/>
          <w:u w:val="single"/>
        </w:rPr>
        <w:t>Change in Control</w:t>
      </w:r>
      <w:r>
        <w:rPr>
          <w:rFonts w:ascii="Times New Roman" w:hAnsi="Times New Roman"/>
          <w:sz w:val="20"/>
        </w:rPr>
        <w:t xml:space="preserve">” </w:t>
      </w:r>
      <w:r>
        <w:rPr>
          <w:rFonts w:ascii="Times New Roman;serif" w:hAnsi="Times New Roman;serif"/>
          <w:b w:val="false"/>
          <w:sz w:val="20"/>
        </w:rPr>
        <w:t>means (a) the failure of Holdings, directly or indirectly through wholly-owned subsidiaries that are Guarantors (including, for the avoidance of doubt, through wholly-owned subsidiaries that are subsidiaries of the Borrower), to own all of the Equity Interests in the Borrower, (b) prior to an IPO, the failure by the Permitted Holders to, directly or indirectly through one or more holding companies, beneficially own Voting Equity Interests in Holdings representing at least a majority of the aggregate votes entitled to vote for the election of directors of Holdings, unless the Permitted Holders otherwise have the right (pursuant to contract, proxy or otherwise), directly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or indirectly, to designate, nominate or appoint (and do so designate, nominate or appoint) directors of Holdings having a majority of the aggregate votes on the Board of Directors of Holdings, (c) after an IPO, the acquisition of beneficial ownership by any Person or group, other than the Permitted Holders (or any holding company parent of Holdings owned directly or indirectly by the Permitted Holders), of Equity Interests representing 40% or more of the aggregate votes entitled to vote for the election of directors of Holdings having a majority of the aggregate votes on the Board of Directors of Holdings and the aggregate number of votes for the election of such directors of the Equity Interests beneficially owned by such Person or group is greater than the aggregate number of votes for the election of such directors represented by the Equity Interests beneficially owned by the Permitted Holders, unless the Permitted Holders otherwise have the right (pursuant to contract, proxy or otherwise), directly or indirectly, to designate, nominate or appoint (and do so designate, nominate or appoint) directors of Holdings having a majority of the aggregate votes on the Board of Directors of Holdings, or (d) the occurrence of a “Change in Control” (or similar term), as defined in the documentation governing the Second Lien Credit Agreement (and any Permitted Refinancing thereof that constitutes Material Indebtedness).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on the date hereof, (ii)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 (iii) if any group includes one or more Permitted Holders, the issued and outstanding Equity Interests of Holdings, directly or indirectly owned by the Permitted Holders that are part of such group shall not be treated as being beneficially owned by such group or any other member of such group for purposes of clauses (b) and (c) of this definition, (iv)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and (v) a Person or group will not be deemed to beneficially own the Equity Interests of another Person as a result of its ownership of Equity Interests or other securities of such other Person’s parent (or related contractual rights) unless it owns 50% or more of the total voting power of the Equity Interests entitled to vote for the election of directors of such Person’s parent having a majority of the aggregate votes on the Board of Directors of such Person’s parent.</w:t>
      </w:r>
    </w:p>
    <w:p>
      <w:pPr>
        <w:pStyle w:val="TextBody"/>
        <w:bidi w:val="0"/>
        <w:spacing w:before="240" w:after="0"/>
        <w:jc w:val="both"/>
        <w:rPr/>
      </w:pPr>
      <w:r>
        <w:rPr/>
        <w:t>“</w:t>
      </w:r>
      <w:r>
        <w:rPr>
          <w:rFonts w:ascii="Times New Roman;serif" w:hAnsi="Times New Roman;serif"/>
          <w:b w:val="false"/>
          <w:sz w:val="20"/>
          <w:u w:val="single"/>
        </w:rPr>
        <w:t>Change in Law</w:t>
      </w:r>
      <w:r>
        <w:rPr>
          <w:rFonts w:ascii="Times New Roman" w:hAnsi="Times New Roman"/>
          <w:sz w:val="20"/>
        </w:rPr>
        <w:t xml:space="preserve">” </w:t>
      </w:r>
      <w:r>
        <w:rPr>
          <w:rFonts w:ascii="Times New Roman;serif" w:hAnsi="Times New Roman;serif"/>
          <w:b w:val="false"/>
          <w:sz w:val="20"/>
        </w:rPr>
        <w:t xml:space="preserve">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notwithstanding anything herein to the contrary, (i) any requests, rules, guidelines or directives under the Dodd-Frank Wall Street Reform and Consumer Protection Act of 2010 or issued in connection therewith and (ii) any requests, rules, guidelines or directives promulgated by the Bank for International Settlements, the Basel Committee on Banking Supervision (or any successor or similar authority) or the United States or foreign regulatory authorities, in each case pursuant to Basel III, in each case shall be deemed to be a “Change in Law,” to the extent enacted, adopted, promulgated or issued after the date of this Agreement, but only to the extent such rules, regulations, or published interpretations or directives are applied to Holdings and its Subsidiaries by the Administrative Agent or any Lender in substantially the same manner as applied to other similarly situated borrowers under comparable syndicated credit facilities, including, without limitation, for purposes of </w:t>
      </w:r>
      <w:r>
        <w:rPr>
          <w:rFonts w:ascii="Times New Roman;serif" w:hAnsi="Times New Roman;serif"/>
          <w:b w:val="false"/>
          <w:sz w:val="20"/>
          <w:u w:val="single"/>
        </w:rPr>
        <w:t>Section 2.15</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Class</w:t>
      </w:r>
      <w:r>
        <w:rPr>
          <w:rFonts w:ascii="Times New Roman" w:hAnsi="Times New Roman"/>
          <w:sz w:val="20"/>
        </w:rPr>
        <w:t xml:space="preserve">” </w:t>
      </w:r>
      <w:r>
        <w:rPr>
          <w:rFonts w:ascii="Times New Roman;serif" w:hAnsi="Times New Roman;serif"/>
          <w:b w:val="false"/>
          <w:sz w:val="20"/>
        </w:rPr>
        <w:t>when used in reference to (a) any Loan or Borrowing, refers to whether such Loan, or the Loans comprising such Borrowing, are Revolving Loans, Incremental Revolving Loans, Other Revolving Loans, Term Loans, Incremental Term Loans or Other Term Loans, (b) any Commitment, refers to whether such Commitment is a Revolving Commitment, Other Revolving Commitment, Additional/Replacement Revolving Commitment, Term Commitment, commitment in respect of Incremental Term Loans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commitments in respect of Incremental Term Loans and Incremental Term Loans that have different terms and conditions shall be construed to be in different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Classes. Notwithstanding anything herein to the contrary (i) the First Additional Term Loans shall be deemed to be of the same Class as the Term B-1 Loans and (ii) the 2021 Additional Revolving Commitments shall be deemed to be of the same Class as the 2021 Revolving Commitments.</w:t>
      </w:r>
    </w:p>
    <w:p>
      <w:pPr>
        <w:pStyle w:val="TextBody"/>
        <w:bidi w:val="0"/>
        <w:spacing w:before="240" w:after="0"/>
        <w:jc w:val="left"/>
        <w:rPr/>
      </w:pPr>
      <w:r>
        <w:rPr>
          <w:u w:val="single"/>
        </w:rPr>
        <w:t>“</w:t>
      </w:r>
      <w:r>
        <w:rPr>
          <w:rFonts w:ascii="Times New Roman;serif" w:hAnsi="Times New Roman;serif"/>
          <w:b w:val="false"/>
          <w:sz w:val="20"/>
          <w:u w:val="single"/>
        </w:rPr>
        <w:t>CME” means CME Group Benchmark Administration Limited.</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Code</w:t>
      </w:r>
      <w:r>
        <w:rPr>
          <w:rFonts w:ascii="Times New Roman" w:hAnsi="Times New Roman"/>
          <w:sz w:val="20"/>
        </w:rPr>
        <w:t xml:space="preserve">” </w:t>
      </w:r>
      <w:r>
        <w:rPr>
          <w:rFonts w:ascii="Times New Roman;serif" w:hAnsi="Times New Roman;serif"/>
          <w:b w:val="false"/>
          <w:sz w:val="20"/>
        </w:rPr>
        <w:t>means the Internal Revenue Code of 1986, as amended from time to time.</w:t>
      </w:r>
    </w:p>
    <w:p>
      <w:pPr>
        <w:pStyle w:val="TextBody"/>
        <w:bidi w:val="0"/>
        <w:spacing w:before="240" w:after="0"/>
        <w:jc w:val="left"/>
        <w:rPr/>
      </w:pPr>
      <w:r>
        <w:rPr/>
        <w:t>“</w:t>
      </w:r>
      <w:r>
        <w:rPr>
          <w:rFonts w:ascii="Times New Roman;serif" w:hAnsi="Times New Roman;serif"/>
          <w:b w:val="false"/>
          <w:sz w:val="20"/>
          <w:u w:val="single"/>
        </w:rPr>
        <w:t>Collateral</w:t>
      </w:r>
      <w:r>
        <w:rPr>
          <w:rFonts w:ascii="Times New Roman" w:hAnsi="Times New Roman"/>
          <w:sz w:val="20"/>
        </w:rPr>
        <w:t xml:space="preserve">” </w:t>
      </w:r>
      <w:r>
        <w:rPr>
          <w:rFonts w:ascii="Times New Roman;serif" w:hAnsi="Times New Roman;serif"/>
          <w:b w:val="false"/>
          <w:sz w:val="20"/>
        </w:rPr>
        <w:t>means any and all assets, whether real or personal, tangible or intangible, on which Liens are purported to be granted pursuant to the Security Documents as security for the Secured Obligations.</w:t>
      </w:r>
    </w:p>
    <w:p>
      <w:pPr>
        <w:pStyle w:val="TextBody"/>
        <w:bidi w:val="0"/>
        <w:spacing w:before="240" w:after="0"/>
        <w:jc w:val="left"/>
        <w:rPr/>
      </w:pPr>
      <w:r>
        <w:rPr/>
        <w:t>“</w:t>
      </w:r>
      <w:r>
        <w:rPr>
          <w:rFonts w:ascii="Times New Roman;serif" w:hAnsi="Times New Roman;serif"/>
          <w:b w:val="false"/>
          <w:sz w:val="20"/>
          <w:u w:val="single"/>
        </w:rPr>
        <w:t>Collateral Agent</w:t>
      </w:r>
      <w:r>
        <w:rPr>
          <w:rFonts w:ascii="Times New Roman" w:hAnsi="Times New Roman"/>
          <w:sz w:val="20"/>
        </w:rPr>
        <w:t xml:space="preserve">” </w:t>
      </w:r>
      <w:r>
        <w:rPr>
          <w:rFonts w:ascii="Times New Roman;serif" w:hAnsi="Times New Roman;serif"/>
          <w:b w:val="false"/>
          <w:sz w:val="20"/>
        </w:rPr>
        <w:t>has the meaning assigned in the Collateral Agreement.</w:t>
      </w:r>
    </w:p>
    <w:p>
      <w:pPr>
        <w:pStyle w:val="TextBody"/>
        <w:bidi w:val="0"/>
        <w:spacing w:before="240" w:after="0"/>
        <w:jc w:val="left"/>
        <w:rPr/>
      </w:pPr>
      <w:r>
        <w:rPr/>
        <w:t>“</w:t>
      </w:r>
      <w:r>
        <w:rPr>
          <w:rFonts w:ascii="Times New Roman;serif" w:hAnsi="Times New Roman;serif"/>
          <w:b w:val="false"/>
          <w:sz w:val="20"/>
          <w:u w:val="single"/>
        </w:rPr>
        <w:t>Collateral Agreement</w:t>
      </w:r>
      <w:r>
        <w:rPr>
          <w:rFonts w:ascii="Times New Roman" w:hAnsi="Times New Roman"/>
          <w:sz w:val="20"/>
        </w:rPr>
        <w:t xml:space="preserve">” </w:t>
      </w:r>
      <w:r>
        <w:rPr>
          <w:rFonts w:ascii="Times New Roman;serif" w:hAnsi="Times New Roman;serif"/>
          <w:b w:val="false"/>
          <w:sz w:val="20"/>
        </w:rPr>
        <w:t xml:space="preserve">means the First Lien Collateral Agreement among Holdings, the Borrower, each other Loan Party and the Collateral Agent, substantially in the form of </w:t>
      </w:r>
      <w:r>
        <w:rPr>
          <w:rFonts w:ascii="Times New Roman;serif" w:hAnsi="Times New Roman;serif"/>
          <w:b w:val="false"/>
          <w:sz w:val="20"/>
          <w:u w:val="single"/>
        </w:rPr>
        <w:t>Exhibit D</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Collateral and Guarantee Requirement</w:t>
      </w:r>
      <w:r>
        <w:rPr>
          <w:rFonts w:ascii="Times New Roman" w:hAnsi="Times New Roman"/>
          <w:sz w:val="20"/>
        </w:rPr>
        <w:t xml:space="preserve">” </w:t>
      </w:r>
      <w:r>
        <w:rPr>
          <w:rFonts w:ascii="Times New Roman;serif" w:hAnsi="Times New Roman;serif"/>
          <w:b w:val="false"/>
          <w:sz w:val="20"/>
        </w:rPr>
        <w:t>means, at any time, the requirement that: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pPr>
      <w:r>
        <w:rPr>
          <w:rFonts w:ascii="Times New Roman;serif" w:hAnsi="Times New Roman;serif"/>
          <w:b w:val="false"/>
          <w:sz w:val="20"/>
        </w:rPr>
        <w:t xml:space="preserve">the Administrative Agent shall have received from (i) Holdings, the Borrower and each Domestic Subsidiary (other than an Excluded Subsidiary) either (x) a counterpart of the Guarantee Agreement duly executed and delivered on behalf of such Person or (y) in the case of any Person that becomes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a Loan Party after the Effective Date (including by ceasing to be an Excluded Subsidiary), a supplement to the Collateral Agreement, in the form specified therein, duly executed and delivered on behalf of such Person, in each case under this clause (a) together with, in the case of any such Loan Documents executed and delivered after the Effective Date, documents of the type referred to in </w:t>
      </w:r>
      <w:r>
        <w:rPr>
          <w:rFonts w:ascii="Times New Roman;serif" w:hAnsi="Times New Roman;serif"/>
          <w:b w:val="false"/>
          <w:sz w:val="20"/>
          <w:u w:val="single"/>
        </w:rPr>
        <w:t>Section 4.01(c)</w:t>
      </w:r>
      <w:r>
        <w:rPr>
          <w:rFonts w:ascii="Times New Roman;serif" w:hAnsi="Times New Roman;serif"/>
          <w:b w:val="false"/>
          <w:sz w:val="20"/>
        </w:rPr>
        <w:t xml:space="preserve">, and, to the extent reasonably requested by the Collateral Agent, opinions of the type referred to in </w:t>
      </w:r>
      <w:r>
        <w:rPr>
          <w:rFonts w:ascii="Times New Roman;serif" w:hAnsi="Times New Roman;serif"/>
          <w:b w:val="false"/>
          <w:sz w:val="20"/>
          <w:u w:val="single"/>
        </w:rPr>
        <w:t>Section 4.01(b)</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outstanding Equity Interests of the Borrower and the Restricted Subsidiaries (other than any Equity Interests constituting Excluded Assets or Equity Interests of any Immaterial Subsidiary that is not a Loan Party) owned by or on behalf of any Loan Party shall have been pledged pursuant to the Collateral Agreement (and the Collateral Agent shall have received certificates or other instruments representing all such Equity Interests (if any), together with undated stock powers or other instruments of transfer with respect thereto endorsed in blank);</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any Indebtedness for borrowed money of Holdings, the Borrower or any Subsidiary in a principal amount of $10,000,000 or more is owing by such obligor to any Loan Party, such Indebtedness shall be evidenced by a promissory note and such promissory note shall have been pledged pursuant to the Collateral Agreement (and, to the extent required by the Collateral Agreement, the Collateral Agent shall have received all such promissory notes, together with undated instruments of transfer with respect thereto endorsed in blank);</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all certificates, agreements, documents and instruments, including Uniform Commercial Code financing statements, required by the Security Documents, Requirements of Law and reasonably requested by the Collateral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Collateral Agent for filing, registration or recording;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283"/>
        <w:jc w:val="both"/>
        <w:rPr/>
      </w:pPr>
      <w:r>
        <w:rPr>
          <w:rFonts w:ascii="Times New Roman;serif" w:hAnsi="Times New Roman;serif"/>
          <w:b w:val="false"/>
          <w:sz w:val="20"/>
        </w:rPr>
        <w:t xml:space="preserve">the Collateral Agent shall have received (i) counterparts of a Mortgage with respect to each Mortgaged Property duly executed and delivered by the record owner of such Mortgaged Property, (ii) a policy or policies of title insurance (or marked unconditional commitment to issue such policy or policies) in the amount equal to not less than 100% (or such lesser amount as reasonably agreed to by the Collateral Agent) of the Fair Market Value of such Mortgaged Property, as reasonably determined by the Borrower and agreed to by the Collateral Agent, issued by a nationally recognized title insurance company insuring the Lien of each such Mortgage as a first priority Lien on the Mortgaged Property described therein, free of any other Liens except as expressly permitted by </w:t>
      </w:r>
      <w:r>
        <w:rPr>
          <w:rFonts w:ascii="Times New Roman;serif" w:hAnsi="Times New Roman;serif"/>
          <w:b w:val="false"/>
          <w:sz w:val="20"/>
          <w:u w:val="single"/>
        </w:rPr>
        <w:t>Section 6.02</w:t>
      </w:r>
      <w:r>
        <w:rPr>
          <w:rFonts w:ascii="Times New Roman;serif" w:hAnsi="Times New Roman;serif"/>
          <w:b w:val="false"/>
          <w:sz w:val="20"/>
        </w:rPr>
        <w:t>, together with such endorsements (other than a creditor’s rights endorsement), as the Collateral Agent may reasonably request to the extent available in the applicable jurisdiction at commercially reasonable rates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in lieu of a zoning endorsement the Collateral Agent shall accept a zoning letter), (iii) such affidavits and “gap” indemnifications as are customarily requested by the title company to induce the title company to issue the title policies and endorsements contemplated above, (iv) a survey of each Mortgaged Property (other than any Mortgaged Property to the extent comprised of condominiums and to the extent the same cannot be surveyed) in such form as shall be required by the title company to issue the so-called comprehensive and other survey-related endorsements and to remove the standard survey exceptions from the title policies and endorsements contemplated above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a survey shall not be required to the extent that the issuer of the applicable title insurance policy provides reasonable and customary survey-related coverages (including, without limitation, survey-related endorsements) in the applicable title insurance policy based on an existing survey and/or such other documentation as may be reasonably satisfactory to the title insurer), (v) completed “Life-of-Loan” Federal Emergency Management Agency (“</w:t>
      </w:r>
      <w:r>
        <w:rPr>
          <w:rFonts w:ascii="Times New Roman;serif" w:hAnsi="Times New Roman;serif"/>
          <w:b w:val="false"/>
          <w:sz w:val="20"/>
          <w:u w:val="single"/>
        </w:rPr>
        <w:t>FEMA</w:t>
      </w:r>
      <w:r>
        <w:rPr/>
        <w:t>”</w:t>
      </w:r>
      <w:r>
        <w:rPr>
          <w:rFonts w:ascii="Times New Roman;serif" w:hAnsi="Times New Roman;serif"/>
          <w:b w:val="false"/>
          <w:sz w:val="20"/>
        </w:rPr>
        <w:t xml:space="preserve">)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 if any improved Mortgaged Property is located in an area determined by FEMA to have special flood hazards, evidence of such flood insurance as may be required under applicable law, including Regulation H of the Board of Governors and the other Flood Insurance Laws and as required under </w:t>
      </w:r>
      <w:r>
        <w:rPr>
          <w:rFonts w:ascii="Times New Roman;serif" w:hAnsi="Times New Roman;serif"/>
          <w:b w:val="false"/>
          <w:sz w:val="20"/>
          <w:u w:val="single"/>
        </w:rPr>
        <w:t>Section 5.07</w:t>
      </w:r>
      <w:r>
        <w:rPr>
          <w:rFonts w:ascii="Times New Roman;serif" w:hAnsi="Times New Roman;serif"/>
          <w:b w:val="false"/>
          <w:sz w:val="20"/>
        </w:rPr>
        <w:t>, and (vii) such customary legal opinions as the Collateral Agent may reasonably request with respect to any such Mortgage or Mortgaged Property.</w:t>
      </w:r>
    </w:p>
    <w:p>
      <w:pPr>
        <w:pStyle w:val="TextBody"/>
        <w:bidi w:val="0"/>
        <w:spacing w:before="240" w:after="0"/>
        <w:jc w:val="both"/>
        <w:rPr>
          <w:rFonts w:ascii="Times New Roman" w:hAnsi="Times New Roman"/>
          <w:sz w:val="20"/>
        </w:rPr>
      </w:pPr>
      <w:r>
        <w:rPr>
          <w:rFonts w:ascii="Times New Roman;serif" w:hAnsi="Times New Roman;serif"/>
          <w:b w:val="false"/>
          <w:sz w:val="20"/>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surveys, legal opinions or other deliverables with respect to, particular assets of the Loan Parties, or the provision of Guarantees by any Subsidiary, if, and for so long as and to the extent that the Administrative Agent and the Borrower reasonably agree in writing that the cost of creating or perfecting such pledges or security interests in such assets, or obtaining such title insurance, surveys, legal opinions or other deliverables in respect of such assets, or providing such Guarantees (taking into account any material adverse Tax consequences to Holdings and its Subsidiaries (including the imposition of withholding or other material Taxes)), shall be excessive in relation to the benefits to be obtained by the Lenders therefrom, (b) Liens required to be granted from time to time pursuant to the term “Collateral and Guarantee Requirement” shall be subject to exceptions and limitations set forth in the Security Documents as in effect on the Effective Date, (c) in no event shall control agreements or other control or similar arrangements be required with respect to deposit accounts, securities accounts, commodities accounts or other assets specifically requiring perfection by control agreements (other than certificated securities), (d) no perfection actions shall be required with respect to Vehicles and other assets subject to certificates of title, (e) no perfection actions shall be required with respect to commercial tort claims with a value less than $10,000,000 and no perfection shall be required with respect to promissory notes evidencing debt for borrowed money in a principal amount of less than $10,000,000, (f) no actions in any non-U.S. jurisdiction or required by the laws of any non-U.S. jurisdiction shall be required to be taken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(g) no actions shall be required to perfect a security interest in letter of credit rights (other than the filing of UCC financing statements), (h) no Loan Party shall be required to deliver or obtain any landlord lien waivers, estoppel certificates or collateral access agreements or letters and (i) in no event shall the Collateral include any Excluded Assets. The Collateral Agent may grant extensions of time or waivers for the creation and perfection of security interests in or the obtaining of title insurance, surveys, legal opinions or other deliverables with respect to particular assets or the provision of any Guarantee by any Subsidiary (including extensions beyond the Effective Date or in connection with assets acquired,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pStyle w:val="TextBody"/>
        <w:bidi w:val="0"/>
        <w:spacing w:before="240" w:after="0"/>
        <w:jc w:val="both"/>
        <w:rPr/>
      </w:pPr>
      <w:r>
        <w:rPr/>
        <w:t>“</w:t>
      </w:r>
      <w:r>
        <w:rPr>
          <w:rFonts w:ascii="Times New Roman;serif" w:hAnsi="Times New Roman;serif"/>
          <w:b w:val="false"/>
          <w:sz w:val="20"/>
          <w:u w:val="single"/>
        </w:rPr>
        <w:t>Commitment</w:t>
      </w:r>
      <w:r>
        <w:rPr>
          <w:rFonts w:ascii="Times New Roman" w:hAnsi="Times New Roman"/>
          <w:sz w:val="20"/>
        </w:rPr>
        <w:t xml:space="preserve">” </w:t>
      </w:r>
      <w:r>
        <w:rPr>
          <w:rFonts w:ascii="Times New Roman;serif" w:hAnsi="Times New Roman;serif"/>
          <w:b w:val="false"/>
          <w:sz w:val="20"/>
        </w:rPr>
        <w:t>means with respect to any Lender, its Revolving Commitment, Other Revolving Commitment of any Class, Term Commitment of any Class, commitment in respect of Incremental Term Loans and Other Term Commitment of any Class or any combination thereof (as the context requires).</w:t>
      </w:r>
    </w:p>
    <w:p>
      <w:pPr>
        <w:pStyle w:val="TextBody"/>
        <w:bidi w:val="0"/>
        <w:spacing w:before="240" w:after="0"/>
        <w:jc w:val="both"/>
        <w:rPr/>
      </w:pPr>
      <w:r>
        <w:rPr/>
        <w:t>“</w:t>
      </w:r>
      <w:r>
        <w:rPr>
          <w:rFonts w:ascii="Times New Roman;serif" w:hAnsi="Times New Roman;serif"/>
          <w:b w:val="false"/>
          <w:sz w:val="20"/>
          <w:u w:val="single"/>
        </w:rPr>
        <w:t>Commodity Exchange Act</w:t>
      </w:r>
      <w:r>
        <w:rPr>
          <w:rFonts w:ascii="Times New Roman" w:hAnsi="Times New Roman"/>
          <w:sz w:val="20"/>
        </w:rPr>
        <w:t xml:space="preserve">” </w:t>
      </w:r>
      <w:r>
        <w:rPr>
          <w:rFonts w:ascii="Times New Roman;serif" w:hAnsi="Times New Roman;serif"/>
          <w:b w:val="false"/>
          <w:sz w:val="20"/>
        </w:rPr>
        <w:t>means the Commodity Exchange Act (7 U.S.C. § 1 et seq.), as amended from time to time, and any successor statute.</w:t>
      </w:r>
    </w:p>
    <w:p>
      <w:pPr>
        <w:pStyle w:val="TextBody"/>
        <w:bidi w:val="0"/>
        <w:spacing w:before="240" w:after="0"/>
        <w:jc w:val="left"/>
        <w:rPr/>
      </w:pPr>
      <w:r>
        <w:rPr/>
        <w:t>“</w:t>
      </w:r>
      <w:r>
        <w:rPr>
          <w:rFonts w:ascii="Times New Roman;serif" w:hAnsi="Times New Roman;serif"/>
          <w:b w:val="false"/>
          <w:sz w:val="20"/>
          <w:u w:val="single"/>
        </w:rPr>
        <w:t>Company Materials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5.01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Compliance Certificate</w:t>
      </w:r>
      <w:r>
        <w:rPr>
          <w:rFonts w:ascii="Times New Roman" w:hAnsi="Times New Roman"/>
          <w:sz w:val="20"/>
        </w:rPr>
        <w:t xml:space="preserve">” </w:t>
      </w:r>
      <w:r>
        <w:rPr>
          <w:rFonts w:ascii="Times New Roman;serif" w:hAnsi="Times New Roman;serif"/>
          <w:b w:val="false"/>
          <w:sz w:val="20"/>
        </w:rPr>
        <w:t xml:space="preserve">means a certificate of a Financial Officer required to be delivered pursuant to </w:t>
      </w:r>
      <w:r>
        <w:rPr>
          <w:rFonts w:ascii="Times New Roman;serif" w:hAnsi="Times New Roman;serif"/>
          <w:b w:val="false"/>
          <w:sz w:val="20"/>
          <w:u w:val="single"/>
        </w:rPr>
        <w:t>Section 5.01(d)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Conforming</w:t>
      </w:r>
      <w:r>
        <w:rPr>
          <w:rFonts w:ascii="Times New Roman" w:hAnsi="Times New Roman"/>
          <w:sz w:val="20"/>
        </w:rPr>
        <w:t xml:space="preserve"> </w:t>
      </w:r>
      <w:r>
        <w:rPr>
          <w:rFonts w:ascii="Times New Roman;serif" w:hAnsi="Times New Roman;serif"/>
          <w:b w:val="false"/>
          <w:sz w:val="20"/>
          <w:u w:val="single"/>
        </w:rPr>
        <w:t>Changes” means, with respect to the use, administration of or any conventions associated with</w:t>
      </w:r>
      <w:r>
        <w:rPr>
          <w:rFonts w:ascii="Times New Roman" w:hAnsi="Times New Roman"/>
          <w:sz w:val="20"/>
        </w:rPr>
        <w:t xml:space="preserve"> </w:t>
      </w:r>
      <w:r>
        <w:rPr>
          <w:rFonts w:ascii="Times New Roman;serif" w:hAnsi="Times New Roman;serif"/>
          <w:b w:val="false"/>
          <w:sz w:val="20"/>
          <w:u w:val="single"/>
        </w:rPr>
        <w:t>SOFR or any proposed Successor Rate or Term SOFR, as applicable, any conforming changes to the definitions of</w:t>
      </w:r>
      <w:r>
        <w:rPr>
          <w:rFonts w:ascii="Times New Roman" w:hAnsi="Times New Roman"/>
          <w:sz w:val="20"/>
        </w:rPr>
        <w:t xml:space="preserve"> </w:t>
      </w:r>
      <w:r>
        <w:rPr>
          <w:rFonts w:ascii="Times New Roman" w:hAnsi="Times New Roman"/>
          <w:sz w:val="20"/>
          <w:u w:val="single"/>
        </w:rPr>
        <w:t>“</w:t>
      </w:r>
      <w:r>
        <w:rPr>
          <w:rFonts w:ascii="Times New Roman;serif" w:hAnsi="Times New Roman;serif"/>
          <w:b w:val="false"/>
          <w:sz w:val="20"/>
          <w:u w:val="single"/>
        </w:rPr>
        <w:t>Alternate Base Rate”, “Adjusted Term SOFR”, “SOFR”, “Term SOFR” and “Interest Period”, timing and frequency</w:t>
      </w:r>
      <w:r>
        <w:rPr>
          <w:rFonts w:ascii="Times New Roman" w:hAnsi="Times New Roman"/>
          <w:sz w:val="20"/>
        </w:rPr>
        <w:t xml:space="preserve"> </w:t>
      </w:r>
      <w:r>
        <w:rPr>
          <w:rFonts w:ascii="Times New Roman;serif" w:hAnsi="Times New Roman;serif"/>
          <w:b w:val="false"/>
          <w:sz w:val="20"/>
          <w:u w:val="single"/>
        </w:rPr>
        <w:t>of determining rates and making payments of interest and other technical, administrative or operational matters</w:t>
      </w:r>
      <w:r>
        <w:rPr>
          <w:rFonts w:ascii="Times New Roman" w:hAnsi="Times New Roman"/>
          <w:sz w:val="20"/>
        </w:rPr>
        <w:t xml:space="preserve"> </w:t>
      </w:r>
      <w:r>
        <w:rPr>
          <w:rFonts w:ascii="Times New Roman;serif" w:hAnsi="Times New Roman;serif"/>
          <w:b w:val="false"/>
          <w:sz w:val="20"/>
          <w:u w:val="single"/>
        </w:rPr>
        <w:t>(including,</w:t>
      </w:r>
      <w:r>
        <w:rPr>
          <w:rFonts w:ascii="Times New Roman" w:hAnsi="Times New Roman"/>
          <w:sz w:val="20"/>
        </w:rPr>
        <w:t xml:space="preserve"> </w:t>
      </w:r>
      <w:r>
        <w:rPr>
          <w:rFonts w:ascii="Times New Roman;serif" w:hAnsi="Times New Roman;serif"/>
          <w:b w:val="false"/>
          <w:sz w:val="20"/>
          <w:u w:val="single"/>
        </w:rPr>
        <w:t>for the avoidance of doubt, the definitions of “Business Day” and “U.S. Government Securities Business</w:t>
      </w:r>
      <w:r>
        <w:rPr>
          <w:rFonts w:ascii="Times New Roman" w:hAnsi="Times New Roman"/>
          <w:sz w:val="20"/>
        </w:rPr>
        <w:t xml:space="preserve"> </w:t>
      </w:r>
      <w:r>
        <w:rPr>
          <w:rFonts w:ascii="Times New Roman;serif" w:hAnsi="Times New Roman;serif"/>
          <w:b w:val="false"/>
          <w:sz w:val="20"/>
          <w:u w:val="single"/>
        </w:rPr>
        <w:t>Day”, timing of borrowing requests or prepayment, conversion or continuation notices and length of lookback</w:t>
      </w:r>
      <w:r>
        <w:rPr>
          <w:rFonts w:ascii="Times New Roman" w:hAnsi="Times New Roman"/>
          <w:sz w:val="20"/>
        </w:rPr>
        <w:t xml:space="preserve"> </w:t>
      </w:r>
      <w:r>
        <w:rPr>
          <w:rFonts w:ascii="Times New Roman;serif" w:hAnsi="Times New Roman;serif"/>
          <w:b w:val="false"/>
          <w:sz w:val="20"/>
          <w:u w:val="single"/>
        </w:rPr>
        <w:t>periods) as may be appropriate, in the discretion of the Administrative Agent, to reflect the adoption and</w:t>
      </w:r>
      <w:r>
        <w:rPr>
          <w:rFonts w:ascii="Times New Roman" w:hAnsi="Times New Roman"/>
          <w:sz w:val="20"/>
        </w:rPr>
        <w:t xml:space="preserve"> </w:t>
      </w:r>
      <w:r>
        <w:rPr>
          <w:rFonts w:ascii="Times New Roman;serif" w:hAnsi="Times New Roman;serif"/>
          <w:b w:val="false"/>
          <w:sz w:val="20"/>
          <w:u w:val="single"/>
        </w:rPr>
        <w:t>implementation</w:t>
      </w:r>
      <w:r>
        <w:rPr>
          <w:rFonts w:ascii="Times New Roman" w:hAnsi="Times New Roman"/>
          <w:sz w:val="20"/>
        </w:rPr>
        <w:t xml:space="preserve"> </w:t>
      </w:r>
      <w:r>
        <w:rPr>
          <w:rFonts w:ascii="Times New Roman;serif" w:hAnsi="Times New Roman;serif"/>
          <w:b w:val="false"/>
          <w:sz w:val="20"/>
          <w:u w:val="single"/>
        </w:rPr>
        <w:t>of such applicable rate(s) and to permit the administration thereof by the Administrative Agent in a</w:t>
      </w:r>
      <w:r>
        <w:rPr>
          <w:rFonts w:ascii="Times New Roman" w:hAnsi="Times New Roman"/>
          <w:sz w:val="20"/>
        </w:rPr>
        <w:t xml:space="preserve"> </w:t>
      </w:r>
      <w:r>
        <w:rPr>
          <w:rFonts w:ascii="Times New Roman;serif" w:hAnsi="Times New Roman;serif"/>
          <w:b w:val="false"/>
          <w:sz w:val="20"/>
          <w:u w:val="single"/>
        </w:rPr>
        <w:t>manner substantially consistent with market practice (or, if the Administrative Agent determines that adoption of any</w:t>
      </w:r>
      <w:r>
        <w:rPr>
          <w:rFonts w:ascii="Times New Roman" w:hAnsi="Times New Roman"/>
          <w:sz w:val="20"/>
        </w:rPr>
        <w:t xml:space="preserve"> </w:t>
      </w:r>
      <w:r>
        <w:rPr>
          <w:rFonts w:ascii="Times New Roman;serif" w:hAnsi="Times New Roman;serif"/>
          <w:b w:val="false"/>
          <w:sz w:val="20"/>
          <w:u w:val="single"/>
        </w:rPr>
        <w:t>portion</w:t>
      </w:r>
      <w:r>
        <w:rPr>
          <w:rFonts w:ascii="Times New Roman" w:hAnsi="Times New Roman"/>
          <w:sz w:val="20"/>
        </w:rPr>
        <w:t xml:space="preserve"> </w:t>
      </w:r>
      <w:r>
        <w:rPr>
          <w:rFonts w:ascii="Times New Roman;serif" w:hAnsi="Times New Roman;serif"/>
          <w:b w:val="false"/>
          <w:sz w:val="20"/>
          <w:u w:val="single"/>
        </w:rPr>
        <w:t>of such market practice is not administratively feasible or that no market practice for the administration of</w:t>
      </w:r>
      <w:r>
        <w:rPr>
          <w:rFonts w:ascii="Times New Roman" w:hAnsi="Times New Roman"/>
          <w:sz w:val="20"/>
        </w:rPr>
        <w:t xml:space="preserve"> </w:t>
      </w:r>
      <w:r>
        <w:rPr>
          <w:rFonts w:ascii="Times New Roman;serif" w:hAnsi="Times New Roman;serif"/>
          <w:b w:val="false"/>
          <w:sz w:val="20"/>
          <w:u w:val="single"/>
        </w:rPr>
        <w:t>such rate exists, in such other manner of administration as the Administrative Agent determines is reasonably</w:t>
      </w:r>
      <w:r>
        <w:rPr>
          <w:rFonts w:ascii="Times New Roman" w:hAnsi="Times New Roman"/>
          <w:sz w:val="20"/>
        </w:rPr>
        <w:t xml:space="preserve"> </w:t>
      </w:r>
      <w:r>
        <w:rPr>
          <w:rFonts w:ascii="Times New Roman;serif" w:hAnsi="Times New Roman;serif"/>
          <w:b w:val="false"/>
          <w:sz w:val="20"/>
          <w:u w:val="single"/>
        </w:rPr>
        <w:t>necessary in connection with the administration of this Agreement and any other Loan Document).</w:t>
      </w:r>
    </w:p>
    <w:p>
      <w:pPr>
        <w:pStyle w:val="TextBody"/>
        <w:bidi w:val="0"/>
        <w:spacing w:before="240" w:after="0"/>
        <w:jc w:val="left"/>
        <w:rPr/>
      </w:pPr>
      <w:r>
        <w:rPr/>
        <w:t>“</w:t>
      </w:r>
      <w:r>
        <w:rPr>
          <w:rFonts w:ascii="Times New Roman;serif" w:hAnsi="Times New Roman;serif"/>
          <w:b w:val="false"/>
          <w:sz w:val="20"/>
          <w:u w:val="single"/>
        </w:rPr>
        <w:t>Consolidated EBITDA</w:t>
      </w:r>
      <w:r>
        <w:rPr>
          <w:rFonts w:ascii="Times New Roman" w:hAnsi="Times New Roman"/>
          <w:sz w:val="20"/>
        </w:rPr>
        <w:t xml:space="preserve">” </w:t>
      </w:r>
      <w:r>
        <w:rPr>
          <w:rFonts w:ascii="Times New Roman;serif" w:hAnsi="Times New Roman;serif"/>
          <w:b w:val="false"/>
          <w:sz w:val="20"/>
        </w:rPr>
        <w:t xml:space="preserve">means, for any period, Consolidated Net Income for such period, </w:t>
      </w:r>
      <w:r>
        <w:rPr>
          <w:rFonts w:ascii="Times New Roman;serif" w:hAnsi="Times New Roman;serif"/>
          <w:b w:val="false"/>
          <w:sz w:val="20"/>
          <w:u w:val="single"/>
        </w:rPr>
        <w:t>plus</w:t>
      </w:r>
      <w:r>
        <w:rPr>
          <w:rFonts w:ascii="Times New Roman;serif" w:hAnsi="Times New Roman;serif"/>
          <w:b w:val="false"/>
          <w:sz w:val="20"/>
        </w:rPr>
        <w:t>:</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without duplication and to the extent already deducted (and not added back) in arriving at such Consolidated Net Income, the sum of the following amounts for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and costs of surety bonds in connection with financing activities, together with items excluded from the definition of “Consolidated Interest Expense” pursuant to clauses (i) through (xi)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283"/>
        <w:jc w:val="both"/>
        <w:rPr/>
      </w:pPr>
      <w:r>
        <w:rPr>
          <w:rFonts w:ascii="Times New Roman;serif" w:hAnsi="Times New Roman;serif"/>
          <w:b w:val="false"/>
          <w:sz w:val="20"/>
        </w:rPr>
        <w:t xml:space="preserve">provision for taxes based on income, profits, revenue or capital, including federal, foreign, state, local and provincial income, franchise, excise, value added and similar taxes based on income, profits, revenue, gross receipts or capital and foreign withholding taxes paid or accrued during such period (including in respect of repatriated funds) including penalties and interest related to such taxes or arising from any tax examinations and (without duplication) any payments to a Parent Entity pursuant to </w:t>
      </w:r>
      <w:r>
        <w:rPr>
          <w:rFonts w:ascii="Times New Roman;serif" w:hAnsi="Times New Roman;serif"/>
          <w:b w:val="false"/>
          <w:sz w:val="20"/>
          <w:u w:val="single"/>
        </w:rPr>
        <w:t>Section 6.08(a)(vii)</w:t>
      </w:r>
      <w:r>
        <w:rPr/>
        <w:t xml:space="preserve"> </w:t>
      </w:r>
      <w:r>
        <w:rPr>
          <w:rFonts w:ascii="Times New Roman;serif" w:hAnsi="Times New Roman;serif"/>
          <w:b w:val="false"/>
          <w:sz w:val="20"/>
        </w:rPr>
        <w:t>in respect of taxes,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depreciation and amortization (including amortization of Capitalized Software Expenditures, customer acquisition costs, contract acquisition costs, internal labor costs and amortization of deferred financing fees and accelerated and other deferred financing costs, OID or other capitalized costs),</w:t>
      </w:r>
    </w:p>
    <w:p>
      <w:pPr>
        <w:pStyle w:val="TextBody"/>
        <w:bidi w:val="0"/>
        <w:spacing w:before="240" w:after="0"/>
        <w:jc w:val="both"/>
        <w:rPr>
          <w:rFonts w:ascii="Times New Roman" w:hAnsi="Times New Roman"/>
          <w:b w:val="false"/>
          <w:sz w:val="20"/>
        </w:rPr>
      </w:pPr>
      <w:r>
        <w:rPr>
          <w:rFonts w:ascii="Times New Roman" w:hAnsi="Times New Roman"/>
          <w:b w:val="false"/>
          <w:sz w:val="20"/>
        </w:rPr>
        <w:t>(iv)</w:t>
      </w:r>
    </w:p>
    <w:p>
      <w:pPr>
        <w:pStyle w:val="TextBody"/>
        <w:bidi w:val="0"/>
        <w:spacing w:before="240" w:after="0"/>
        <w:jc w:val="both"/>
        <w:rPr/>
      </w:pPr>
      <w:r>
        <w:rPr>
          <w:rFonts w:ascii="Times New Roman;serif" w:hAnsi="Times New Roman;serif"/>
          <w:b w:val="false"/>
          <w:sz w:val="20"/>
        </w:rPr>
        <w:t>other non-cash charges (other than any accrual in respect of bonuses) (</w:t>
      </w:r>
      <w:r>
        <w:rPr>
          <w:rFonts w:ascii="Times New Roman;serif" w:hAnsi="Times New Roman;serif"/>
          <w:b w:val="false"/>
          <w:sz w:val="20"/>
          <w:u w:val="single"/>
        </w:rPr>
        <w:t>provided</w:t>
      </w:r>
      <w:r>
        <w:rPr>
          <w:rFonts w:ascii="Times New Roman;serif" w:hAnsi="Times New Roman;serif"/>
          <w:b w:val="false"/>
          <w:sz w:val="20"/>
        </w:rPr>
        <w:t>, in each case, that if any non-cash charges represent an accrual or reserve for potential cash items in any future period, (A) such Person may elect not to add back such non-cash charges in the current period and (B) to the extent such Person elects to add back such non-cash charges in the current period, the cash payment in respect thereof in such future period shall be subtracted from Consolidated EBITDA to such extent, and excluding amortization of a prepaid cash item that was paid in a prior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(v)</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amount of any non-controlling interest consisting of income attributable to non-controlling interests of third parties in any non-wholly-owned subsidiary deducted (and not added back in such period to Consolidated Net Income) excluding cash distributions in respect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(vi)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the amount of management, monitoring, consulting and advisory fees, indemnities and related expenses paid or accrued in such period to (or on behalf of) the Sponsor or any other Permitted Holder (including any termination fees payable in connection with the early termination of management and monitoring agreements), (B) the amount of payments made to option, phantom equity or profits interest holders of Holdings or any of its direct or indirect parent companies in connection with, or as a result of, any distribution being made to shareholders of such person or its direct or indirect parent companies, which payments are being made to compensate such option, phantom equity or profits interest holders as though they were shareholders at the time of, and entitled to share in, such distribution, including any cash consideration for any repurchase of equity, in each case to the extent permitted in the Loan Documents and (C) the amount of fees, expenses and indemnities paid to directors, including of Holdings or any direct or indirect parent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(vii)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losses or discounts on sales of receivables and related assets in connection with any Permitted Receivables Financing,</w:t>
      </w:r>
    </w:p>
    <w:p>
      <w:pPr>
        <w:pStyle w:val="TextBody"/>
        <w:bidi w:val="0"/>
        <w:spacing w:before="240" w:after="0"/>
        <w:jc w:val="both"/>
        <w:rPr>
          <w:rFonts w:ascii="Times New Roman" w:hAnsi="Times New Roman"/>
          <w:b w:val="false"/>
          <w:sz w:val="20"/>
        </w:rPr>
      </w:pPr>
      <w:r>
        <w:rPr>
          <w:rFonts w:ascii="Times New Roman" w:hAnsi="Times New Roman"/>
          <w:b w:val="false"/>
          <w:sz w:val="20"/>
        </w:rPr>
        <w:t>(viii)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cash receipts (or any netting arrangements resulting in reduced cash expenditures) not included in the calculation of Consolidated Net Income in any period to the extent non-cash gains relating to such income were deducted in the calculation of Consolidated EBITDA pursuant to paragraph (c) below for any previous period and not added back,</w:t>
      </w:r>
    </w:p>
    <w:p>
      <w:pPr>
        <w:pStyle w:val="TextBody"/>
        <w:bidi w:val="0"/>
        <w:spacing w:before="240" w:after="0"/>
        <w:jc w:val="both"/>
        <w:rPr>
          <w:rFonts w:ascii="Times New Roman" w:hAnsi="Times New Roman"/>
          <w:b w:val="false"/>
          <w:sz w:val="20"/>
        </w:rPr>
      </w:pPr>
      <w:r>
        <w:rPr>
          <w:rFonts w:ascii="Times New Roman" w:hAnsi="Times New Roman"/>
          <w:b w:val="false"/>
          <w:sz w:val="20"/>
        </w:rPr>
        <w:t>(ix)</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costs or expenses incurred by Holdings, the Borrower or any Restricted Subsidiary pursuant to any management equity plan or stock option or phantom equity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pStyle w:val="TextBody"/>
        <w:bidi w:val="0"/>
        <w:spacing w:before="240" w:after="0"/>
        <w:jc w:val="both"/>
        <w:rPr>
          <w:rFonts w:ascii="Times New Roman" w:hAnsi="Times New Roman"/>
          <w:b w:val="false"/>
          <w:sz w:val="20"/>
        </w:rPr>
      </w:pPr>
      <w:r>
        <w:rPr>
          <w:rFonts w:ascii="Times New Roman" w:hAnsi="Times New Roman"/>
          <w:b w:val="false"/>
          <w:sz w:val="20"/>
        </w:rPr>
        <w:t>(x)</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pStyle w:val="TextBody"/>
        <w:bidi w:val="0"/>
        <w:spacing w:before="240" w:after="0"/>
        <w:jc w:val="both"/>
        <w:rPr>
          <w:rFonts w:ascii="Times New Roman" w:hAnsi="Times New Roman"/>
          <w:b w:val="false"/>
          <w:sz w:val="20"/>
        </w:rPr>
      </w:pPr>
      <w:r>
        <w:rPr>
          <w:rFonts w:ascii="Times New Roman" w:hAnsi="Times New Roman"/>
          <w:b w:val="false"/>
          <w:sz w:val="20"/>
        </w:rPr>
        <w:t>(xi)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expenses consisting of internal software development costs that are expensed but could have been capitalized under alternative accounting policies in accordance with GAAP,</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(xii)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costs associated with, or in anticipation of, or preparation for, compliance with the requirements of Sarbanes-Oxley Act of 2002 and the rules and regulations promulgated in connection therewith and other Public Company Costs,</w:t>
      </w:r>
    </w:p>
    <w:p>
      <w:pPr>
        <w:pStyle w:val="TextBody"/>
        <w:bidi w:val="0"/>
        <w:spacing w:before="240" w:after="0"/>
        <w:jc w:val="both"/>
        <w:rPr>
          <w:rFonts w:ascii="Times New Roman" w:hAnsi="Times New Roman"/>
          <w:b w:val="false"/>
          <w:sz w:val="20"/>
        </w:rPr>
      </w:pPr>
      <w:r>
        <w:rPr>
          <w:rFonts w:ascii="Times New Roman" w:hAnsi="Times New Roman"/>
          <w:b w:val="false"/>
          <w:sz w:val="20"/>
        </w:rPr>
        <w:t>(xiii)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other add backs and adjustments reflected in a quality of earnings report provided by a “big four” accounting firm with respect to any Permitted Acquisition or other Investment (including, for the avoidance of doubt, add backs and adjustments of the same type in future periods),</w:t>
      </w:r>
    </w:p>
    <w:p>
      <w:pPr>
        <w:pStyle w:val="TextBody"/>
        <w:bidi w:val="0"/>
        <w:spacing w:before="240" w:after="0"/>
        <w:jc w:val="both"/>
        <w:rPr>
          <w:rFonts w:ascii="Times New Roman" w:hAnsi="Times New Roman"/>
          <w:b w:val="false"/>
          <w:sz w:val="20"/>
        </w:rPr>
      </w:pPr>
      <w:r>
        <w:rPr>
          <w:rFonts w:ascii="Times New Roman" w:hAnsi="Times New Roman"/>
          <w:b w:val="false"/>
          <w:sz w:val="20"/>
        </w:rPr>
        <w:t>(xiii)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expenses reimbursed in cash during such period by non-Affiliate third parties (other than Holdings, the Borrower or any of its Subsidiaries), and</w:t>
      </w:r>
    </w:p>
    <w:p>
      <w:pPr>
        <w:pStyle w:val="TextBody"/>
        <w:bidi w:val="0"/>
        <w:spacing w:before="240" w:after="0"/>
        <w:jc w:val="both"/>
        <w:rPr>
          <w:rFonts w:ascii="Times New Roman" w:hAnsi="Times New Roman"/>
          <w:b w:val="false"/>
          <w:sz w:val="20"/>
        </w:rPr>
      </w:pPr>
      <w:r>
        <w:rPr>
          <w:rFonts w:ascii="Times New Roman" w:hAnsi="Times New Roman"/>
          <w:b w:val="false"/>
          <w:sz w:val="20"/>
        </w:rPr>
        <w:t>(xiv)</w:t>
      </w:r>
    </w:p>
    <w:p>
      <w:pPr>
        <w:pStyle w:val="TextBody"/>
        <w:bidi w:val="0"/>
        <w:spacing w:before="240" w:after="283"/>
        <w:jc w:val="both"/>
        <w:rPr/>
      </w:pPr>
      <w:r>
        <w:rPr>
          <w:rFonts w:ascii="Times New Roman;serif" w:hAnsi="Times New Roman;serif"/>
          <w:b w:val="false"/>
          <w:sz w:val="20"/>
        </w:rPr>
        <w:t xml:space="preserve">revenue of the Borrower and its Subsidiaries arising from the operation of the Work Opportunity Tax Credit legislation (as if such legislation was approved on January 1 of the fiscal year to which such revenue relates);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aggregate amount added to Consolidated EBITDA for such period pursuant to this clause (xiv) shall not exceed 2.0% of consolidated revenue for the Borrower and its Subsidiaries for such period,</w:t>
      </w:r>
    </w:p>
    <w:p>
      <w:pPr>
        <w:pStyle w:val="TextBody"/>
        <w:bidi w:val="0"/>
        <w:spacing w:before="240" w:after="0"/>
        <w:jc w:val="left"/>
        <w:rPr>
          <w:rFonts w:ascii="Times New Roman;serif" w:hAnsi="Times New Roman;serif"/>
          <w:b w:val="false"/>
          <w:sz w:val="20"/>
          <w:u w:val="single"/>
        </w:rPr>
      </w:pP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pPr>
      <w:r>
        <w:rPr>
          <w:rFonts w:ascii="Times New Roman;serif" w:hAnsi="Times New Roman;serif"/>
          <w:b w:val="false"/>
          <w:sz w:val="20"/>
        </w:rPr>
        <w:t>without duplication, the amount of “run rate” cost savings, operating expense reductions, revenue enhancements and synergies (including revenue synergies) (collectively, “</w:t>
      </w:r>
      <w:r>
        <w:rPr>
          <w:rFonts w:ascii="Times New Roman;serif" w:hAnsi="Times New Roman;serif"/>
          <w:b w:val="false"/>
          <w:sz w:val="20"/>
          <w:u w:val="single"/>
        </w:rPr>
        <w:t>Run Rate Benefits</w:t>
      </w:r>
      <w:r>
        <w:rPr/>
        <w:t>”</w:t>
      </w:r>
      <w:r>
        <w:rPr>
          <w:rFonts w:ascii="Times New Roman;serif" w:hAnsi="Times New Roman;serif"/>
          <w:b w:val="false"/>
          <w:sz w:val="20"/>
        </w:rPr>
        <w:t xml:space="preserve">) related to the Transactions, any Specified Transaction or any restructuring, cost saving initiative, new contract or other initiative projected by the Borrower in good faith to be realized as a result of actions that have been taken or initiated (including actions initiated prior to the Effective Date) or are expected to be taken or initiated (in the good faith determination of the Borrower) before, on or after the Effective Date, including any Run Rate Benefits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which Run Rate Benefits shall be added to Consolidated EBITDA until fully realized and calculated on a Pro Forma Basis as though such Run Rate Benefits had been realized on the first day of the relevant period, net of the amount of actual benefits realized from such actions; </w:t>
      </w:r>
      <w:r>
        <w:rPr>
          <w:rFonts w:ascii="Times New Roman;serif" w:hAnsi="Times New Roman;serif"/>
          <w:b w:val="false"/>
          <w:sz w:val="20"/>
          <w:u w:val="single"/>
        </w:rPr>
        <w:t>provided</w:t>
      </w:r>
      <w:r>
        <w:rPr/>
        <w:t xml:space="preserve"> </w:t>
      </w:r>
      <w:r>
        <w:rPr>
          <w:rFonts w:ascii="Times New Roman;serif" w:hAnsi="Times New Roman;serif"/>
          <w:b w:val="false"/>
          <w:sz w:val="20"/>
        </w:rPr>
        <w:t>that (A) such Run Rate Benefits are reasonably quantifiable and factually supportable, (B) no Run Rate Benefits shall be added pursuant to this clause (b) to the extent duplicative of any expenses or charges relating to such Run Rate Benefits that are included in clause (a) above (it being understood and agreed that “run rate” shall mean the full recurring benefit that is associated with any action taken) and (C) the share of any such Run Rate Benefits, expenses and charges with respect to a joint venture that are to be allocated to the Borrower or any of the Restricted Subsidiaries shall not exceed the total amount thereof for any such joint venture multiplied by the percentage of income of such venture expected to be included in Consolidated EBITDA for the relevant Test Period;</w:t>
      </w:r>
    </w:p>
    <w:p>
      <w:pPr>
        <w:pStyle w:val="TextBody"/>
        <w:bidi w:val="0"/>
        <w:spacing w:before="240" w:after="0"/>
        <w:jc w:val="left"/>
        <w:rPr>
          <w:rFonts w:ascii="Times New Roman;serif" w:hAnsi="Times New Roman;serif"/>
          <w:b w:val="false"/>
          <w:sz w:val="20"/>
          <w:u w:val="single"/>
        </w:rPr>
      </w:pPr>
      <w:r>
        <w:rPr>
          <w:rFonts w:ascii="Times New Roman;serif" w:hAnsi="Times New Roman;serif"/>
          <w:b w:val="false"/>
          <w:sz w:val="20"/>
          <w:u w:val="single"/>
        </w:rPr>
        <w:t>plus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excess (if positive) of (i) the full pro forma amount of “run rate” expected contributions to Consolidated EBITDA of new contracts entered into during such period, assuming such contracts were entered into and effective for the entire period, over (ii) the contribution to Consolidated EBITDA of contracts terminated during such period;</w:t>
      </w:r>
    </w:p>
    <w:p>
      <w:pPr>
        <w:pStyle w:val="TextBody"/>
        <w:bidi w:val="0"/>
        <w:spacing w:before="240" w:after="0"/>
        <w:jc w:val="left"/>
        <w:rPr>
          <w:rFonts w:ascii="Times New Roman;serif" w:hAnsi="Times New Roman;serif"/>
          <w:b w:val="false"/>
          <w:sz w:val="20"/>
          <w:u w:val="single"/>
        </w:rPr>
      </w:pPr>
      <w:r>
        <w:rPr>
          <w:rFonts w:ascii="Times New Roman;serif" w:hAnsi="Times New Roman;serif"/>
          <w:b w:val="false"/>
          <w:sz w:val="20"/>
          <w:u w:val="single"/>
        </w:rPr>
        <w:t>less</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without duplication and to the extent included in arriving at such Consolidated Net Income, the sum of the following amounts for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non-cash gains (excluding any non-cash gain to the extent it represents the reversal of an accrual or reserve for a potential cash item that reduced Consolidated Net Income or Consolidated EBITDA in any prior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amount of any non-controlling interest consisting of loss attributable to non-controlling interests of third parties in any non-wholly-owned subsidiary added (and not deducted in such period from Consolidated Net Income),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in each case, as determined on a consolidated basis for the Borrower and the Restricted Subsidiaries in accordance with GAAP;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0"/>
        <w:jc w:val="both"/>
        <w:rPr/>
      </w:pPr>
      <w:r>
        <w:rPr>
          <w:rFonts w:ascii="Times New Roman;serif" w:hAnsi="Times New Roman;serif"/>
          <w:b w:val="false"/>
          <w:sz w:val="20"/>
        </w:rPr>
        <w:t>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“Acquired Entity or Business”), and the Acquired EBITDA of any Unrestricted Subsidiary that is converted into a Restricted Subsidiary during such period (each, a “</w:t>
      </w:r>
      <w:r>
        <w:rPr>
          <w:rFonts w:ascii="Times New Roman;serif" w:hAnsi="Times New Roman;serif"/>
          <w:b w:val="false"/>
          <w:sz w:val="20"/>
          <w:u w:val="single"/>
        </w:rPr>
        <w:t>Converted Restricted</w:t>
      </w:r>
      <w:r>
        <w:rPr/>
        <w:t xml:space="preserve"> </w:t>
      </w:r>
      <w:r>
        <w:rPr>
          <w:rFonts w:ascii="Times New Roman;serif" w:hAnsi="Times New Roman;serif"/>
          <w:b w:val="false"/>
          <w:sz w:val="20"/>
          <w:u w:val="single"/>
        </w:rPr>
        <w:t>Subsidiary</w:t>
      </w:r>
      <w:r>
        <w:rPr/>
        <w:t>”</w:t>
      </w:r>
      <w:r>
        <w:rPr>
          <w:rFonts w:ascii="Times New Roman;serif" w:hAnsi="Times New Roman;serif"/>
          <w:b w:val="false"/>
          <w:sz w:val="20"/>
        </w:rPr>
        <w:t>), in each case based on the Acquired EBITDA of such Pro Forma Entity for such period (including the portion thereof occurring prior to such acquisition or conversion) determined on a historical Pro Forma Basis, and</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283"/>
        <w:jc w:val="both"/>
        <w:rPr/>
      </w:pPr>
      <w:r>
        <w:rPr>
          <w:rFonts w:ascii="Times New Roman;serif" w:hAnsi="Times New Roman;serif"/>
          <w:b w:val="false"/>
          <w:sz w:val="20"/>
        </w:rPr>
        <w:t>there shall be (A)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at the Borrower’s election only when and to the extent such operations are actually disposed of) (each such Person, property, business or asset so sold, transferred or otherwise disposed of, closed or classified, a “</w:t>
      </w:r>
      <w:r>
        <w:rPr>
          <w:rFonts w:ascii="Times New Roman;serif" w:hAnsi="Times New Roman;serif"/>
          <w:b w:val="false"/>
          <w:sz w:val="20"/>
          <w:u w:val="single"/>
        </w:rPr>
        <w:t>Sold Entity or Business</w:t>
      </w:r>
      <w:r>
        <w:rPr/>
        <w:t>”</w:t>
      </w:r>
      <w:r>
        <w:rPr>
          <w:rFonts w:ascii="Times New Roman;serif" w:hAnsi="Times New Roman;serif"/>
          <w:b w:val="false"/>
          <w:sz w:val="20"/>
        </w:rPr>
        <w:t>), and the Disposed EBITDA of any Restricted Subsidiary that is converted into an Unrestricted Subsidiary during such period (each, a “</w:t>
      </w:r>
      <w:r>
        <w:rPr>
          <w:rFonts w:ascii="Times New Roman;serif" w:hAnsi="Times New Roman;serif"/>
          <w:b w:val="false"/>
          <w:sz w:val="20"/>
          <w:u w:val="single"/>
        </w:rPr>
        <w:t>Converted Unrestricted Subsidiary</w:t>
      </w:r>
      <w:r>
        <w:rPr/>
        <w:t>”</w:t>
      </w:r>
      <w:r>
        <w:rPr>
          <w:rFonts w:ascii="Times New Roman;serif" w:hAnsi="Times New Roman;serif"/>
          <w:b w:val="false"/>
          <w:sz w:val="20"/>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Administrative Agent (for further delivery to the Lenders).</w:t>
      </w:r>
    </w:p>
    <w:p>
      <w:pPr>
        <w:pStyle w:val="TextBody"/>
        <w:bidi w:val="0"/>
        <w:spacing w:before="240" w:after="0"/>
        <w:jc w:val="both"/>
        <w:rPr/>
      </w:pPr>
      <w:r>
        <w:rPr/>
        <w:t>“</w:t>
      </w:r>
      <w:r>
        <w:rPr>
          <w:rFonts w:ascii="Times New Roman;serif" w:hAnsi="Times New Roman;serif"/>
          <w:b w:val="false"/>
          <w:sz w:val="20"/>
          <w:u w:val="single"/>
        </w:rPr>
        <w:t>Consolidated First Lien Debt</w:t>
      </w:r>
      <w:r>
        <w:rPr>
          <w:rFonts w:ascii="Times New Roman" w:hAnsi="Times New Roman"/>
          <w:sz w:val="20"/>
        </w:rPr>
        <w:t xml:space="preserve">” </w:t>
      </w:r>
      <w:r>
        <w:rPr>
          <w:rFonts w:ascii="Times New Roman;serif" w:hAnsi="Times New Roman;serif"/>
          <w:b w:val="false"/>
          <w:sz w:val="20"/>
        </w:rPr>
        <w:t xml:space="preserve">means, as of any date of determination, (a) the amount of Consolidated Total Debt (including in respect of the Loans hereunder) that is secured by a Lien on a material portion of the Collateral that has the same or senior priority (but without regard to the control of remedies) as the Liens on the Collateral securing the Secured Obligations </w:t>
      </w:r>
      <w:r>
        <w:rPr>
          <w:rFonts w:ascii="Times New Roman;serif" w:hAnsi="Times New Roman;serif"/>
          <w:b w:val="false"/>
          <w:sz w:val="20"/>
          <w:u w:val="single"/>
        </w:rPr>
        <w:t>minus</w:t>
      </w:r>
      <w:r>
        <w:rPr>
          <w:rFonts w:ascii="Times New Roman" w:hAnsi="Times New Roman"/>
          <w:sz w:val="20"/>
        </w:rPr>
        <w:t xml:space="preserve"> </w:t>
      </w:r>
      <w:r>
        <w:rPr>
          <w:rFonts w:ascii="Times New Roman;serif" w:hAnsi="Times New Roman;serif"/>
          <w:b w:val="false"/>
          <w:sz w:val="20"/>
        </w:rPr>
        <w:t>(b) Available Cash.</w:t>
      </w:r>
    </w:p>
    <w:p>
      <w:pPr>
        <w:pStyle w:val="TextBody"/>
        <w:bidi w:val="0"/>
        <w:spacing w:before="240" w:after="0"/>
        <w:jc w:val="both"/>
        <w:rPr/>
      </w:pPr>
      <w:r>
        <w:rPr/>
        <w:t>“</w:t>
      </w:r>
      <w:r>
        <w:rPr>
          <w:rFonts w:ascii="Times New Roman;serif" w:hAnsi="Times New Roman;serif"/>
          <w:b w:val="false"/>
          <w:sz w:val="20"/>
          <w:u w:val="single"/>
        </w:rPr>
        <w:t>Consolidated Fixed Charges</w:t>
      </w:r>
      <w:r>
        <w:rPr>
          <w:rFonts w:ascii="Times New Roman" w:hAnsi="Times New Roman"/>
          <w:sz w:val="20"/>
        </w:rPr>
        <w:t xml:space="preserve">” </w:t>
      </w:r>
      <w:r>
        <w:rPr>
          <w:rFonts w:ascii="Times New Roman;serif" w:hAnsi="Times New Roman;serif"/>
          <w:b w:val="false"/>
          <w:sz w:val="20"/>
        </w:rPr>
        <w:t>means, with respect to the Borrower and the Restricted Subsidiaries, on a consolidated basis, for any period, the sum of (without duplication):</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Consolidated Interest Expense for such period,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cash dividend payments (excluding items eliminated in consolidation) on any series of preferred Equity Interests of such Persons made during such period, and</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all cash dividend payments (excluding items eliminated in consolidation) on any series of Disqualified Equity Interests of such Persons made during such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Consolidated Interest Expense</w:t>
      </w:r>
      <w:r>
        <w:rPr>
          <w:rFonts w:ascii="Times New Roman" w:hAnsi="Times New Roman"/>
          <w:sz w:val="20"/>
        </w:rPr>
        <w:t xml:space="preserve">” </w:t>
      </w:r>
      <w:r>
        <w:rPr>
          <w:rFonts w:ascii="Times New Roman;serif" w:hAnsi="Times New Roman;serif"/>
          <w:b w:val="false"/>
          <w:sz w:val="20"/>
        </w:rPr>
        <w:t xml:space="preserve">means the sum of (a)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non-cash interest expense resulting solely from (i) the amortization of original issue discount from the issuance of Indebtedness of the Borrower and the Restricted Subsidiaries (excluding Indebtedness borrowed in connection with the Transactions (and any Permitted Refinancing thereof)) at less than par and (ii) pay in kind interest expense of the Borrower and the Restricted Subsidiaries, plus (c) the amount of cash dividends or distributions made by the Borrower and the Restricted Subsidiaries in respect of JV Preferred Equity Interests and other preferred Equity Interests issued in accordance with </w:t>
      </w:r>
      <w:r>
        <w:rPr>
          <w:rFonts w:ascii="Times New Roman;serif" w:hAnsi="Times New Roman;serif"/>
          <w:b w:val="false"/>
          <w:sz w:val="20"/>
          <w:u w:val="single"/>
        </w:rPr>
        <w:t>Section 6.01(c)</w:t>
      </w:r>
      <w:r>
        <w:rPr>
          <w:rFonts w:ascii="Times New Roman;serif" w:hAnsi="Times New Roman;serif"/>
          <w:b w:val="false"/>
          <w:sz w:val="20"/>
        </w:rPr>
        <w:t>, but excluding, for the avoidance of doubt, (i) amortization of (A) deferred financing costs, debt issuance costs, commissions, fees and expenses and any other amounts of non-cash interest other than specifically referred to in clause (b) above (including as a result of the effects of acquisition method accounting or pushdown accounting) and (B) any costs or expenses incurred in connection with any amendment or modification of Indebtedness (whether or not consummated),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or currency, (iv) commissions, discounts, yield and other fees and charges (including any interest expense) incurred in connection with any Permitted Receivables Financing, (v) all non-recurring cash interest expense or “additional interest” for failure to timely comply with registration rights obligations, (vi) any interest expense attributable to the exercise of appraisal rights and the settlement of any claims or actions (whether actual, contingent or potential) with respect to the Transactions or any other Investment, all as calculated on a consolidated basis in accordance with GAAP, (vii) any payments with respect to make-whole premiums or other breakage costs of any Indebtedness, including, without limitation, any Indebtedness issued in connection with the Transactions, (viii) penalties and interest relating to taxes, (ix) accretion or accrual of discounted liabilities not constituting Indebtedness, (x) any interest expense attributable to a direct or indirect parent entity resulting from push down accounting and (xi) any expense resulting from the discounting of Indebtedness in connection with the application of recapitalization or purchase accounting.</w:t>
      </w:r>
    </w:p>
    <w:p>
      <w:pPr>
        <w:pStyle w:val="TextBody"/>
        <w:bidi w:val="0"/>
        <w:spacing w:before="240" w:after="0"/>
        <w:jc w:val="both"/>
        <w:rPr/>
      </w:pPr>
      <w:r>
        <w:rPr/>
        <w:t>“</w:t>
      </w:r>
      <w:r>
        <w:rPr>
          <w:rFonts w:ascii="Times New Roman;serif" w:hAnsi="Times New Roman;serif"/>
          <w:b w:val="false"/>
          <w:sz w:val="20"/>
          <w:u w:val="single"/>
        </w:rPr>
        <w:t>Consolidated Net Debt</w:t>
      </w:r>
      <w:r>
        <w:rPr>
          <w:rFonts w:ascii="Times New Roman" w:hAnsi="Times New Roman"/>
          <w:sz w:val="20"/>
        </w:rPr>
        <w:t xml:space="preserve">” </w:t>
      </w:r>
      <w:r>
        <w:rPr>
          <w:rFonts w:ascii="Times New Roman;serif" w:hAnsi="Times New Roman;serif"/>
          <w:b w:val="false"/>
          <w:sz w:val="20"/>
        </w:rPr>
        <w:t xml:space="preserve">means, as of any date of determination, (a) Consolidated Total Debt </w:t>
      </w:r>
      <w:r>
        <w:rPr>
          <w:rFonts w:ascii="Times New Roman;serif" w:hAnsi="Times New Roman;serif"/>
          <w:b w:val="false"/>
          <w:sz w:val="20"/>
          <w:u w:val="single"/>
        </w:rPr>
        <w:t>minus</w:t>
      </w:r>
      <w:r>
        <w:rPr>
          <w:rFonts w:ascii="Times New Roman" w:hAnsi="Times New Roman"/>
          <w:sz w:val="20"/>
        </w:rPr>
        <w:t xml:space="preserve"> </w:t>
      </w:r>
      <w:r>
        <w:rPr>
          <w:rFonts w:ascii="Times New Roman;serif" w:hAnsi="Times New Roman;serif"/>
          <w:b w:val="false"/>
          <w:sz w:val="20"/>
        </w:rPr>
        <w:t>(b) Available Cash.</w:t>
      </w:r>
    </w:p>
    <w:p>
      <w:pPr>
        <w:pStyle w:val="TextBody"/>
        <w:bidi w:val="0"/>
        <w:spacing w:before="240" w:after="0"/>
        <w:jc w:val="both"/>
        <w:rPr/>
      </w:pPr>
      <w:r>
        <w:rPr/>
        <w:t>“</w:t>
      </w:r>
      <w:r>
        <w:rPr>
          <w:rFonts w:ascii="Times New Roman;serif" w:hAnsi="Times New Roman;serif"/>
          <w:b w:val="false"/>
          <w:sz w:val="20"/>
          <w:u w:val="single"/>
        </w:rPr>
        <w:t>Consolidated Net Income</w:t>
      </w:r>
      <w:r>
        <w:rPr>
          <w:rFonts w:ascii="Times New Roman" w:hAnsi="Times New Roman"/>
          <w:sz w:val="20"/>
        </w:rPr>
        <w:t xml:space="preserve">” </w:t>
      </w:r>
      <w:r>
        <w:rPr>
          <w:rFonts w:ascii="Times New Roman;serif" w:hAnsi="Times New Roman;serif"/>
          <w:b w:val="false"/>
          <w:sz w:val="20"/>
        </w:rPr>
        <w:t>means, for any period, the net income (loss) of the Borrower and the Restricted Subsidiaries for such period determined on a consolidated basis in accordance with GAAP, excluding, without duplication:</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extraordinary, non-recurring or unusual gains or losses (less all fees and expenses relating thereto) or expenses (including extraordinary losses and unusual or non-recurring charges or expenses attributable to legal and judgment settlements and any unusual or non-recurring operating expenses directly attributable to the implementation of cost savings initiatives and any accruals or reserves in respect of any extraordinary, non-recurring or unusual items), severance, relocation costs, integration and facilities’ or offices’ opening costs, start-up costs and other business optimization and rationalization expenses (including related to new product introductions, the consolidation of technology platforms and other strategic or cost saving initiatives and any costs or expenses related or attributable to the commencement of a New Project and including any related employee hiring or retention costs or employee redundancy or termination costs), restructuring charges, accruals or reserves (including restructuring and integration costs related to acquisitions consummated prior to or after the Effective Date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branches, data centers and/or offices (including, without limitation, costs incurred in respect of leased premises, including related to build out and the relocation of personnel and equipment), lease breakage costs, internal costs in respect of strategic initiatives and curtailments or modifications to pension and post-retirement employee benefit plans (including any settlement of pension liabilities and charges resulting from changes in estimates, valuations and judgements thereof),</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cumulative effect of a change in accounting principles and changes as a result of the adoption or modification of accounting policies during such period to the extent included in Consolidated Net Income,</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Transaction Costs (including any charges associated with the rollover, acceleration or payout of Equity Interests (including any restricted stock units, options or similar equity-linked interests) held by management of the Borrower, the Target or any of their respective direct or indirect subsidiaries or parents in connection with the Transactions),</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pPr>
      <w:r>
        <w:rPr>
          <w:rFonts w:ascii="Times New Roman;serif" w:hAnsi="Times New Roman;serif"/>
          <w:b w:val="false"/>
          <w:sz w:val="20"/>
        </w:rPr>
        <w:t xml:space="preserve">the net income for such period of any Person that is an Unrestricted Subsidiary and any Person that is not a Subsidiary or that is accounted for by the equity method of accounting; </w:t>
      </w:r>
      <w:r>
        <w:rPr>
          <w:rFonts w:ascii="Times New Roman;serif" w:hAnsi="Times New Roman;serif"/>
          <w:b w:val="false"/>
          <w:sz w:val="20"/>
          <w:u w:val="single"/>
        </w:rPr>
        <w:t>provided</w:t>
      </w:r>
      <w:r>
        <w:rPr/>
        <w:t xml:space="preserve"> </w:t>
      </w:r>
      <w:r>
        <w:rPr>
          <w:rFonts w:ascii="Times New Roman;serif" w:hAnsi="Times New Roman;serif"/>
          <w:b w:val="false"/>
          <w:sz w:val="20"/>
        </w:rPr>
        <w:t>that Consolidated Net Income shall be increased by the amount of dividends or distributions or other payments that are actually paid in cash or Permitted Investments (or, if not paid in cash or Permitted Investments, but later converted into cash or Permitted Investments, upon such conversion) by such Person to the Borrower or a Restricted Subsidiary thereof during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fees and expenses (including any transaction or retention bonus or similar payment, any earnout, contingent consideration obligation or purchase price adjustment)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Effective Date and any such transaction undertaken but not completed and including any fees or legal expenses related to the on-going administration of any debt instrument)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income (loss) for such period attributable to the early extinguishment of Indebtedness, hedging agreements or other derivative instruments,</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accruals and reserves that are established or adjusted as a result of the Transactions in accordance with GAAP (including any adjustment of estimated payouts on existing earn-outs) or changes as a result of the adoption or modification of accounting policies during such period,</w:t>
      </w:r>
    </w:p>
    <w:p>
      <w:pPr>
        <w:pStyle w:val="TextBody"/>
        <w:bidi w:val="0"/>
        <w:spacing w:before="240" w:after="0"/>
        <w:jc w:val="left"/>
        <w:rPr>
          <w:rFonts w:ascii="Times New Roman" w:hAnsi="Times New Roman"/>
          <w:b w:val="false"/>
          <w:sz w:val="20"/>
        </w:rPr>
      </w:pPr>
      <w:r>
        <w:rPr>
          <w:rFonts w:ascii="Times New Roman" w:hAnsi="Times New Roman"/>
          <w:b w:val="false"/>
          <w:sz w:val="20"/>
        </w:rPr>
        <w:t>(h)</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Non-Cash Compensation Expenses,</w:t>
      </w:r>
    </w:p>
    <w:p>
      <w:pPr>
        <w:pStyle w:val="TextBody"/>
        <w:bidi w:val="0"/>
        <w:spacing w:before="240" w:after="0"/>
        <w:jc w:val="left"/>
        <w:rPr>
          <w:rFonts w:ascii="Times New Roman" w:hAnsi="Times New Roman"/>
          <w:b w:val="false"/>
          <w:sz w:val="20"/>
        </w:rPr>
      </w:pPr>
      <w:r>
        <w:rPr>
          <w:rFonts w:ascii="Times New Roman" w:hAnsi="Times New Roman"/>
          <w:b w:val="false"/>
          <w:sz w:val="20"/>
        </w:rPr>
        <w:t>(i)</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income (loss) attributable to deferred compensation plans or trusts,</w:t>
      </w:r>
    </w:p>
    <w:p>
      <w:pPr>
        <w:pStyle w:val="TextBody"/>
        <w:bidi w:val="0"/>
        <w:spacing w:before="240" w:after="0"/>
        <w:jc w:val="both"/>
        <w:rPr>
          <w:rFonts w:ascii="Times New Roman" w:hAnsi="Times New Roman"/>
          <w:b w:val="false"/>
          <w:sz w:val="20"/>
        </w:rPr>
      </w:pPr>
      <w:r>
        <w:rPr>
          <w:rFonts w:ascii="Times New Roman" w:hAnsi="Times New Roman"/>
          <w:b w:val="false"/>
          <w:sz w:val="20"/>
        </w:rPr>
        <w:t>(j)</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income (loss) from investments recorded using the equity method of accounting (but including any cash dividends or distributions actually received by the Borrower or any Restricted Subsidiary in respect of such investment),</w:t>
      </w:r>
    </w:p>
    <w:p>
      <w:pPr>
        <w:pStyle w:val="TextBody"/>
        <w:bidi w:val="0"/>
        <w:spacing w:before="240" w:after="0"/>
        <w:jc w:val="both"/>
        <w:rPr>
          <w:rFonts w:ascii="Times New Roman" w:hAnsi="Times New Roman"/>
          <w:b w:val="false"/>
          <w:sz w:val="20"/>
        </w:rPr>
      </w:pPr>
      <w:r>
        <w:rPr>
          <w:rFonts w:ascii="Times New Roman" w:hAnsi="Times New Roman"/>
          <w:b w:val="false"/>
          <w:sz w:val="20"/>
        </w:rPr>
        <w:t>(k)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at the election of the Borrower, only when and to the extent such operations are actually disposed of),</w:t>
      </w:r>
    </w:p>
    <w:p>
      <w:pPr>
        <w:pStyle w:val="TextBody"/>
        <w:bidi w:val="0"/>
        <w:spacing w:before="240" w:after="0"/>
        <w:jc w:val="both"/>
        <w:rPr>
          <w:rFonts w:ascii="Times New Roman" w:hAnsi="Times New Roman"/>
          <w:b w:val="false"/>
          <w:sz w:val="20"/>
        </w:rPr>
      </w:pPr>
      <w:r>
        <w:rPr>
          <w:rFonts w:ascii="Times New Roman" w:hAnsi="Times New Roman"/>
          <w:b w:val="false"/>
          <w:sz w:val="20"/>
        </w:rPr>
        <w:t>(l)</w:t>
      </w:r>
    </w:p>
    <w:p>
      <w:pPr>
        <w:pStyle w:val="TextBody"/>
        <w:bidi w:val="0"/>
        <w:spacing w:before="240" w:after="283"/>
        <w:jc w:val="both"/>
        <w:rPr/>
      </w:pPr>
      <w:r>
        <w:rPr>
          <w:rFonts w:ascii="Times New Roman;serif" w:hAnsi="Times New Roman;serif"/>
          <w:b w:val="false"/>
          <w:sz w:val="20"/>
        </w:rPr>
        <w:t xml:space="preserve">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in such Test Period;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cash payments or receipts relating to transactions realized in a given period shall be taken into account in such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(m)</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non-cash gain (loss) related to currency remeasurements of Indebtedness, net loss or gain resulting from hedging agreements for currency exchange risk and revaluations of intercompany balances and other balance sheet items,</w:t>
      </w:r>
    </w:p>
    <w:p>
      <w:pPr>
        <w:pStyle w:val="TextBody"/>
        <w:bidi w:val="0"/>
        <w:spacing w:before="240" w:after="0"/>
        <w:jc w:val="both"/>
        <w:rPr>
          <w:rFonts w:ascii="Times New Roman" w:hAnsi="Times New Roman"/>
          <w:b w:val="false"/>
          <w:sz w:val="20"/>
        </w:rPr>
      </w:pPr>
      <w:r>
        <w:rPr>
          <w:rFonts w:ascii="Times New Roman" w:hAnsi="Times New Roman"/>
          <w:b w:val="false"/>
          <w:sz w:val="20"/>
        </w:rPr>
        <w:t>(n)</w:t>
      </w:r>
    </w:p>
    <w:p>
      <w:pPr>
        <w:pStyle w:val="TextBody"/>
        <w:bidi w:val="0"/>
        <w:spacing w:before="240" w:after="0"/>
        <w:jc w:val="both"/>
        <w:rPr/>
      </w:pPr>
      <w:r>
        <w:rPr>
          <w:rFonts w:ascii="Times New Roman;serif" w:hAnsi="Times New Roman;serif"/>
          <w:b w:val="false"/>
          <w:sz w:val="20"/>
        </w:rPr>
        <w:t>any non-cash expenses, accruals or reserves related to adjustments to historical tax exposures (</w:t>
      </w:r>
      <w:r>
        <w:rPr>
          <w:rFonts w:ascii="Times New Roman;serif" w:hAnsi="Times New Roman;serif"/>
          <w:b w:val="false"/>
          <w:sz w:val="20"/>
          <w:u w:val="single"/>
        </w:rPr>
        <w:t>provided</w:t>
      </w:r>
      <w:r>
        <w:rPr>
          <w:rFonts w:ascii="Times New Roman;serif" w:hAnsi="Times New Roman;serif"/>
          <w:b w:val="false"/>
          <w:sz w:val="20"/>
        </w:rPr>
        <w:t>, in each case, that the cash payment in respect thereof in such future period shall be subtracted from Consolidated Net Income for the period in which such cash payment was made),</w:t>
      </w:r>
    </w:p>
    <w:p>
      <w:pPr>
        <w:pStyle w:val="TextBody"/>
        <w:bidi w:val="0"/>
        <w:spacing w:before="240" w:after="0"/>
        <w:jc w:val="both"/>
        <w:rPr>
          <w:rFonts w:ascii="Times New Roman" w:hAnsi="Times New Roman"/>
          <w:b w:val="false"/>
          <w:sz w:val="20"/>
        </w:rPr>
      </w:pPr>
      <w:r>
        <w:rPr>
          <w:rFonts w:ascii="Times New Roman" w:hAnsi="Times New Roman"/>
          <w:b w:val="false"/>
          <w:sz w:val="20"/>
        </w:rPr>
        <w:t>(o)</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impairment charge or asset write-off or write-down (including related to intangible assets (including goodwill), long-lived assets and investments in debt and equity securities), and</w:t>
      </w:r>
    </w:p>
    <w:p>
      <w:pPr>
        <w:pStyle w:val="TextBody"/>
        <w:bidi w:val="0"/>
        <w:spacing w:before="240" w:after="0"/>
        <w:jc w:val="both"/>
        <w:rPr>
          <w:rFonts w:ascii="Times New Roman" w:hAnsi="Times New Roman"/>
          <w:b w:val="false"/>
          <w:sz w:val="20"/>
        </w:rPr>
      </w:pPr>
      <w:r>
        <w:rPr>
          <w:rFonts w:ascii="Times New Roman" w:hAnsi="Times New Roman"/>
          <w:b w:val="false"/>
          <w:sz w:val="20"/>
        </w:rPr>
        <w:t>(p)</w:t>
      </w:r>
    </w:p>
    <w:p>
      <w:pPr>
        <w:pStyle w:val="TextBody"/>
        <w:bidi w:val="0"/>
        <w:spacing w:before="240" w:after="283"/>
        <w:jc w:val="both"/>
        <w:rPr/>
      </w:pPr>
      <w:r>
        <w:rPr>
          <w:rFonts w:ascii="Times New Roman;serif" w:hAnsi="Times New Roman;serif"/>
          <w:b w:val="false"/>
          <w:sz w:val="20"/>
        </w:rPr>
        <w:t xml:space="preserve">solely for the purpose of calculating the Available Amount,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serif" w:hAnsi="Times New Roman;serif"/>
          <w:b w:val="false"/>
          <w:sz w:val="20"/>
          <w:u w:val="single"/>
        </w:rPr>
        <w:t>provided</w:t>
      </w:r>
      <w:r>
        <w:rPr/>
        <w:t xml:space="preserve"> </w:t>
      </w:r>
      <w:r>
        <w:rPr>
          <w:rFonts w:ascii="Times New Roman;serif" w:hAnsi="Times New Roman;serif"/>
          <w:b w:val="false"/>
          <w:sz w:val="20"/>
        </w:rPr>
        <w:t>that Consolidated Net Income of the Borrower will be increased by the amount of dividends or other distributions or other payments actually paid in cash (or to the extent converted into cash) or Permitted Investments to the Borrower or a Restricted Subsidiary thereof in respect of such period, to the extent not already included therein.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the Borrower and the Restricted Subsidiaries), as a result of the Transactions, any acquisition or Investment consummated prior to the Effective Date and any Permitted Acquisitions or other Investment or the amortization or write-off of any amounts thereof.</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to the extent not already included in Consolidated Net Income, Consolidated Net Income shall include (i) the amount of proceeds received (or reasonably expected to be received) or due from business interruption insurance or reimbursement of expenses and charges that are covered by indemnification, insurance and other reimbursement provisions in connection with the Transactions, any acquisition or other Investment or any disposition of any asset permitted hereunder or that occurred prior to the Effective Date (net of any amount so included in any prior period to the extent not so received or reimbursed within a two-year period) and (ii) the amount of any cash tax benefits related to the tax amortization of intangible assets in such period.</w:t>
      </w:r>
    </w:p>
    <w:p>
      <w:pPr>
        <w:pStyle w:val="TextBody"/>
        <w:bidi w:val="0"/>
        <w:spacing w:before="240" w:after="0"/>
        <w:jc w:val="both"/>
        <w:rPr/>
      </w:pPr>
      <w:r>
        <w:rPr/>
        <w:t>“</w:t>
      </w:r>
      <w:r>
        <w:rPr>
          <w:rFonts w:ascii="Times New Roman;serif" w:hAnsi="Times New Roman;serif"/>
          <w:b w:val="false"/>
          <w:sz w:val="20"/>
          <w:u w:val="single"/>
        </w:rPr>
        <w:t>Consolidated Secured Debt</w:t>
      </w:r>
      <w:r>
        <w:rPr>
          <w:rFonts w:ascii="Times New Roman" w:hAnsi="Times New Roman"/>
          <w:sz w:val="20"/>
        </w:rPr>
        <w:t xml:space="preserve">” </w:t>
      </w:r>
      <w:r>
        <w:rPr>
          <w:rFonts w:ascii="Times New Roman;serif" w:hAnsi="Times New Roman;serif"/>
          <w:b w:val="false"/>
          <w:sz w:val="20"/>
        </w:rPr>
        <w:t xml:space="preserve">means, as of any date of determination, (a) Consolidated Total Debt that is secured by a Lien on a material portion of the Collateral </w:t>
      </w:r>
      <w:r>
        <w:rPr>
          <w:rFonts w:ascii="Times New Roman;serif" w:hAnsi="Times New Roman;serif"/>
          <w:b w:val="false"/>
          <w:sz w:val="20"/>
          <w:u w:val="single"/>
        </w:rPr>
        <w:t>minus</w:t>
      </w:r>
      <w:r>
        <w:rPr>
          <w:rFonts w:ascii="Times New Roman" w:hAnsi="Times New Roman"/>
          <w:sz w:val="20"/>
        </w:rPr>
        <w:t xml:space="preserve"> </w:t>
      </w:r>
      <w:r>
        <w:rPr>
          <w:rFonts w:ascii="Times New Roman;serif" w:hAnsi="Times New Roman;serif"/>
          <w:b w:val="false"/>
          <w:sz w:val="20"/>
        </w:rPr>
        <w:t>(b) Available Cash.</w:t>
      </w:r>
    </w:p>
    <w:p>
      <w:pPr>
        <w:pStyle w:val="TextBody"/>
        <w:bidi w:val="0"/>
        <w:spacing w:before="240" w:after="0"/>
        <w:jc w:val="both"/>
        <w:rPr/>
      </w:pPr>
      <w:r>
        <w:rPr/>
        <w:t>“</w:t>
      </w:r>
      <w:r>
        <w:rPr>
          <w:rFonts w:ascii="Times New Roman;serif" w:hAnsi="Times New Roman;serif"/>
          <w:b w:val="false"/>
          <w:sz w:val="20"/>
          <w:u w:val="single"/>
        </w:rPr>
        <w:t>Consolidated Total Assets</w:t>
      </w:r>
      <w:r>
        <w:rPr>
          <w:rFonts w:ascii="Times New Roman" w:hAnsi="Times New Roman"/>
          <w:sz w:val="20"/>
        </w:rPr>
        <w:t xml:space="preserve">” </w:t>
      </w:r>
      <w:r>
        <w:rPr>
          <w:rFonts w:ascii="Times New Roman;serif" w:hAnsi="Times New Roman;serif"/>
          <w:b w:val="false"/>
          <w:sz w:val="20"/>
        </w:rPr>
        <w:t>means, as at any date of determination, the amount that would be set forth opposite the caption “total assets” (or any like caption) on the most recent consolidated balance sheet of the Borrower and the Restricted Subsidiaries in accordance with GAAP.</w:t>
      </w:r>
    </w:p>
    <w:p>
      <w:pPr>
        <w:pStyle w:val="TextBody"/>
        <w:bidi w:val="0"/>
        <w:spacing w:before="240" w:after="0"/>
        <w:jc w:val="both"/>
        <w:rPr/>
      </w:pPr>
      <w:r>
        <w:rPr/>
        <w:t>“</w:t>
      </w:r>
      <w:r>
        <w:rPr>
          <w:rFonts w:ascii="Times New Roman;serif" w:hAnsi="Times New Roman;serif"/>
          <w:b w:val="false"/>
          <w:sz w:val="20"/>
          <w:u w:val="single"/>
        </w:rPr>
        <w:t>Consolidated Total Debt</w:t>
      </w:r>
      <w:r>
        <w:rPr>
          <w:rFonts w:ascii="Times New Roman" w:hAnsi="Times New Roman"/>
          <w:sz w:val="20"/>
        </w:rPr>
        <w:t xml:space="preserve">” </w:t>
      </w:r>
      <w:r>
        <w:rPr>
          <w:rFonts w:ascii="Times New Roman;serif" w:hAnsi="Times New Roman;serif"/>
          <w:b w:val="false"/>
          <w:sz w:val="20"/>
        </w:rPr>
        <w:t>means, as of any date of determination, the outstanding principal amount of all third party Indebtedness for borrowed money (including purchase money Indebtedness), unreimbursed drawings under letters of credit, Capital Lease Obligations, third party Indebtedness obligations evidenced by notes or similar instruments (and excluding, for the avoidance of doubt, Swap Obligations), in each case of the Borrower and the Restricted Subsidiaries on such date, on a consolidated basis and determined in accordance with GAAP (excluding, in any event, the effects of any discounting of Indebtedness resulting from the application of acquisition method or pushdown accounting in connection with the Transactions or any Permitted Acquisition or other Investment).</w:t>
      </w:r>
    </w:p>
    <w:p>
      <w:pPr>
        <w:pStyle w:val="TextBody"/>
        <w:bidi w:val="0"/>
        <w:spacing w:before="240" w:after="0"/>
        <w:jc w:val="both"/>
        <w:rPr/>
      </w:pPr>
      <w:r>
        <w:rPr/>
        <w:t>“</w:t>
      </w:r>
      <w:r>
        <w:rPr>
          <w:rFonts w:ascii="Times New Roman;serif" w:hAnsi="Times New Roman;serif"/>
          <w:b w:val="false"/>
          <w:sz w:val="20"/>
          <w:u w:val="single"/>
        </w:rPr>
        <w:t>Consolidated Working Capital</w:t>
      </w:r>
      <w:r>
        <w:rPr>
          <w:rFonts w:ascii="Times New Roman" w:hAnsi="Times New Roman"/>
          <w:sz w:val="20"/>
        </w:rPr>
        <w:t xml:space="preserve">” </w:t>
      </w:r>
      <w:r>
        <w:rPr>
          <w:rFonts w:ascii="Times New Roman;serif" w:hAnsi="Times New Roman;serif"/>
          <w:b w:val="false"/>
          <w:sz w:val="20"/>
        </w:rPr>
        <w:t>means, at any date, the excess of (a) the sum of all amounts (other than cash and Permitted Investments) that would, in conformity with GAAP, be set forth opposite the caption “total current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assets” (or any like caption) on a consolidated balance sheet of the Borrower and the Restricted Subsidiaries at such date, excluding the current portion of current and deferred income taxes over (b) the sum of all amounts that would, in conformity with GAAP, be set forth opposite the caption “total current liabilities” (or any like caption) on a consolidated balance sheet of the Borrower and the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for purposes of calculating Excess Cash Flow, increases or decreases in working capital (A) arising from acquisitions, dispositions or Unrestricted Subsidiary designations by the Borrower and the Restricted Subsidiaries shall be measured from the date on which such acquisition, disposition or Unrestricted Subsidiary designation occurred and not over the period in which Excess Cash Flow is calculated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other than as a result of the passage of time, in accordance with GAAP of assets or liabilities, as applicable, between current and noncurrent or (z) the effects of acquisition method accounting.</w:t>
      </w:r>
    </w:p>
    <w:p>
      <w:pPr>
        <w:pStyle w:val="TextBody"/>
        <w:bidi w:val="0"/>
        <w:spacing w:before="240" w:after="0"/>
        <w:jc w:val="both"/>
        <w:rPr/>
      </w:pPr>
      <w:r>
        <w:rPr/>
        <w:t>“</w:t>
      </w:r>
      <w:r>
        <w:rPr>
          <w:rFonts w:ascii="Times New Roman;serif" w:hAnsi="Times New Roman;serif"/>
          <w:b w:val="false"/>
          <w:sz w:val="20"/>
          <w:u w:val="single"/>
        </w:rPr>
        <w:t>Contract Consideration</w:t>
      </w:r>
      <w:r>
        <w:rPr>
          <w:rFonts w:ascii="Times New Roman" w:hAnsi="Times New Roman"/>
          <w:sz w:val="20"/>
        </w:rPr>
        <w:t xml:space="preserve">” </w:t>
      </w:r>
      <w:r>
        <w:rPr>
          <w:rFonts w:ascii="Times New Roman;serif" w:hAnsi="Times New Roman;serif"/>
          <w:b w:val="false"/>
          <w:sz w:val="20"/>
        </w:rPr>
        <w:t>has the meaning assigned to such term in the definition of the term “ECF Deductions”.</w:t>
      </w:r>
    </w:p>
    <w:p>
      <w:pPr>
        <w:pStyle w:val="TextBody"/>
        <w:bidi w:val="0"/>
        <w:spacing w:before="240" w:after="0"/>
        <w:jc w:val="both"/>
        <w:rPr/>
      </w:pPr>
      <w:r>
        <w:rPr/>
        <w:t>“</w:t>
      </w:r>
      <w:r>
        <w:rPr>
          <w:rFonts w:ascii="Times New Roman;serif" w:hAnsi="Times New Roman;serif"/>
          <w:b w:val="false"/>
          <w:sz w:val="20"/>
          <w:u w:val="single"/>
        </w:rPr>
        <w:t>Control</w:t>
      </w:r>
      <w:r>
        <w:rPr>
          <w:rFonts w:ascii="Times New Roman" w:hAnsi="Times New Roman"/>
          <w:sz w:val="20"/>
        </w:rPr>
        <w:t xml:space="preserve">” </w:t>
      </w:r>
      <w:r>
        <w:rPr>
          <w:rFonts w:ascii="Times New Roman;serif" w:hAnsi="Times New Roman;serif"/>
          <w:b w:val="false"/>
          <w:sz w:val="20"/>
        </w:rPr>
        <w:t>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serif" w:hAnsi="Times New Roman;serif"/>
          <w:b w:val="false"/>
          <w:sz w:val="20"/>
          <w:u w:val="single"/>
        </w:rPr>
        <w:t>Controlling</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sz w:val="20"/>
          <w:u w:val="single"/>
        </w:rPr>
        <w:t>Controlled</w:t>
      </w:r>
      <w:r>
        <w:rPr>
          <w:rFonts w:ascii="Times New Roman" w:hAnsi="Times New Roman"/>
          <w:sz w:val="20"/>
        </w:rPr>
        <w:t xml:space="preserve">” </w:t>
      </w:r>
      <w:r>
        <w:rPr>
          <w:rFonts w:ascii="Times New Roman;serif" w:hAnsi="Times New Roman;serif"/>
          <w:b w:val="false"/>
          <w:sz w:val="20"/>
        </w:rPr>
        <w:t>have meanings correlative thereto.</w:t>
      </w:r>
    </w:p>
    <w:p>
      <w:pPr>
        <w:pStyle w:val="TextBody"/>
        <w:bidi w:val="0"/>
        <w:spacing w:before="240" w:after="0"/>
        <w:jc w:val="both"/>
        <w:rPr/>
      </w:pPr>
      <w:r>
        <w:rPr/>
        <w:t>“</w:t>
      </w:r>
      <w:r>
        <w:rPr>
          <w:rFonts w:ascii="Times New Roman;serif" w:hAnsi="Times New Roman;serif"/>
          <w:b w:val="false"/>
          <w:sz w:val="20"/>
          <w:u w:val="single"/>
        </w:rPr>
        <w:t>Converted Restricted Subsidiary</w:t>
      </w:r>
      <w:r>
        <w:rPr>
          <w:rFonts w:ascii="Times New Roman" w:hAnsi="Times New Roman"/>
          <w:sz w:val="20"/>
        </w:rPr>
        <w:t xml:space="preserve">” </w:t>
      </w:r>
      <w:r>
        <w:rPr>
          <w:rFonts w:ascii="Times New Roman;serif" w:hAnsi="Times New Roman;serif"/>
          <w:b w:val="false"/>
          <w:sz w:val="20"/>
        </w:rPr>
        <w:t>has the meaning assigned to such term in the definition of “Consolidated EBITDA.”</w:t>
      </w:r>
    </w:p>
    <w:p>
      <w:pPr>
        <w:pStyle w:val="TextBody"/>
        <w:bidi w:val="0"/>
        <w:spacing w:before="240" w:after="0"/>
        <w:jc w:val="both"/>
        <w:rPr/>
      </w:pPr>
      <w:r>
        <w:rPr/>
        <w:t>“</w:t>
      </w:r>
      <w:r>
        <w:rPr>
          <w:rFonts w:ascii="Times New Roman;serif" w:hAnsi="Times New Roman;serif"/>
          <w:b w:val="false"/>
          <w:sz w:val="20"/>
          <w:u w:val="single"/>
        </w:rPr>
        <w:t>Converted Unrestricted Subsidiary</w:t>
      </w:r>
      <w:r>
        <w:rPr>
          <w:rFonts w:ascii="Times New Roman" w:hAnsi="Times New Roman"/>
          <w:sz w:val="20"/>
        </w:rPr>
        <w:t xml:space="preserve">” </w:t>
      </w:r>
      <w:r>
        <w:rPr>
          <w:rFonts w:ascii="Times New Roman;serif" w:hAnsi="Times New Roman;serif"/>
          <w:b w:val="false"/>
          <w:sz w:val="20"/>
        </w:rPr>
        <w:t>has the meaning assigned to such term in the definition of the term “Consolidated EBITDA.”</w:t>
      </w:r>
    </w:p>
    <w:p>
      <w:pPr>
        <w:pStyle w:val="TextBody"/>
        <w:bidi w:val="0"/>
        <w:spacing w:before="240" w:after="0"/>
        <w:jc w:val="left"/>
        <w:rPr/>
      </w:pPr>
      <w:r>
        <w:rPr/>
        <w:t>“</w:t>
      </w:r>
      <w:r>
        <w:rPr>
          <w:rFonts w:ascii="Times New Roman;serif" w:hAnsi="Times New Roman;serif"/>
          <w:b w:val="false"/>
          <w:sz w:val="20"/>
          <w:u w:val="single"/>
        </w:rPr>
        <w:t>Covered Entity</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9.21(b)</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Covered Party</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9.21(a)</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Credit Agreement Refinancing Indebtedness</w:t>
      </w:r>
      <w:r>
        <w:rPr>
          <w:rFonts w:ascii="Times New Roman" w:hAnsi="Times New Roman"/>
          <w:sz w:val="20"/>
        </w:rPr>
        <w:t xml:space="preserve">” </w:t>
      </w:r>
      <w:r>
        <w:rPr>
          <w:rFonts w:ascii="Times New Roman;serif" w:hAnsi="Times New Roman;serif"/>
          <w:b w:val="false"/>
          <w:sz w:val="20"/>
        </w:rPr>
        <w:t>means Indebtedness issued, incurred or otherwise obtained (including by means of the extension or renewal of existing Indebtedness) by a Loan Party in exchange for, or to extend, renew, replace or refinance, in whole or part, any Class of existing Term Loans or Revolving Loans (or unused Revolving Commitments) (“</w:t>
      </w:r>
      <w:r>
        <w:rPr>
          <w:rFonts w:ascii="Times New Roman;serif" w:hAnsi="Times New Roman;serif"/>
          <w:b w:val="false"/>
          <w:sz w:val="20"/>
          <w:u w:val="single"/>
        </w:rPr>
        <w:t>Refinanced Debt</w:t>
      </w:r>
      <w:r>
        <w:rPr>
          <w:rFonts w:ascii="Times New Roman" w:hAnsi="Times New Roman"/>
          <w:sz w:val="20"/>
        </w:rPr>
        <w:t>”</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such exchanging, extending, renewing, replacing or refinancing Indebtedness (a) is in an original aggregate principal amount not greater than the aggregate principal amount of the Refinanced Debt (including any unused Revolving Commitment at such time) (plus any premium, accrued interest and fees and expenses incurred in connection with such exchange, extension, renewal, replacement or refinancing), (b) does not mature earlier than or, except in the case of Revolving Commitments, have a Weighted Average Life to Maturity shorter than the Refinanced Debt (other than Customary Bridge Loans and except with respect to an amount equal to the Maturity Carveout Amount at such time), (c) shall not be guaranteed by any entity that is not a Loan Party, (d) in the case of any secured Indebtedness (i) is not secured by any assets not securing the Secured Obligations and (ii) is subject to the relevant Intercreditor Agreement(s) and (e) has terms and conditions (excluding pricing, interest rate margins, rate floors, discounts, fees, premiums and prepayment or redemption provisions, and other than with respect to Customary Bridge Loans) that are not materially more favorable (when taken as a whole) to the lenders or investors providing such Indebtedness than the terms and conditions of this Agreement (when taken as a whole) are to the Lenders (except for covenants or other provisions applicable only to periods after the Latest Maturity Date at the time of such refinancing) (it being understood that, to the extent that any financial maintenance covenant or any other covenant is added for the benefit of any such Indebtedness, no consent shall be required by the Administrative Agent or any of the Lenders if such financial maintenance covenant or other covenant is either (i) also added for the benefit of any corresponding Loans remaining outstanding after the issuance or incurrence of such Indebtedness or (ii) only applicable after the Latest Maturity Date at the time of such refinancing).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w:t>
      </w:r>
      <w:r>
        <w:rPr>
          <w:rFonts w:ascii="Times New Roman;serif" w:hAnsi="Times New Roman;serif"/>
          <w:b w:val="false"/>
          <w:sz w:val="20"/>
          <w:u w:val="single"/>
        </w:rPr>
        <w:t>Cure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7.02</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Cure Right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7.02</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Customary Bridge Loans</w:t>
      </w:r>
      <w:r>
        <w:rPr>
          <w:rFonts w:ascii="Times New Roman" w:hAnsi="Times New Roman"/>
          <w:sz w:val="20"/>
        </w:rPr>
        <w:t xml:space="preserve">” </w:t>
      </w:r>
      <w:r>
        <w:rPr>
          <w:rFonts w:ascii="Times New Roman;serif" w:hAnsi="Times New Roman;serif"/>
          <w:b w:val="false"/>
          <w:sz w:val="20"/>
        </w:rPr>
        <w:t xml:space="preserve">means customary bridge loans with a maturity date of no longer than one year;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the Weighted Average Life to Maturity of any loans, notes, securities or other Indebtedness which are exchanged for or otherwise replace such bridge loans is not shorter than the Weighted Average Life to Maturity of the Term Loans and (b) the final maturity date of any loans, notes, securities or other Indebtedness which are exchanged for or otherwise replace such bridge loans is no earlier than the Latest Maturity Date at the time such bridge loans are incurred.</w:t>
      </w:r>
    </w:p>
    <w:p>
      <w:pPr>
        <w:pStyle w:val="TextBody"/>
        <w:bidi w:val="0"/>
        <w:spacing w:before="240" w:after="0"/>
        <w:jc w:val="both"/>
        <w:rPr/>
      </w:pPr>
      <w:r>
        <w:rPr/>
        <w:t>“</w:t>
      </w:r>
      <w:r>
        <w:rPr>
          <w:rFonts w:ascii="Times New Roman;serif" w:hAnsi="Times New Roman;serif"/>
          <w:b w:val="false"/>
          <w:sz w:val="20"/>
          <w:u w:val="single"/>
        </w:rPr>
        <w:t>Customary Escrow Provisions</w:t>
      </w:r>
      <w:r>
        <w:rPr>
          <w:rFonts w:ascii="Times New Roman" w:hAnsi="Times New Roman"/>
          <w:sz w:val="20"/>
        </w:rPr>
        <w:t xml:space="preserve">” </w:t>
      </w:r>
      <w:r>
        <w:rPr>
          <w:rFonts w:ascii="Times New Roman;serif" w:hAnsi="Times New Roman;serif"/>
          <w:b w:val="false"/>
          <w:sz w:val="20"/>
        </w:rPr>
        <w:t>means customary redemption terms in connection with escrow arrangements.</w:t>
      </w:r>
    </w:p>
    <w:p>
      <w:pPr>
        <w:pStyle w:val="TextBody"/>
        <w:bidi w:val="0"/>
        <w:spacing w:before="240" w:after="0"/>
        <w:jc w:val="both"/>
        <w:rPr/>
      </w:pPr>
      <w:r>
        <w:rPr/>
        <w:t>“</w:t>
      </w:r>
      <w:r>
        <w:rPr>
          <w:rFonts w:ascii="Times New Roman;serif" w:hAnsi="Times New Roman;serif"/>
          <w:b w:val="false"/>
          <w:sz w:val="20"/>
          <w:u w:val="single"/>
        </w:rPr>
        <w:t>Customary Exceptions</w:t>
      </w:r>
      <w:r>
        <w:rPr>
          <w:rFonts w:ascii="Times New Roman" w:hAnsi="Times New Roman"/>
          <w:sz w:val="20"/>
        </w:rPr>
        <w:t xml:space="preserve">” </w:t>
      </w:r>
      <w:r>
        <w:rPr>
          <w:rFonts w:ascii="Times New Roman;serif" w:hAnsi="Times New Roman;serif"/>
          <w:b w:val="false"/>
          <w:sz w:val="20"/>
        </w:rPr>
        <w:t>means (a) customary asset sale, insurance and condemnation proceeds events, excess cash flow sweeps, change-of-control offers or events of default and/or (b) Customary Escrow Provisions.</w:t>
      </w:r>
    </w:p>
    <w:p>
      <w:pPr>
        <w:pStyle w:val="TextBody"/>
        <w:bidi w:val="0"/>
        <w:spacing w:before="240" w:after="0"/>
        <w:jc w:val="both"/>
        <w:rPr/>
      </w:pPr>
      <w:r>
        <w:rPr/>
        <w:t>“</w:t>
      </w:r>
      <w:r>
        <w:rPr>
          <w:rFonts w:ascii="Times New Roman;serif" w:hAnsi="Times New Roman;serif"/>
          <w:b w:val="false"/>
          <w:sz w:val="20"/>
          <w:u w:val="single"/>
        </w:rPr>
        <w:t>Default</w:t>
      </w:r>
      <w:r>
        <w:rPr>
          <w:rFonts w:ascii="Times New Roman" w:hAnsi="Times New Roman"/>
          <w:sz w:val="20"/>
        </w:rPr>
        <w:t xml:space="preserve">” </w:t>
      </w:r>
      <w:r>
        <w:rPr>
          <w:rFonts w:ascii="Times New Roman;serif" w:hAnsi="Times New Roman;serif"/>
          <w:b w:val="false"/>
          <w:sz w:val="20"/>
        </w:rPr>
        <w:t>means any event or condition that constitutes an Event of Default or that upon notice, lapse of time or both would, unless cured or waived, become an Event of Default.</w:t>
      </w:r>
    </w:p>
    <w:p>
      <w:pPr>
        <w:pStyle w:val="TextBody"/>
        <w:bidi w:val="0"/>
        <w:spacing w:before="240" w:after="0"/>
        <w:jc w:val="both"/>
        <w:rPr/>
      </w:pPr>
      <w:r>
        <w:rPr/>
        <w:t>“</w:t>
      </w:r>
      <w:r>
        <w:rPr>
          <w:rFonts w:ascii="Times New Roman;serif" w:hAnsi="Times New Roman;serif"/>
          <w:b w:val="false"/>
          <w:sz w:val="20"/>
          <w:u w:val="single"/>
        </w:rPr>
        <w:t>Defaulting Lender</w:t>
      </w:r>
      <w:r>
        <w:rPr>
          <w:rFonts w:ascii="Times New Roman" w:hAnsi="Times New Roman"/>
          <w:sz w:val="20"/>
        </w:rPr>
        <w:t xml:space="preserve">” </w:t>
      </w:r>
      <w:r>
        <w:rPr>
          <w:rFonts w:ascii="Times New Roman;serif" w:hAnsi="Times New Roman;serif"/>
          <w:b w:val="false"/>
          <w:sz w:val="20"/>
        </w:rPr>
        <w:t xml:space="preserve">means any Lender that has (a) failed to fund any portion of its Loans or participations in Letters of Credit within one Business Day of the date on which such funding is required hereunder, (b) notified the Borrower, the Administrative Agent, any Issuing Bank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generally under other agreements in which it commits to extend credit, (c) failed, within three Business Days after request by the Administrative Agent (whether acting on its own behalf or at the reasonable request of the Borrower (it being understood that the Administrative Agent shall comply with any such reasonable request)) or by any Issuing Bank to confirm that it will comply with the terms of this Agreement relating to its obligations to fund prospective Loans and participations in then outstanding Letters of Credit, (d) otherwise failed to pay over to the Administrative Agent, any Issuing Bank or any other Lender any other amount required to be paid by it hereunder within one Business Day of the date when due, unless the subject of a good faith dispute or subsequently cured, or (e)(i) become or is insolvent or has a parent company that has become or is insolvent, (ii) become the subject of a bankruptcy or insolvency proceeding or any action or proceeding of the type described in </w:t>
      </w:r>
      <w:r>
        <w:rPr>
          <w:rFonts w:ascii="Times New Roman;serif" w:hAnsi="Times New Roman;serif"/>
          <w:b w:val="false"/>
          <w:sz w:val="20"/>
          <w:u w:val="single"/>
        </w:rPr>
        <w:t>Section 7.01(h)</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serif" w:hAnsi="Times New Roman;serif"/>
          <w:b w:val="false"/>
          <w:sz w:val="20"/>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(iii) become the subject of a Bail-In Action;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Lender shall not be deemed to be a Defaulting Lender solely by virtue of the ownership or acquisition of any capital stock in such Lender or its direct or indirect parent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before="240" w:after="0"/>
        <w:jc w:val="both"/>
        <w:rPr/>
      </w:pPr>
      <w:r>
        <w:rPr/>
        <w:t>“</w:t>
      </w:r>
      <w:r>
        <w:rPr>
          <w:rFonts w:ascii="Times New Roman;serif" w:hAnsi="Times New Roman;serif"/>
          <w:b w:val="false"/>
          <w:sz w:val="20"/>
          <w:u w:val="single"/>
        </w:rPr>
        <w:t>Defaulting Lender Fronting Exposure</w:t>
      </w:r>
      <w:r>
        <w:rPr>
          <w:rFonts w:ascii="Times New Roman" w:hAnsi="Times New Roman"/>
          <w:sz w:val="20"/>
        </w:rPr>
        <w:t xml:space="preserve">” </w:t>
      </w:r>
      <w:r>
        <w:rPr>
          <w:rFonts w:ascii="Times New Roman;serif" w:hAnsi="Times New Roman;serif"/>
          <w:b w:val="false"/>
          <w:sz w:val="20"/>
        </w:rPr>
        <w:t>means, at any time there is a Defaulting Lender, with respect to any Issuing Bank, such Defaulting Lender’s Applicable Percentage of the outstanding Letter of Credit obligations with respect to such Issuing Bank other than Letter of Credit obligations as to which such Defaulting Lender’s participation obligation has been reallocated to other Lenders or cash collateralized in accordance with the terms hereof.</w:t>
      </w:r>
    </w:p>
    <w:p>
      <w:pPr>
        <w:pStyle w:val="TextBody"/>
        <w:bidi w:val="0"/>
        <w:spacing w:before="240" w:after="0"/>
        <w:jc w:val="both"/>
        <w:rPr/>
      </w:pPr>
      <w:r>
        <w:rPr/>
        <w:t>“</w:t>
      </w:r>
      <w:r>
        <w:rPr>
          <w:rFonts w:ascii="Times New Roman;serif" w:hAnsi="Times New Roman;serif"/>
          <w:b w:val="false"/>
          <w:sz w:val="20"/>
          <w:u w:val="single"/>
        </w:rPr>
        <w:t>Designated Assignees</w:t>
      </w:r>
      <w:r>
        <w:rPr>
          <w:rFonts w:ascii="Times New Roman" w:hAnsi="Times New Roman"/>
          <w:sz w:val="20"/>
        </w:rPr>
        <w:t xml:space="preserve">” </w:t>
      </w:r>
      <w:r>
        <w:rPr>
          <w:rFonts w:ascii="Times New Roman;serif" w:hAnsi="Times New Roman;serif"/>
          <w:b w:val="false"/>
          <w:sz w:val="20"/>
        </w:rPr>
        <w:t>means those Persons identified by the Revolving Lenders to the Administrative Agent in writing prior to the Effective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Designated Non-Cash Consideration</w:t>
      </w:r>
      <w:r>
        <w:rPr>
          <w:rFonts w:ascii="Times New Roman" w:hAnsi="Times New Roman"/>
          <w:sz w:val="20"/>
        </w:rPr>
        <w:t xml:space="preserve">” </w:t>
      </w:r>
      <w:r>
        <w:rPr>
          <w:rFonts w:ascii="Times New Roman;serif" w:hAnsi="Times New Roman;serif"/>
          <w:b w:val="false"/>
          <w:sz w:val="20"/>
        </w:rPr>
        <w:t xml:space="preserve">means the Fair Market Value of non-cash consideration received by Holdings, the Borrower or a Subsidiary in connection with a Disposition pursuant to </w:t>
      </w:r>
      <w:r>
        <w:rPr>
          <w:rFonts w:ascii="Times New Roman;serif" w:hAnsi="Times New Roman;serif"/>
          <w:b w:val="false"/>
          <w:sz w:val="20"/>
          <w:u w:val="single"/>
        </w:rPr>
        <w:t>Section 6.05(k)</w:t>
      </w:r>
      <w:r>
        <w:rPr>
          <w:rFonts w:ascii="Times New Roman" w:hAnsi="Times New Roman"/>
          <w:sz w:val="20"/>
        </w:rPr>
        <w:t xml:space="preserve"> </w:t>
      </w:r>
      <w:r>
        <w:rPr>
          <w:rFonts w:ascii="Times New Roman;serif" w:hAnsi="Times New Roman;serif"/>
          <w:b w:val="false"/>
          <w:sz w:val="20"/>
        </w:rPr>
        <w:t xml:space="preserve">that is designated as Designated Non-Cash Consideration pursuant to a certificate of a Responsible Officer of Holdings or the Borrower, setting forth the basis of such valuation, less the amount of cash or Permitted Investments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sold or otherwise disposed of or returned in exchange for consideration in the form of cash or Permitted Investments in compliance with </w:t>
      </w:r>
      <w:r>
        <w:rPr>
          <w:rFonts w:ascii="Times New Roman;serif" w:hAnsi="Times New Roman;serif"/>
          <w:b w:val="false"/>
          <w:sz w:val="20"/>
          <w:u w:val="single"/>
        </w:rPr>
        <w:t>Section 6.05</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Discount Prepayment Accepting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2.11(a)(ii)(B)</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Discount Range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Discount Range Prepayment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Discount Range Prepayment Notice</w:t>
      </w:r>
      <w:r>
        <w:rPr>
          <w:rFonts w:ascii="Times New Roman" w:hAnsi="Times New Roman"/>
          <w:sz w:val="20"/>
        </w:rPr>
        <w:t xml:space="preserve">” </w:t>
      </w:r>
      <w:r>
        <w:rPr>
          <w:rFonts w:ascii="Times New Roman;serif" w:hAnsi="Times New Roman;serif"/>
          <w:b w:val="false"/>
          <w:sz w:val="20"/>
        </w:rPr>
        <w:t xml:space="preserve">means a written notice of a Borrower Solicitation of Discount Range Prepayment Offers made pursuant to </w:t>
      </w:r>
      <w:r>
        <w:rPr>
          <w:rFonts w:ascii="Times New Roman;serif" w:hAnsi="Times New Roman;serif"/>
          <w:b w:val="false"/>
          <w:sz w:val="20"/>
          <w:u w:val="single"/>
        </w:rPr>
        <w:t>Section 2.11(a)(ii)(C)</w:t>
      </w:r>
      <w:r>
        <w:rPr>
          <w:rFonts w:ascii="Times New Roman" w:hAnsi="Times New Roman"/>
          <w:sz w:val="20"/>
        </w:rPr>
        <w:t xml:space="preserve"> </w:t>
      </w:r>
      <w:r>
        <w:rPr>
          <w:rFonts w:ascii="Times New Roman;serif" w:hAnsi="Times New Roman;serif"/>
          <w:b w:val="false"/>
          <w:sz w:val="20"/>
        </w:rPr>
        <w:t xml:space="preserve">substantially in the form of </w:t>
      </w:r>
      <w:r>
        <w:rPr>
          <w:rFonts w:ascii="Times New Roman;serif" w:hAnsi="Times New Roman;serif"/>
          <w:b w:val="false"/>
          <w:sz w:val="20"/>
          <w:u w:val="single"/>
        </w:rPr>
        <w:t>Exhibit K</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Discount Range Prepayment Offer</w:t>
      </w:r>
      <w:r>
        <w:rPr>
          <w:rFonts w:ascii="Times New Roman" w:hAnsi="Times New Roman"/>
          <w:sz w:val="20"/>
        </w:rPr>
        <w:t xml:space="preserve">” </w:t>
      </w:r>
      <w:r>
        <w:rPr>
          <w:rFonts w:ascii="Times New Roman;serif" w:hAnsi="Times New Roman;serif"/>
          <w:b w:val="false"/>
          <w:sz w:val="20"/>
        </w:rPr>
        <w:t xml:space="preserve">means the irrevocable written offer by a Term Lender, substantially in the form of </w:t>
      </w:r>
      <w:r>
        <w:rPr>
          <w:rFonts w:ascii="Times New Roman;serif" w:hAnsi="Times New Roman;serif"/>
          <w:b w:val="false"/>
          <w:sz w:val="20"/>
          <w:u w:val="single"/>
        </w:rPr>
        <w:t>Exhibit L</w:t>
      </w:r>
      <w:r>
        <w:rPr>
          <w:rFonts w:ascii="Times New Roman;serif" w:hAnsi="Times New Roman;serif"/>
          <w:b w:val="false"/>
          <w:sz w:val="20"/>
        </w:rPr>
        <w:t>, submitted in response to an invitation to submit offers following the Auction Agent’s receipt of a Discount Range Prepayment Notice.</w:t>
      </w:r>
    </w:p>
    <w:p>
      <w:pPr>
        <w:pStyle w:val="TextBody"/>
        <w:bidi w:val="0"/>
        <w:spacing w:before="240" w:after="0"/>
        <w:jc w:val="both"/>
        <w:rPr/>
      </w:pPr>
      <w:r>
        <w:rPr/>
        <w:t>“</w:t>
      </w:r>
      <w:r>
        <w:rPr>
          <w:rFonts w:ascii="Times New Roman;serif" w:hAnsi="Times New Roman;serif"/>
          <w:b w:val="false"/>
          <w:sz w:val="20"/>
          <w:u w:val="single"/>
        </w:rPr>
        <w:t>Discount Range Prepayment Response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2.11(a)(ii)(C)</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Discount Range Proration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Discounted Prepayment Determination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2.11(a)(ii)(D)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Discounted Prepayment Effective Date</w:t>
      </w:r>
      <w:r>
        <w:rPr>
          <w:rFonts w:ascii="Times New Roman" w:hAnsi="Times New Roman"/>
          <w:sz w:val="20"/>
        </w:rPr>
        <w:t xml:space="preserve">” </w:t>
      </w:r>
      <w:r>
        <w:rPr>
          <w:rFonts w:ascii="Times New Roman;serif" w:hAnsi="Times New Roman;serif"/>
          <w:b w:val="false"/>
          <w:sz w:val="20"/>
        </w:rPr>
        <w:t xml:space="preserve">means, in the case of a Borrower Offer of Specified Discount Prepayment or Borrower Solicitation of Discount Range Prepayment Offer, five Business Days following the receipt by each relevant Term Lender of notice from the Auction Agent in accordance with </w:t>
      </w:r>
      <w:r>
        <w:rPr>
          <w:rFonts w:ascii="Times New Roman;serif" w:hAnsi="Times New Roman;serif"/>
          <w:b w:val="false"/>
          <w:sz w:val="20"/>
          <w:u w:val="single"/>
        </w:rPr>
        <w:t>Section 2.11(a)(ii)(B)</w:t>
      </w:r>
      <w:r>
        <w:rPr>
          <w:rFonts w:ascii="Times New Roman;serif" w:hAnsi="Times New Roman;serif"/>
          <w:b w:val="false"/>
          <w:sz w:val="20"/>
        </w:rPr>
        <w:t xml:space="preserve">,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2.11(a)(ii)(C)</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2.11(a)(ii)(D)</w:t>
      </w:r>
      <w:r>
        <w:rPr>
          <w:rFonts w:ascii="Times New Roman;serif" w:hAnsi="Times New Roman;serif"/>
          <w:b w:val="false"/>
          <w:sz w:val="20"/>
        </w:rPr>
        <w:t>, as applicable, unless a shorter period is agreed to between the Borrower and the Auction Agent.</w:t>
      </w:r>
    </w:p>
    <w:p>
      <w:pPr>
        <w:pStyle w:val="TextBody"/>
        <w:bidi w:val="0"/>
        <w:spacing w:before="240" w:after="0"/>
        <w:jc w:val="left"/>
        <w:rPr/>
      </w:pPr>
      <w:r>
        <w:rPr/>
        <w:t>“</w:t>
      </w:r>
      <w:r>
        <w:rPr>
          <w:rFonts w:ascii="Times New Roman;serif" w:hAnsi="Times New Roman;serif"/>
          <w:b w:val="false"/>
          <w:sz w:val="20"/>
          <w:u w:val="single"/>
        </w:rPr>
        <w:t>Discounted Term Loan Prepayment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2.11(a)(ii)(A)</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Disposed EBITDA</w:t>
      </w:r>
      <w:r>
        <w:rPr>
          <w:rFonts w:ascii="Times New Roman" w:hAnsi="Times New Roman"/>
          <w:sz w:val="20"/>
        </w:rPr>
        <w:t xml:space="preserve">” </w:t>
      </w:r>
      <w:r>
        <w:rPr>
          <w:rFonts w:ascii="Times New Roman;serif" w:hAnsi="Times New Roman;serif"/>
          <w:b w:val="false"/>
          <w:sz w:val="20"/>
        </w:rPr>
        <w:t>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pStyle w:val="TextBody"/>
        <w:bidi w:val="0"/>
        <w:spacing w:before="240" w:after="0"/>
        <w:jc w:val="left"/>
        <w:rPr/>
      </w:pPr>
      <w:r>
        <w:rPr/>
        <w:t>“</w:t>
      </w:r>
      <w:r>
        <w:rPr>
          <w:rFonts w:ascii="Times New Roman;serif" w:hAnsi="Times New Roman;serif"/>
          <w:b w:val="false"/>
          <w:sz w:val="20"/>
          <w:u w:val="single"/>
        </w:rPr>
        <w:t>Disposition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6.05</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Disposition/Debt Percentage</w:t>
      </w:r>
      <w:r>
        <w:rPr>
          <w:rFonts w:ascii="Times New Roman" w:hAnsi="Times New Roman"/>
          <w:sz w:val="20"/>
        </w:rPr>
        <w:t xml:space="preserve">” </w:t>
      </w:r>
      <w:r>
        <w:rPr>
          <w:rFonts w:ascii="Times New Roman;serif" w:hAnsi="Times New Roman;serif"/>
          <w:b w:val="false"/>
          <w:sz w:val="20"/>
        </w:rPr>
        <w:t xml:space="preserve">means, (a) with respect to a Prepayment Event pursuant to clause (a) of such definition, the prepayment required by </w:t>
      </w:r>
      <w:r>
        <w:rPr>
          <w:rFonts w:ascii="Times New Roman;serif" w:hAnsi="Times New Roman;serif"/>
          <w:b w:val="false"/>
          <w:sz w:val="20"/>
          <w:u w:val="single"/>
        </w:rPr>
        <w:t>Section 2.11(c)</w:t>
      </w:r>
      <w:r>
        <w:rPr>
          <w:rFonts w:ascii="Times New Roman" w:hAnsi="Times New Roman"/>
          <w:sz w:val="20"/>
        </w:rPr>
        <w:t xml:space="preserve"> </w:t>
      </w:r>
      <w:r>
        <w:rPr>
          <w:rFonts w:ascii="Times New Roman;serif" w:hAnsi="Times New Roman;serif"/>
          <w:b w:val="false"/>
          <w:sz w:val="20"/>
        </w:rPr>
        <w:t xml:space="preserve">if the First Lien Leverage Ratio for the Test Period then last ended is (i) greater than 4.25 to 1.00, 100%, (ii) greater than 3.75 to 1.00 but less than or equal to 4.25 to 1.00, 50% and (iii) equal to or less than 3.75 to 1.00, 0%, and (b) with respect to a Prepayment Event pursuant to clause (b) of such definition, the prepayment required by </w:t>
      </w:r>
      <w:r>
        <w:rPr>
          <w:rFonts w:ascii="Times New Roman;serif" w:hAnsi="Times New Roman;serif"/>
          <w:b w:val="false"/>
          <w:sz w:val="20"/>
          <w:u w:val="single"/>
        </w:rPr>
        <w:t>Section 2.11(c)</w:t>
      </w:r>
      <w:r>
        <w:rPr>
          <w:rFonts w:ascii="Times New Roman;serif" w:hAnsi="Times New Roman;serif"/>
          <w:b w:val="false"/>
          <w:sz w:val="20"/>
        </w:rPr>
        <w:t>, 100%.</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Disqualified Equity Interest</w:t>
      </w:r>
      <w:r>
        <w:rPr>
          <w:rFonts w:ascii="Times New Roman" w:hAnsi="Times New Roman"/>
          <w:sz w:val="20"/>
        </w:rPr>
        <w:t xml:space="preserve">” </w:t>
      </w:r>
      <w:r>
        <w:rPr>
          <w:rFonts w:ascii="Times New Roman;serif" w:hAnsi="Times New Roman;serif"/>
          <w:b w:val="false"/>
          <w:sz w:val="20"/>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matures or is mandatorily redeemable (other than solely for Equity Interests in such Person or in any Parent Entity that do not constitute Disqualified Equity Interests and cash in lieu of fractional shares of such Equity Interests), whether pursuant to a sinking fund obligation or otherwise;</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is convertible or exchangeable, either mandatorily or at the option of the holder thereof, for Indebtedness or Equity Interests (other than solely for Equity Interests in such Person or in any Parent Entity that do not constitute Disqualified Equity Interests and cash in lieu of fractional shares of such Equity Interests); or</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is redeemable (other than solely for Equity Interests in such Person or in any Parent Entity that do not constitute Disqualified Equity Interests and cash in lieu of fractional shares of such Equity Interests) or is required to be repurchased by such Person or any of its Affiliates, in whole or in part, at the option of the holder thereof;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in each case, on or prior to the date 91 days after the Latest Maturity Date at the time of issuance of such Equity Interests;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(i) an Equity Interest in any Person that would not constitute a Disqualified Equity Interest but for terms thereof giving holders thereof the right to require such Person to redeem or purchase such Equity Interest upon the occurrence of an “asset sale,” “condemnation event,” a “change in control” or similar event shall not constitute a Disqualified Equity Interest if any such requirement becomes operative only after repayment in full of all the Loans and all other Loan Document Obligations that are accrued and payable and the termination of the Commitments and (ii) if an Equity Interest in any Person is issued pursuant to any plan for the benefit of employees of Holdings (or any direct or indirect parent thereof), the Borrower or any of the Subsidiaries or by any such plan to such employees, such Equity Interest shall not constitute a Disqualified Equity Interest solely because it may be required to be repurchased by Holdings (or any direct or indirect parent company thereof), the Borrower or any of the Subsidiaries in order to satisfy applicable statutory or regulatory obligations of such Person or as a result of such employee’s termination, death, or disability.</w:t>
      </w:r>
    </w:p>
    <w:p>
      <w:pPr>
        <w:pStyle w:val="TextBody"/>
        <w:bidi w:val="0"/>
        <w:spacing w:before="240" w:after="0"/>
        <w:jc w:val="both"/>
        <w:rPr/>
      </w:pPr>
      <w:r>
        <w:rPr/>
        <w:t>“</w:t>
      </w:r>
      <w:r>
        <w:rPr>
          <w:rFonts w:ascii="Times New Roman;serif" w:hAnsi="Times New Roman;serif"/>
          <w:b w:val="false"/>
          <w:sz w:val="20"/>
          <w:u w:val="single"/>
        </w:rPr>
        <w:t>Disqualified Lenders</w:t>
      </w:r>
      <w:r>
        <w:rPr>
          <w:rFonts w:ascii="Times New Roman" w:hAnsi="Times New Roman"/>
          <w:sz w:val="20"/>
        </w:rPr>
        <w:t xml:space="preserve">” </w:t>
      </w:r>
      <w:r>
        <w:rPr>
          <w:rFonts w:ascii="Times New Roman;serif" w:hAnsi="Times New Roman;serif"/>
          <w:b w:val="false"/>
          <w:sz w:val="20"/>
        </w:rPr>
        <w:t xml:space="preserve">means (a) those Persons identified by the Sponsor, Holdings or the Borrower to the Lead Arrangers in writing prior to November 19, 2019 (and (i) if after November 19, 2019 and prior to the Effective Date, that are reasonably acceptable to the Lead Arrangers holding a majority of the aggregate amount of outstanding financing commitments in respect of the Term Facility and Revolving Credit Facility and (ii) if after the Effective Date, that are reasonably acceptable to the Administrative Agent), (b) those Persons who are competitors of Holdings and its Subsidiaries or the Target and its Subsidiaries identified by the Sponsor, Holdings or the Borrower to the Administrative Agent from time to time in writing (including by email) and (c) in the case of each Persons identified pursuant to clauses (a) and (b) above, any of their Affiliates that are either (i) identified in writing by the Sponsor, Holdings or the Borrower from time to time or (ii) clearly identifiable as Affiliates on the basis of such Affiliate’s name (other than, in the case of this clause (c), Affiliates that are bona fide debt funds);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no updates to the Disqualified Lender list shall be deemed to retroactively disqualify any parties that have previously acquired an assignment or participation in respect of the Loans from continuing to hold or vote such previously acquired assignments and participations on the terms set forth herein for Lenders that are not Disqualified Lenders. Any supplement to the list of Disqualified Lenders pursuant to clause (b) or (c) above shall be sent by the Borrower to the Administrative Agent in writing (including by email) and such supplement shall take effect on the Business Day such notice is received by the Administrative Agent (it being understood that no such supplement to the list of Disqualified Lenders shall operate to disqualify any Person that is already a Lender).</w:t>
      </w:r>
    </w:p>
    <w:p>
      <w:pPr>
        <w:pStyle w:val="TextBody"/>
        <w:bidi w:val="0"/>
        <w:spacing w:before="240" w:after="0"/>
        <w:jc w:val="left"/>
        <w:rPr/>
      </w:pPr>
      <w:r>
        <w:rPr/>
        <w:t>“</w:t>
      </w:r>
      <w:r>
        <w:rPr>
          <w:rFonts w:ascii="Times New Roman;serif" w:hAnsi="Times New Roman;serif"/>
          <w:b w:val="false"/>
          <w:sz w:val="20"/>
          <w:u w:val="single"/>
        </w:rPr>
        <w:t>director</w:t>
      </w:r>
      <w:r>
        <w:rPr>
          <w:rFonts w:ascii="Times New Roman" w:hAnsi="Times New Roman"/>
          <w:sz w:val="20"/>
        </w:rPr>
        <w:t xml:space="preserve">” </w:t>
      </w:r>
      <w:r>
        <w:rPr>
          <w:rFonts w:ascii="Times New Roman;serif" w:hAnsi="Times New Roman;serif"/>
          <w:b w:val="false"/>
          <w:sz w:val="20"/>
        </w:rPr>
        <w:t>has the meaning assigned to such term in the definition of “Board of Directors.”</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Dividing Person</w:t>
      </w:r>
      <w:r>
        <w:rPr>
          <w:rFonts w:ascii="Times New Roman" w:hAnsi="Times New Roman"/>
          <w:sz w:val="20"/>
        </w:rPr>
        <w:t xml:space="preserve">” </w:t>
      </w:r>
      <w:r>
        <w:rPr>
          <w:rFonts w:ascii="Times New Roman;serif" w:hAnsi="Times New Roman;serif"/>
          <w:b w:val="false"/>
          <w:sz w:val="20"/>
        </w:rPr>
        <w:t>has the meaning assigned to it in the definition of “Division.”</w:t>
      </w:r>
    </w:p>
    <w:p>
      <w:pPr>
        <w:pStyle w:val="TextBody"/>
        <w:bidi w:val="0"/>
        <w:spacing w:before="240" w:after="0"/>
        <w:jc w:val="both"/>
        <w:rPr/>
      </w:pPr>
      <w:r>
        <w:rPr/>
        <w:t>“</w:t>
      </w:r>
      <w:r>
        <w:rPr>
          <w:rFonts w:ascii="Times New Roman;serif" w:hAnsi="Times New Roman;serif"/>
          <w:b w:val="false"/>
          <w:sz w:val="20"/>
          <w:u w:val="single"/>
        </w:rPr>
        <w:t>Division</w:t>
      </w:r>
      <w:r>
        <w:rPr>
          <w:rFonts w:ascii="Times New Roman" w:hAnsi="Times New Roman"/>
          <w:sz w:val="20"/>
        </w:rPr>
        <w:t xml:space="preserve">” </w:t>
      </w:r>
      <w:r>
        <w:rPr>
          <w:rFonts w:ascii="Times New Roman;serif" w:hAnsi="Times New Roman;serif"/>
          <w:b w:val="false"/>
          <w:sz w:val="20"/>
        </w:rPr>
        <w:t>means the division of the assets, liabilities and/or obligations of a Person (the “</w:t>
      </w:r>
      <w:r>
        <w:rPr>
          <w:rFonts w:ascii="Times New Roman;serif" w:hAnsi="Times New Roman;serif"/>
          <w:b w:val="false"/>
          <w:sz w:val="20"/>
          <w:u w:val="single"/>
        </w:rPr>
        <w:t>Dividing</w:t>
      </w:r>
      <w:r>
        <w:rPr>
          <w:rFonts w:ascii="Times New Roman" w:hAnsi="Times New Roman"/>
          <w:sz w:val="20"/>
        </w:rPr>
        <w:t xml:space="preserve"> </w:t>
      </w:r>
      <w:r>
        <w:rPr>
          <w:rFonts w:ascii="Times New Roman;serif" w:hAnsi="Times New Roman;serif"/>
          <w:b w:val="false"/>
          <w:sz w:val="20"/>
          <w:u w:val="single"/>
        </w:rPr>
        <w:t>Person</w:t>
      </w:r>
      <w:r>
        <w:rPr>
          <w:rFonts w:ascii="Times New Roman" w:hAnsi="Times New Roman"/>
          <w:sz w:val="20"/>
        </w:rPr>
        <w:t>”</w:t>
      </w:r>
      <w:r>
        <w:rPr>
          <w:rFonts w:ascii="Times New Roman;serif" w:hAnsi="Times New Roman;serif"/>
          <w:b w:val="false"/>
          <w:sz w:val="20"/>
        </w:rPr>
        <w:t>) among two or more Persons (whether pursuant to a “plan of division” or similar arrangement), which may or may not include the Dividing Person and pursuant to which the Dividing Person may or may not survive.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Division Successor</w:t>
      </w:r>
      <w:r>
        <w:rPr>
          <w:rFonts w:ascii="Times New Roman" w:hAnsi="Times New Roman"/>
          <w:sz w:val="20"/>
        </w:rPr>
        <w:t xml:space="preserve">” </w:t>
      </w:r>
      <w:r>
        <w:rPr>
          <w:rFonts w:ascii="Times New Roman;serif" w:hAnsi="Times New Roman;serif"/>
          <w:b w:val="false"/>
          <w:sz w:val="20"/>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before="240" w:after="0"/>
        <w:jc w:val="left"/>
        <w:rPr/>
      </w:pPr>
      <w:r>
        <w:rPr/>
        <w:t>“</w:t>
      </w:r>
      <w:r>
        <w:rPr>
          <w:rFonts w:ascii="Times New Roman;serif" w:hAnsi="Times New Roman;serif"/>
          <w:b w:val="false"/>
          <w:sz w:val="20"/>
          <w:u w:val="single"/>
        </w:rPr>
        <w:t>dollars</w:t>
      </w:r>
      <w:r>
        <w:rPr>
          <w:rFonts w:ascii="Times New Roman" w:hAnsi="Times New Roman"/>
          <w:sz w:val="20"/>
        </w:rPr>
        <w:t xml:space="preserve">” </w:t>
      </w:r>
      <w:r>
        <w:rPr>
          <w:rFonts w:ascii="Times New Roman;serif" w:hAnsi="Times New Roman;serif"/>
          <w:b w:val="false"/>
          <w:sz w:val="20"/>
        </w:rPr>
        <w:t>or “</w:t>
      </w:r>
      <w:r>
        <w:rPr>
          <w:rFonts w:ascii="Times New Roman;serif" w:hAnsi="Times New Roman;serif"/>
          <w:b w:val="false"/>
          <w:sz w:val="20"/>
          <w:u w:val="single"/>
        </w:rPr>
        <w:t>$</w:t>
      </w:r>
      <w:r>
        <w:rPr>
          <w:rFonts w:ascii="Times New Roman" w:hAnsi="Times New Roman"/>
          <w:sz w:val="20"/>
        </w:rPr>
        <w:t xml:space="preserve">” </w:t>
      </w:r>
      <w:r>
        <w:rPr>
          <w:rFonts w:ascii="Times New Roman;serif" w:hAnsi="Times New Roman;serif"/>
          <w:b w:val="false"/>
          <w:sz w:val="20"/>
        </w:rPr>
        <w:t>refers to lawful money of the United States of America.</w:t>
      </w:r>
    </w:p>
    <w:p>
      <w:pPr>
        <w:pStyle w:val="TextBody"/>
        <w:bidi w:val="0"/>
        <w:spacing w:before="240" w:after="0"/>
        <w:jc w:val="both"/>
        <w:rPr/>
      </w:pPr>
      <w:r>
        <w:rPr/>
        <w:t>“</w:t>
      </w:r>
      <w:r>
        <w:rPr>
          <w:rFonts w:ascii="Times New Roman;serif" w:hAnsi="Times New Roman;serif"/>
          <w:b w:val="false"/>
          <w:sz w:val="20"/>
          <w:u w:val="single"/>
        </w:rPr>
        <w:t>Documentation Agents</w:t>
      </w:r>
      <w:r>
        <w:rPr>
          <w:rFonts w:ascii="Times New Roman" w:hAnsi="Times New Roman"/>
          <w:sz w:val="20"/>
        </w:rPr>
        <w:t xml:space="preserve">” </w:t>
      </w:r>
      <w:r>
        <w:rPr>
          <w:rFonts w:ascii="Times New Roman;serif" w:hAnsi="Times New Roman;serif"/>
          <w:b w:val="false"/>
          <w:sz w:val="20"/>
        </w:rPr>
        <w:t>means Citizens Bank, N.A., Credit Suisse Loan Funding LLC, HSBC Securities (USA) Inc., Jefferies Finance LLC, JPMorgan Chase Bank, N.A., KKR Capital Markets LLC, RBC Capital Markets, and Stifel Nicolaus And Company, Incorporated.</w:t>
      </w:r>
    </w:p>
    <w:p>
      <w:pPr>
        <w:pStyle w:val="TextBody"/>
        <w:bidi w:val="0"/>
        <w:spacing w:before="240" w:after="0"/>
        <w:jc w:val="both"/>
        <w:rPr/>
      </w:pPr>
      <w:r>
        <w:rPr/>
        <w:t>“</w:t>
      </w:r>
      <w:r>
        <w:rPr>
          <w:rFonts w:ascii="Times New Roman;serif" w:hAnsi="Times New Roman;serif"/>
          <w:b w:val="false"/>
          <w:sz w:val="20"/>
          <w:u w:val="single"/>
        </w:rPr>
        <w:t>Dollar Equivalent</w:t>
      </w:r>
      <w:r>
        <w:rPr>
          <w:rFonts w:ascii="Times New Roman" w:hAnsi="Times New Roman"/>
          <w:sz w:val="20"/>
        </w:rPr>
        <w:t xml:space="preserve">” </w:t>
      </w:r>
      <w:r>
        <w:rPr>
          <w:rFonts w:ascii="Times New Roman;serif" w:hAnsi="Times New Roman;serif"/>
          <w:b w:val="false"/>
          <w:sz w:val="20"/>
        </w:rPr>
        <w:t xml:space="preserve">means, at any time, (a) with respect to any amount denominated in dollars, such amount and (b) with respect to any amount denominated in any currency other than dollars, the equivalent amount thereof in dollars as determined by the Administrative Agent at such time in accordance with </w:t>
      </w:r>
      <w:r>
        <w:rPr>
          <w:rFonts w:ascii="Times New Roman;serif" w:hAnsi="Times New Roman;serif"/>
          <w:b w:val="false"/>
          <w:sz w:val="20"/>
          <w:u w:val="single"/>
        </w:rPr>
        <w:t>Section 1.06</w:t>
      </w:r>
      <w:r>
        <w:rPr>
          <w:rFonts w:ascii="Times New Roman" w:hAnsi="Times New Roman"/>
          <w:sz w:val="20"/>
        </w:rPr>
        <w:t xml:space="preserve"> </w:t>
      </w:r>
      <w:r>
        <w:rPr>
          <w:rFonts w:ascii="Times New Roman;serif" w:hAnsi="Times New Roman;serif"/>
          <w:b w:val="false"/>
          <w:sz w:val="20"/>
        </w:rPr>
        <w:t>hereof.</w:t>
      </w:r>
    </w:p>
    <w:p>
      <w:pPr>
        <w:pStyle w:val="TextBody"/>
        <w:bidi w:val="0"/>
        <w:spacing w:before="240" w:after="0"/>
        <w:jc w:val="left"/>
        <w:rPr/>
      </w:pPr>
      <w:r>
        <w:rPr/>
        <w:t>“</w:t>
      </w:r>
      <w:r>
        <w:rPr>
          <w:rFonts w:ascii="Times New Roman;serif" w:hAnsi="Times New Roman;serif"/>
          <w:b w:val="false"/>
          <w:sz w:val="20"/>
          <w:u w:val="single"/>
        </w:rPr>
        <w:t>Domestic Subsidiary</w:t>
      </w:r>
      <w:r>
        <w:rPr>
          <w:rFonts w:ascii="Times New Roman" w:hAnsi="Times New Roman"/>
          <w:sz w:val="20"/>
        </w:rPr>
        <w:t xml:space="preserve">” </w:t>
      </w:r>
      <w:r>
        <w:rPr>
          <w:rFonts w:ascii="Times New Roman;serif" w:hAnsi="Times New Roman;serif"/>
          <w:b w:val="false"/>
          <w:sz w:val="20"/>
        </w:rPr>
        <w:t>means any Subsidiary that is not a Foreign Subsidiary.</w:t>
      </w:r>
    </w:p>
    <w:p>
      <w:pPr>
        <w:pStyle w:val="TextBody"/>
        <w:bidi w:val="0"/>
        <w:spacing w:before="240" w:after="0"/>
        <w:jc w:val="left"/>
        <w:rPr/>
      </w:pPr>
      <w:r>
        <w:rPr/>
        <w:t>“</w:t>
      </w:r>
      <w:r>
        <w:rPr>
          <w:rFonts w:ascii="Times New Roman;serif" w:hAnsi="Times New Roman;serif"/>
          <w:b w:val="false"/>
          <w:sz w:val="20"/>
          <w:u w:val="single"/>
        </w:rPr>
        <w:t>ECF Deductions</w:t>
      </w:r>
      <w:r>
        <w:rPr>
          <w:rFonts w:ascii="Times New Roman" w:hAnsi="Times New Roman"/>
          <w:sz w:val="20"/>
        </w:rPr>
        <w:t xml:space="preserve">” </w:t>
      </w:r>
      <w:r>
        <w:rPr>
          <w:rFonts w:ascii="Times New Roman;serif" w:hAnsi="Times New Roman;serif"/>
          <w:b w:val="false"/>
          <w:sz w:val="20"/>
        </w:rPr>
        <w:t>means, for any period, an amount equal to the sum of:</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without duplication of amounts deducted pursuant to clause (f) below in prior fiscal years, the amount of Capital Expenditures made in cash or accrued during such period, to the extent that such Capital Expenditures were financed with internally generated cash flow of Holdings, the Borrower or the Restricted Subsidiaries,</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cash payments by the Borrower and the Restricted Subsidiaries during such period in respect of purchase price holdbacks, earn out obligations, or long-term liabilities of the Borrower and the Restricted Subsidiaries other than Indebtedness to the extent such payments are not expensed during such period or are not deducted in calculating Consolidated Net Income to the extent financed with internally generated cash flow of Holdings, the Borrower or the Restricted Subsidiaries,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without duplication of amounts deducted pursuant to clause (f) below in prior fiscal years, the amount of Investments (other than Investments in Permitted Investments) and acquisitions not prohibited by this Agreement, to the extent that such Investments and acquisitions were financed with internally generated cash flow of Holdings, the Borrower or the Restricted Subsidiaries,</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amount of dividends, distributions and other Restricted Payments paid in cash during such period not prohibited by this Agreement, to the extent that such dividends and distributions were financed with internally generated cash flow of Holdings, the Borrower or the Restricted Subsidiaries,</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aggregate amount of expenditures actually made by the Borrower and the Restricted Subsidiaries in cash during such period (including expenditures for the payment of financing fees and cash restructuring charges) to the extent that such expenditures are not expensed during such period or are not deducted in calculating Consolidated Net Income, to the extent that such expenditure was financed with internally generated cash flow of Holdings, the Borrower or the Restricted Subsidiaries (other than Investments in Permitted Investments), and</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283"/>
        <w:jc w:val="both"/>
        <w:rPr/>
      </w:pPr>
      <w:r>
        <w:rPr>
          <w:rFonts w:ascii="Times New Roman;serif" w:hAnsi="Times New Roman;serif"/>
          <w:b w:val="false"/>
          <w:sz w:val="20"/>
        </w:rPr>
        <w:t>without duplication of amounts deducted from Excess Cash Flow in prior periods, (i) the aggregate consideration required to be paid in cash by the Borrower or any of the Restricted Subsidiaries pursuant to binding contracts, commitments, letters of intent or purchase orders (the “</w:t>
      </w:r>
      <w:r>
        <w:rPr>
          <w:rFonts w:ascii="Times New Roman;serif" w:hAnsi="Times New Roman;serif"/>
          <w:b w:val="false"/>
          <w:sz w:val="20"/>
          <w:u w:val="single"/>
        </w:rPr>
        <w:t>Contract Consideration</w:t>
      </w:r>
      <w:r>
        <w:rPr/>
        <w:t>”</w:t>
      </w:r>
      <w:r>
        <w:rPr>
          <w:rFonts w:ascii="Times New Roman;serif" w:hAnsi="Times New Roman;serif"/>
          <w:b w:val="false"/>
          <w:sz w:val="20"/>
        </w:rPr>
        <w:t xml:space="preserve">), in each case, entered into prior to or during such period and (ii) to the extent set forth in a certificate of a Financial Officer delivered to the Administrative Agent at or before the time the Compliance Certificate for the period ending simultaneously with such Test Period is required to be delivered pursuant to </w:t>
      </w:r>
      <w:r>
        <w:rPr>
          <w:rFonts w:ascii="Times New Roman;serif" w:hAnsi="Times New Roman;serif"/>
          <w:b w:val="false"/>
          <w:sz w:val="20"/>
          <w:u w:val="single"/>
        </w:rPr>
        <w:t>Section 5.01(d)</w:t>
      </w:r>
      <w:r>
        <w:rPr>
          <w:rFonts w:ascii="Times New Roman;serif" w:hAnsi="Times New Roman;serif"/>
          <w:b w:val="false"/>
          <w:sz w:val="20"/>
        </w:rPr>
        <w:t>, the aggregate amount of cash that is reasonably expected to be paid in respect of planned cash expenditures by the Borrower or any of the Restricted Subsidiaries (the “</w:t>
      </w:r>
      <w:r>
        <w:rPr>
          <w:rFonts w:ascii="Times New Roman;serif" w:hAnsi="Times New Roman;serif"/>
          <w:b w:val="false"/>
          <w:sz w:val="20"/>
          <w:u w:val="single"/>
        </w:rPr>
        <w:t>Planned Expenditures</w:t>
      </w:r>
      <w:r>
        <w:rPr/>
        <w:t>”</w:t>
      </w:r>
      <w:r>
        <w:rPr>
          <w:rFonts w:ascii="Times New Roman;serif" w:hAnsi="Times New Roman;serif"/>
          <w:b w:val="false"/>
          <w:sz w:val="20"/>
        </w:rPr>
        <w:t xml:space="preserve">); in the case of each of clauses (i), (ii) and (iii), relating to Permitted Acquisitions, other Investments (other than Investments in Permitted Investments), Capital Expenditures (including Capitalized Software Expenditures or other purchases of Intellectual Property) to be consummated, made or paid during a subsequent Test Period;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to the extent the aggregate amount of internally generated cash actually utilized to finance such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Permitted Acquisitions, Investments or Capital Expenditures during such Test Period is less than the Contract Consideration or Planned Expenditures, as applicable, the amount of such shortfall shall be added to the calculation of Excess Cash Flow at the end of such Test Period.</w:t>
      </w:r>
    </w:p>
    <w:p>
      <w:pPr>
        <w:pStyle w:val="TextBody"/>
        <w:bidi w:val="0"/>
        <w:spacing w:before="240" w:after="0"/>
        <w:jc w:val="both"/>
        <w:rPr/>
      </w:pPr>
      <w:r>
        <w:rPr/>
        <w:t>“</w:t>
      </w:r>
      <w:r>
        <w:rPr>
          <w:rFonts w:ascii="Times New Roman;serif" w:hAnsi="Times New Roman;serif"/>
          <w:b w:val="false"/>
          <w:sz w:val="20"/>
          <w:u w:val="single"/>
        </w:rPr>
        <w:t>ECF Percentage</w:t>
      </w:r>
      <w:r>
        <w:rPr>
          <w:rFonts w:ascii="Times New Roman" w:hAnsi="Times New Roman"/>
          <w:sz w:val="20"/>
        </w:rPr>
        <w:t xml:space="preserve">” </w:t>
      </w:r>
      <w:r>
        <w:rPr>
          <w:rFonts w:ascii="Times New Roman;serif" w:hAnsi="Times New Roman;serif"/>
          <w:b w:val="false"/>
          <w:sz w:val="20"/>
        </w:rPr>
        <w:t xml:space="preserve">means, with respect to the prepayment required by </w:t>
      </w:r>
      <w:r>
        <w:rPr>
          <w:rFonts w:ascii="Times New Roman;serif" w:hAnsi="Times New Roman;serif"/>
          <w:b w:val="false"/>
          <w:sz w:val="20"/>
          <w:u w:val="single"/>
        </w:rPr>
        <w:t>Section 2.11(d)</w:t>
      </w:r>
      <w:r>
        <w:rPr>
          <w:rFonts w:ascii="Times New Roman" w:hAnsi="Times New Roman"/>
          <w:sz w:val="20"/>
        </w:rPr>
        <w:t xml:space="preserve"> </w:t>
      </w:r>
      <w:r>
        <w:rPr>
          <w:rFonts w:ascii="Times New Roman;serif" w:hAnsi="Times New Roman;serif"/>
          <w:b w:val="false"/>
          <w:sz w:val="20"/>
        </w:rPr>
        <w:t xml:space="preserve">with respect to any fiscal year of the Borrower, if the First Lien Leverage Ratio (prior to giving effect to the applicable prepayment pursuant to </w:t>
      </w:r>
      <w:r>
        <w:rPr>
          <w:rFonts w:ascii="Times New Roman;serif" w:hAnsi="Times New Roman;serif"/>
          <w:b w:val="false"/>
          <w:sz w:val="20"/>
          <w:u w:val="single"/>
        </w:rPr>
        <w:t>Section 2.11(d)</w:t>
      </w:r>
      <w:r>
        <w:rPr>
          <w:rFonts w:ascii="Times New Roman;serif" w:hAnsi="Times New Roman;serif"/>
          <w:b w:val="false"/>
          <w:sz w:val="20"/>
        </w:rPr>
        <w:t xml:space="preserve">, but after giving effect to any voluntary prepayments made pursuant to </w:t>
      </w:r>
      <w:r>
        <w:rPr>
          <w:rFonts w:ascii="Times New Roman;serif" w:hAnsi="Times New Roman;serif"/>
          <w:b w:val="false"/>
          <w:sz w:val="20"/>
          <w:u w:val="single"/>
        </w:rPr>
        <w:t>Section 2.11(a)</w:t>
      </w:r>
      <w:r>
        <w:rPr>
          <w:rFonts w:ascii="Times New Roman" w:hAnsi="Times New Roman"/>
          <w:sz w:val="20"/>
        </w:rPr>
        <w:t xml:space="preserve"> </w:t>
      </w:r>
      <w:r>
        <w:rPr>
          <w:rFonts w:ascii="Times New Roman;serif" w:hAnsi="Times New Roman;serif"/>
          <w:b w:val="false"/>
          <w:sz w:val="20"/>
        </w:rPr>
        <w:t xml:space="preserve">or any repurchase pursuant to </w:t>
      </w:r>
      <w:r>
        <w:rPr>
          <w:rFonts w:ascii="Times New Roman;serif" w:hAnsi="Times New Roman;serif"/>
          <w:b w:val="false"/>
          <w:sz w:val="20"/>
          <w:u w:val="single"/>
        </w:rPr>
        <w:t>Section 9.04(g)</w:t>
      </w:r>
      <w:r>
        <w:rPr>
          <w:rFonts w:ascii="Times New Roman" w:hAnsi="Times New Roman"/>
          <w:sz w:val="20"/>
        </w:rPr>
        <w:t xml:space="preserve"> </w:t>
      </w:r>
      <w:r>
        <w:rPr>
          <w:rFonts w:ascii="Times New Roman;serif" w:hAnsi="Times New Roman;serif"/>
          <w:b w:val="false"/>
          <w:sz w:val="20"/>
        </w:rPr>
        <w:t>prior to the date of such prepayment) as of the end of such fiscal year is (a) greater than 4.25 to 1.00, 50% of Excess Cash Flow for such fiscal year, (b) greater than 3.75 to 1.00 but less than or equal to 4.25 to 1.00, 25% of Excess Cash Flow for such fiscal year and (c) equal to or less than 3.75 to 1.00, 0% of Excess Cash Flow for such fiscal year.</w:t>
      </w:r>
    </w:p>
    <w:p>
      <w:pPr>
        <w:pStyle w:val="TextBody"/>
        <w:bidi w:val="0"/>
        <w:spacing w:before="240" w:after="0"/>
        <w:jc w:val="both"/>
        <w:rPr/>
      </w:pPr>
      <w:r>
        <w:rPr/>
        <w:t>“</w:t>
      </w:r>
      <w:r>
        <w:rPr>
          <w:rFonts w:ascii="Times New Roman;serif" w:hAnsi="Times New Roman;serif"/>
          <w:b w:val="false"/>
          <w:sz w:val="20"/>
          <w:u w:val="single"/>
        </w:rPr>
        <w:t>EEA Financial Institution</w:t>
      </w:r>
      <w:r>
        <w:rPr>
          <w:rFonts w:ascii="Times New Roman" w:hAnsi="Times New Roman"/>
          <w:sz w:val="20"/>
        </w:rPr>
        <w:t xml:space="preserve">” </w:t>
      </w:r>
      <w:r>
        <w:rPr>
          <w:rFonts w:ascii="Times New Roman;serif" w:hAnsi="Times New Roman;serif"/>
          <w:b w:val="false"/>
          <w:sz w:val="20"/>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40" w:after="0"/>
        <w:jc w:val="both"/>
        <w:rPr/>
      </w:pPr>
      <w:r>
        <w:rPr/>
        <w:t>“</w:t>
      </w:r>
      <w:r>
        <w:rPr>
          <w:rFonts w:ascii="Times New Roman;serif" w:hAnsi="Times New Roman;serif"/>
          <w:b w:val="false"/>
          <w:sz w:val="20"/>
          <w:u w:val="single"/>
        </w:rPr>
        <w:t>EEA Member Country</w:t>
      </w:r>
      <w:r>
        <w:rPr>
          <w:rFonts w:ascii="Times New Roman" w:hAnsi="Times New Roman"/>
          <w:sz w:val="20"/>
        </w:rPr>
        <w:t xml:space="preserve">” </w:t>
      </w:r>
      <w:r>
        <w:rPr>
          <w:rFonts w:ascii="Times New Roman;serif" w:hAnsi="Times New Roman;serif"/>
          <w:b w:val="false"/>
          <w:sz w:val="20"/>
        </w:rPr>
        <w:t>means any of the member states of the European Union, Iceland, Liechtenstein, and Norway.</w:t>
      </w:r>
    </w:p>
    <w:p>
      <w:pPr>
        <w:pStyle w:val="TextBody"/>
        <w:bidi w:val="0"/>
        <w:spacing w:before="240" w:after="0"/>
        <w:jc w:val="both"/>
        <w:rPr/>
      </w:pPr>
      <w:r>
        <w:rPr/>
        <w:t>“</w:t>
      </w:r>
      <w:r>
        <w:rPr>
          <w:rFonts w:ascii="Times New Roman;serif" w:hAnsi="Times New Roman;serif"/>
          <w:b w:val="false"/>
          <w:sz w:val="20"/>
          <w:u w:val="single"/>
        </w:rPr>
        <w:t>EEA Resolution Authority</w:t>
      </w:r>
      <w:r>
        <w:rPr>
          <w:rFonts w:ascii="Times New Roman" w:hAnsi="Times New Roman"/>
          <w:sz w:val="20"/>
        </w:rPr>
        <w:t xml:space="preserve">” </w:t>
      </w:r>
      <w:r>
        <w:rPr>
          <w:rFonts w:ascii="Times New Roman;serif" w:hAnsi="Times New Roman;serif"/>
          <w:b w:val="false"/>
          <w:sz w:val="20"/>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0"/>
        <w:jc w:val="both"/>
        <w:rPr/>
      </w:pPr>
      <w:r>
        <w:rPr/>
        <w:t>“</w:t>
      </w:r>
      <w:r>
        <w:rPr>
          <w:rFonts w:ascii="Times New Roman;serif" w:hAnsi="Times New Roman;serif"/>
          <w:b w:val="false"/>
          <w:sz w:val="20"/>
          <w:u w:val="single"/>
        </w:rPr>
        <w:t>Effective Date</w:t>
      </w:r>
      <w:r>
        <w:rPr>
          <w:rFonts w:ascii="Times New Roman" w:hAnsi="Times New Roman"/>
          <w:sz w:val="20"/>
        </w:rPr>
        <w:t xml:space="preserve">” </w:t>
      </w:r>
      <w:r>
        <w:rPr>
          <w:rFonts w:ascii="Times New Roman;serif" w:hAnsi="Times New Roman;serif"/>
          <w:b w:val="false"/>
          <w:sz w:val="20"/>
        </w:rPr>
        <w:t xml:space="preserve">means the date on which the conditions specified in </w:t>
      </w:r>
      <w:r>
        <w:rPr>
          <w:rFonts w:ascii="Times New Roman;serif" w:hAnsi="Times New Roman;serif"/>
          <w:b w:val="false"/>
          <w:sz w:val="20"/>
          <w:u w:val="single"/>
        </w:rPr>
        <w:t>Section 4.01</w:t>
      </w:r>
      <w:r>
        <w:rPr>
          <w:rFonts w:ascii="Times New Roman" w:hAnsi="Times New Roman"/>
          <w:sz w:val="20"/>
        </w:rPr>
        <w:t xml:space="preserve"> </w:t>
      </w:r>
      <w:r>
        <w:rPr>
          <w:rFonts w:ascii="Times New Roman;serif" w:hAnsi="Times New Roman;serif"/>
          <w:b w:val="false"/>
          <w:sz w:val="20"/>
        </w:rPr>
        <w:t xml:space="preserve">are satisfied (or waived in accordance with </w:t>
      </w:r>
      <w:r>
        <w:rPr>
          <w:rFonts w:ascii="Times New Roman;serif" w:hAnsi="Times New Roman;serif"/>
          <w:b w:val="false"/>
          <w:sz w:val="20"/>
          <w:u w:val="single"/>
        </w:rPr>
        <w:t>Section 9.02</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Effective Date Refinancing</w:t>
      </w:r>
      <w:r>
        <w:rPr>
          <w:rFonts w:ascii="Times New Roman" w:hAnsi="Times New Roman"/>
          <w:sz w:val="20"/>
        </w:rPr>
        <w:t xml:space="preserve">” </w:t>
      </w:r>
      <w:r>
        <w:rPr>
          <w:rFonts w:ascii="Times New Roman;serif" w:hAnsi="Times New Roman;serif"/>
          <w:b w:val="false"/>
          <w:sz w:val="20"/>
        </w:rPr>
        <w:t>means the repayment, repurchase or other discharge of the Existing Credit Agreement Indebtedness and termination and/or release of any security interests and guarantees in connection therewith.</w:t>
      </w:r>
    </w:p>
    <w:p>
      <w:pPr>
        <w:pStyle w:val="TextBody"/>
        <w:bidi w:val="0"/>
        <w:spacing w:before="240" w:after="0"/>
        <w:jc w:val="both"/>
        <w:rPr/>
      </w:pPr>
      <w:r>
        <w:rPr/>
        <w:t>“</w:t>
      </w:r>
      <w:r>
        <w:rPr>
          <w:rFonts w:ascii="Times New Roman;serif" w:hAnsi="Times New Roman;serif"/>
          <w:b w:val="false"/>
          <w:sz w:val="20"/>
          <w:u w:val="single"/>
        </w:rPr>
        <w:t>Effective Yield</w:t>
      </w:r>
      <w:r>
        <w:rPr>
          <w:rFonts w:ascii="Times New Roman" w:hAnsi="Times New Roman"/>
          <w:sz w:val="20"/>
        </w:rPr>
        <w:t xml:space="preserve">” </w:t>
      </w:r>
      <w:r>
        <w:rPr>
          <w:rFonts w:ascii="Times New Roman;serif" w:hAnsi="Times New Roman;serif"/>
          <w:b w:val="false"/>
          <w:sz w:val="20"/>
        </w:rPr>
        <w:t xml:space="preserve">means, as to any Indebtedness as of any date of determination, the effective yield on such Indebtedness in the reasonable determination of the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(a) the remaining Weighted Average Life to Maturity of such Indebtedness and (b) the four years following the date of incurrence thereof) payable generally to lenders or other institutions providing such Indebtedness, but excluding any arrangement, structuring, ticking, commitment, underwriting or other similar fees payable in connection therewith and, if applicable, consent fees for an amendment (in each case regardless of whether any such fees are paid to or shared in whole or in part with any lender) and any other fees not paid to all relevant lenders generally;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with respect to any Indebtedness that includes a “</w:t>
      </w:r>
      <w:r>
        <w:rPr>
          <w:rFonts w:ascii="Times New Roman;serif" w:hAnsi="Times New Roman;serif"/>
          <w:b w:val="false"/>
          <w:strike/>
          <w:sz w:val="20"/>
        </w:rPr>
        <w:t>LIBOR</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floor” or “Base Rate floor,” (i) to the extent that </w:t>
      </w:r>
      <w:r>
        <w:rPr>
          <w:rFonts w:ascii="Times New Roman;serif" w:hAnsi="Times New Roman;serif"/>
          <w:b w:val="false"/>
          <w:strike/>
          <w:sz w:val="20"/>
        </w:rPr>
        <w:t>the LIBO Rate</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(with an Interest Period of one month)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w:t>
      </w:r>
      <w:r>
        <w:rPr>
          <w:rFonts w:ascii="Times New Roman;serif" w:hAnsi="Times New Roman;serif"/>
          <w:b w:val="false"/>
          <w:strike/>
          <w:sz w:val="20"/>
        </w:rPr>
        <w:t>the LIBO Rate</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(with an Interest Period of one month) or Alternate Base Rate (without giving effect to any floors in such definitions), as applicable, on the date that the Effective Yield is being calculated is greater than such floor, then the floor shall be disregarded in calculating the Effective Yield.</w:t>
      </w:r>
    </w:p>
    <w:p>
      <w:pPr>
        <w:pStyle w:val="TextBody"/>
        <w:bidi w:val="0"/>
        <w:spacing w:before="240" w:after="0"/>
        <w:jc w:val="both"/>
        <w:rPr/>
      </w:pPr>
      <w:r>
        <w:rPr/>
        <w:t>“</w:t>
      </w:r>
      <w:r>
        <w:rPr>
          <w:rFonts w:ascii="Times New Roman;serif" w:hAnsi="Times New Roman;serif"/>
          <w:b w:val="false"/>
          <w:sz w:val="20"/>
          <w:u w:val="single"/>
        </w:rPr>
        <w:t>Eligible Assignee</w:t>
      </w:r>
      <w:r>
        <w:rPr>
          <w:rFonts w:ascii="Times New Roman" w:hAnsi="Times New Roman"/>
          <w:sz w:val="20"/>
        </w:rPr>
        <w:t xml:space="preserve">” </w:t>
      </w:r>
      <w:r>
        <w:rPr>
          <w:rFonts w:ascii="Times New Roman;serif" w:hAnsi="Times New Roman;serif"/>
          <w:b w:val="false"/>
          <w:sz w:val="20"/>
        </w:rPr>
        <w:t xml:space="preserve">means (a) a Lender, (b) an Affiliate of a Lender, (c) an Approved Fund and (d) any other Person (including, subject to the requirements of </w:t>
      </w:r>
      <w:r>
        <w:rPr>
          <w:rFonts w:ascii="Times New Roman;serif" w:hAnsi="Times New Roman;serif"/>
          <w:b w:val="false"/>
          <w:sz w:val="20"/>
          <w:u w:val="single"/>
        </w:rPr>
        <w:t>Section 9.04(f)</w:t>
      </w:r>
      <w:r>
        <w:rPr>
          <w:rFonts w:ascii="Times New Roman;serif" w:hAnsi="Times New Roman;serif"/>
          <w:b w:val="false"/>
          <w:sz w:val="20"/>
        </w:rPr>
        <w:t xml:space="preserve">, </w:t>
      </w:r>
      <w:r>
        <w:rPr>
          <w:rFonts w:ascii="Times New Roman;serif" w:hAnsi="Times New Roman;serif"/>
          <w:b w:val="false"/>
          <w:sz w:val="20"/>
          <w:u w:val="single"/>
        </w:rPr>
        <w:t>(g)</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(h)</w:t>
      </w:r>
      <w:r>
        <w:rPr>
          <w:rFonts w:ascii="Times New Roman;serif" w:hAnsi="Times New Roman;serif"/>
          <w:b w:val="false"/>
          <w:sz w:val="20"/>
        </w:rPr>
        <w:t>, as applicable, Holdings, the Borrower or any of their Affiliates), other than, in each case, (i) a natural person, (ii) a Defaulting Lender or (iii) a Disqualified Lender.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Eligible Currency</w:t>
      </w:r>
      <w:r>
        <w:rPr>
          <w:rFonts w:ascii="Times New Roman" w:hAnsi="Times New Roman"/>
          <w:sz w:val="20"/>
        </w:rPr>
        <w:t xml:space="preserve">” </w:t>
      </w:r>
      <w:r>
        <w:rPr>
          <w:rFonts w:ascii="Times New Roman;serif" w:hAnsi="Times New Roman;serif"/>
          <w:b w:val="false"/>
          <w:sz w:val="20"/>
        </w:rPr>
        <w:t>means any lawful currency other than dollars that is readily available, freely transferable and convertible into dollars in the international interbank market available to the applicable Issuing Bank in such market and as to which a Dollar Equivalent may be readily calculated. If, after the designation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applicable Issuing Bank, (a) such currency no longer being readily available, freely transferable and convertible into dollars, (b) a Dollar Equivalent is no longer being readily calculable with respect to such currency or (c) such currency being impracticable for Issuing Banks to provide (each of (a), (b) and (c), a “</w:t>
      </w:r>
      <w:r>
        <w:rPr>
          <w:rFonts w:ascii="Times New Roman;serif" w:hAnsi="Times New Roman;serif"/>
          <w:b w:val="false"/>
          <w:sz w:val="20"/>
          <w:u w:val="single"/>
        </w:rPr>
        <w:t>Disqualifying Event</w:t>
      </w:r>
      <w:r>
        <w:rPr>
          <w:rFonts w:ascii="Times New Roman" w:hAnsi="Times New Roman"/>
          <w:sz w:val="20"/>
        </w:rPr>
        <w:t>”</w:t>
      </w:r>
      <w:r>
        <w:rPr>
          <w:rFonts w:ascii="Times New Roman;serif" w:hAnsi="Times New Roman;serif"/>
          <w:b w:val="false"/>
          <w:sz w:val="20"/>
        </w:rPr>
        <w:t>), then the Administrative Agent shall promptly notify the Issuing Banks and the Borrower, and such country’s currency shall no longer be an Alternative Currency until such time as the Disqualifying Event(s) no longer exist. Within, five (5) Business Days after receipt of such notice from the Administrative Agent, the Borrower shall reimburse LC Disbursements in such currency to which the Disqualifying Event applies.</w:t>
      </w:r>
    </w:p>
    <w:p>
      <w:pPr>
        <w:pStyle w:val="TextBody"/>
        <w:bidi w:val="0"/>
        <w:spacing w:before="240" w:after="0"/>
        <w:jc w:val="both"/>
        <w:rPr/>
      </w:pPr>
      <w:r>
        <w:rPr/>
        <w:t>“</w:t>
      </w:r>
      <w:r>
        <w:rPr>
          <w:rFonts w:ascii="Times New Roman;serif" w:hAnsi="Times New Roman;serif"/>
          <w:b w:val="false"/>
          <w:sz w:val="20"/>
          <w:u w:val="single"/>
        </w:rPr>
        <w:t>Environmental Laws</w:t>
      </w:r>
      <w:r>
        <w:rPr>
          <w:rFonts w:ascii="Times New Roman" w:hAnsi="Times New Roman"/>
          <w:sz w:val="20"/>
        </w:rPr>
        <w:t xml:space="preserve">” </w:t>
      </w:r>
      <w:r>
        <w:rPr>
          <w:rFonts w:ascii="Times New Roman;serif" w:hAnsi="Times New Roman;serif"/>
          <w:b w:val="false"/>
          <w:sz w:val="20"/>
        </w:rPr>
        <w:t>means applicable common law and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pollution or the protection of the environment, including with respect to the preservation or reclamation of natural resources, Hazardous Materials, or to the extent relating to exposure to Hazardous Materials, the protection of human health or safety.</w:t>
      </w:r>
    </w:p>
    <w:p>
      <w:pPr>
        <w:pStyle w:val="TextBody"/>
        <w:bidi w:val="0"/>
        <w:spacing w:before="240" w:after="0"/>
        <w:jc w:val="both"/>
        <w:rPr/>
      </w:pPr>
      <w:r>
        <w:rPr/>
        <w:t>“</w:t>
      </w:r>
      <w:r>
        <w:rPr>
          <w:rFonts w:ascii="Times New Roman;serif" w:hAnsi="Times New Roman;serif"/>
          <w:b w:val="false"/>
          <w:sz w:val="20"/>
          <w:u w:val="single"/>
        </w:rPr>
        <w:t>Environmental Liability</w:t>
      </w:r>
      <w:r>
        <w:rPr>
          <w:rFonts w:ascii="Times New Roman" w:hAnsi="Times New Roman"/>
          <w:sz w:val="20"/>
        </w:rPr>
        <w:t xml:space="preserve">” </w:t>
      </w:r>
      <w:r>
        <w:rPr>
          <w:rFonts w:ascii="Times New Roman;serif" w:hAnsi="Times New Roman;serif"/>
          <w:b w:val="false"/>
          <w:sz w:val="20"/>
        </w:rPr>
        <w:t>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pStyle w:val="TextBody"/>
        <w:bidi w:val="0"/>
        <w:spacing w:before="240" w:after="0"/>
        <w:jc w:val="both"/>
        <w:rPr/>
      </w:pPr>
      <w:r>
        <w:rPr/>
        <w:t>“</w:t>
      </w:r>
      <w:r>
        <w:rPr>
          <w:rFonts w:ascii="Times New Roman;serif" w:hAnsi="Times New Roman;serif"/>
          <w:b w:val="false"/>
          <w:sz w:val="20"/>
          <w:u w:val="single"/>
        </w:rPr>
        <w:t>Equity Contribution</w:t>
      </w:r>
      <w:r>
        <w:rPr>
          <w:rFonts w:ascii="Times New Roman" w:hAnsi="Times New Roman"/>
          <w:sz w:val="20"/>
        </w:rPr>
        <w:t xml:space="preserve">” </w:t>
      </w:r>
      <w:r>
        <w:rPr>
          <w:rFonts w:ascii="Times New Roman;serif" w:hAnsi="Times New Roman;serif"/>
          <w:b w:val="false"/>
          <w:sz w:val="20"/>
        </w:rPr>
        <w:t>means the cash equity contributions by the Sponsor and other Investors, directly or indirectly, to Holdings, the Net Proceeds of which are further contributed directly or indirectly, to Merger Sub, in an aggregate amount equal to, when combined with the fair market value of any Equity Interests, restricted stock units, options or similar equity-linked interests of the Target rolled over or invested in connection with the Transactions, at least 35% of the sum of (a) the aggregate gross proceeds of the Loans and Second Lien Loans borrowed on the Effective Date, excluding the aggregate gross proceeds of any Revolving Loans to fund any working capital needs on the Effective Date and (b) the equity capitalization of the Borrower and its subsidiaries on the Effective Date after giving effect to all of the Transactions.</w:t>
      </w:r>
    </w:p>
    <w:p>
      <w:pPr>
        <w:pStyle w:val="TextBody"/>
        <w:bidi w:val="0"/>
        <w:spacing w:before="240" w:after="0"/>
        <w:jc w:val="both"/>
        <w:rPr/>
      </w:pPr>
      <w:r>
        <w:rPr/>
        <w:t>“</w:t>
      </w:r>
      <w:r>
        <w:rPr>
          <w:rFonts w:ascii="Times New Roman;serif" w:hAnsi="Times New Roman;serif"/>
          <w:b w:val="false"/>
          <w:sz w:val="20"/>
          <w:u w:val="single"/>
        </w:rPr>
        <w:t>Equity Interests</w:t>
      </w:r>
      <w:r>
        <w:rPr>
          <w:rFonts w:ascii="Times New Roman" w:hAnsi="Times New Roman"/>
          <w:sz w:val="20"/>
        </w:rPr>
        <w:t xml:space="preserve">” </w:t>
      </w:r>
      <w:r>
        <w:rPr>
          <w:rFonts w:ascii="Times New Roman;serif" w:hAnsi="Times New Roman;serif"/>
          <w:b w:val="false"/>
          <w:sz w:val="20"/>
        </w:rPr>
        <w:t>means shares of capital stock, partnership interests, membership interests in a limited liability company, beneficial interests in a trust or other equity ownership interests in a Person.</w:t>
      </w:r>
    </w:p>
    <w:p>
      <w:pPr>
        <w:pStyle w:val="TextBody"/>
        <w:bidi w:val="0"/>
        <w:spacing w:before="240" w:after="0"/>
        <w:jc w:val="both"/>
        <w:rPr/>
      </w:pPr>
      <w:r>
        <w:rPr/>
        <w:t>“</w:t>
      </w:r>
      <w:r>
        <w:rPr>
          <w:rFonts w:ascii="Times New Roman;serif" w:hAnsi="Times New Roman;serif"/>
          <w:b w:val="false"/>
          <w:sz w:val="20"/>
          <w:u w:val="single"/>
        </w:rPr>
        <w:t>ERISA</w:t>
      </w:r>
      <w:r>
        <w:rPr>
          <w:rFonts w:ascii="Times New Roman" w:hAnsi="Times New Roman"/>
          <w:sz w:val="20"/>
        </w:rPr>
        <w:t xml:space="preserve">” </w:t>
      </w:r>
      <w:r>
        <w:rPr>
          <w:rFonts w:ascii="Times New Roman;serif" w:hAnsi="Times New Roman;serif"/>
          <w:b w:val="false"/>
          <w:sz w:val="20"/>
        </w:rPr>
        <w:t>means the Employee Retirement Income Security Act of 1974, as amended from time to time, and the rules and regulations promulgated thereunder.</w:t>
      </w:r>
    </w:p>
    <w:p>
      <w:pPr>
        <w:pStyle w:val="TextBody"/>
        <w:bidi w:val="0"/>
        <w:spacing w:before="240" w:after="0"/>
        <w:jc w:val="both"/>
        <w:rPr/>
      </w:pPr>
      <w:r>
        <w:rPr/>
        <w:t>“</w:t>
      </w:r>
      <w:r>
        <w:rPr>
          <w:rFonts w:ascii="Times New Roman;serif" w:hAnsi="Times New Roman;serif"/>
          <w:b w:val="false"/>
          <w:sz w:val="20"/>
          <w:u w:val="single"/>
        </w:rPr>
        <w:t>ERISA Affiliate</w:t>
      </w:r>
      <w:r>
        <w:rPr>
          <w:rFonts w:ascii="Times New Roman" w:hAnsi="Times New Roman"/>
          <w:sz w:val="20"/>
        </w:rPr>
        <w:t xml:space="preserve">” </w:t>
      </w:r>
      <w:r>
        <w:rPr>
          <w:rFonts w:ascii="Times New Roman;serif" w:hAnsi="Times New Roman;serif"/>
          <w:b w:val="false"/>
          <w:sz w:val="20"/>
        </w:rPr>
        <w:t>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pStyle w:val="TextBody"/>
        <w:bidi w:val="0"/>
        <w:spacing w:before="240" w:after="0"/>
        <w:jc w:val="both"/>
        <w:rPr/>
      </w:pPr>
      <w:r>
        <w:rPr/>
        <w:t>“</w:t>
      </w:r>
      <w:r>
        <w:rPr>
          <w:rFonts w:ascii="Times New Roman;serif" w:hAnsi="Times New Roman;serif"/>
          <w:b w:val="false"/>
          <w:sz w:val="20"/>
          <w:u w:val="single"/>
        </w:rPr>
        <w:t>ERISA Event</w:t>
      </w:r>
      <w:r>
        <w:rPr>
          <w:rFonts w:ascii="Times New Roman" w:hAnsi="Times New Roman"/>
          <w:sz w:val="20"/>
        </w:rPr>
        <w:t xml:space="preserve">” </w:t>
      </w:r>
      <w:r>
        <w:rPr>
          <w:rFonts w:ascii="Times New Roman;serif" w:hAnsi="Times New Roman;serif"/>
          <w:b w:val="false"/>
          <w:sz w:val="20"/>
        </w:rPr>
        <w:t>means (a) any “reportable event,” as defined in Section 4043 of ERISA or the regulations issued thereunder with respect to a Plan (other than an event for which the 30 day notice period is waived); (b) any failure by any Plan to satisfy the minimum funding standards (within the meaning of Section 412 or Section 430 of the Code or Section 302 of ERISA) applicable to such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of its ERISA Affiliates of any liability under Title IV of ERISA with respect to the termination of any Plan; (f) the receipt by a Loan Party or 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ERISA Affiliate from the PBGC or a plan administrator of any notice relating to an intention to terminate any Plan or Plans or to appoint a trustee to administer any Plan; (g) the incurrence by a Loan Party or any of its ERISA Affiliates of any liability with respect to the withdrawal or partial withdrawal from any Plan (including any liability under Section 4062(e) of ERISA) or Multiemployer Plan; or (h)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Title IV of ERISA or in endangered or critical status, within the meaning of Section 305 of ERISA.</w:t>
      </w:r>
    </w:p>
    <w:p>
      <w:pPr>
        <w:pStyle w:val="TextBody"/>
        <w:bidi w:val="0"/>
        <w:spacing w:before="240" w:after="0"/>
        <w:jc w:val="both"/>
        <w:rPr/>
      </w:pPr>
      <w:r>
        <w:rPr/>
        <w:t>“</w:t>
      </w:r>
      <w:r>
        <w:rPr>
          <w:rFonts w:ascii="Times New Roman;serif" w:hAnsi="Times New Roman;serif"/>
          <w:b w:val="false"/>
          <w:sz w:val="20"/>
          <w:u w:val="single"/>
        </w:rPr>
        <w:t>EU Bail-In Legislation Schedule</w:t>
      </w:r>
      <w:r>
        <w:rPr>
          <w:rFonts w:ascii="Times New Roman" w:hAnsi="Times New Roman"/>
          <w:sz w:val="20"/>
        </w:rPr>
        <w:t xml:space="preserve">” </w:t>
      </w:r>
      <w:r>
        <w:rPr>
          <w:rFonts w:ascii="Times New Roman;serif" w:hAnsi="Times New Roman;serif"/>
          <w:b w:val="false"/>
          <w:sz w:val="20"/>
        </w:rPr>
        <w:t>means the EU Bail-In Legislation Schedule published by the Loan Market Association (or any successor person), as in effect from time to time.</w:t>
      </w:r>
    </w:p>
    <w:p>
      <w:pPr>
        <w:pStyle w:val="TextBody"/>
        <w:bidi w:val="0"/>
        <w:spacing w:before="240" w:after="0"/>
        <w:jc w:val="both"/>
        <w:rPr/>
      </w:pPr>
      <w:r>
        <w:rPr/>
        <w:t>“</w:t>
      </w:r>
      <w:r>
        <w:rPr>
          <w:rFonts w:ascii="Times New Roman;serif" w:hAnsi="Times New Roman;serif"/>
          <w:b w:val="false"/>
          <w:sz w:val="20"/>
          <w:u w:val="single"/>
        </w:rPr>
        <w:t>euro</w:t>
      </w:r>
      <w:r>
        <w:rPr>
          <w:rFonts w:ascii="Times New Roman" w:hAnsi="Times New Roman"/>
          <w:sz w:val="20"/>
        </w:rPr>
        <w:t xml:space="preserve">” </w:t>
      </w:r>
      <w:r>
        <w:rPr>
          <w:rFonts w:ascii="Times New Roman;serif" w:hAnsi="Times New Roman;serif"/>
          <w:b w:val="false"/>
          <w:sz w:val="20"/>
        </w:rPr>
        <w:t>means the single currency of the European Union as constituted by the Treaty on European Union and as referred to in the legislative measures of the European Council for the introduction of, changeover to or operation of a single or unified European currency.</w:t>
      </w:r>
    </w:p>
    <w:p>
      <w:pPr>
        <w:pStyle w:val="TextBody"/>
        <w:bidi w:val="0"/>
        <w:spacing w:before="240" w:after="0"/>
        <w:jc w:val="both"/>
        <w:rPr/>
      </w:pPr>
      <w:r>
        <w:rPr>
          <w:strike/>
        </w:rPr>
        <w:t>“</w:t>
      </w:r>
      <w:r>
        <w:rPr>
          <w:rFonts w:ascii="Times New Roman;serif" w:hAnsi="Times New Roman;serif"/>
          <w:b w:val="false"/>
          <w:strike/>
          <w:sz w:val="20"/>
          <w:u w:val="single"/>
        </w:rPr>
        <w:t>Eurocurrency</w:t>
      </w:r>
      <w:r>
        <w:rPr>
          <w:rFonts w:ascii="Times New Roman" w:hAnsi="Times New Roman"/>
          <w:strike/>
          <w:sz w:val="20"/>
        </w:rPr>
        <w:t xml:space="preserve">” </w:t>
      </w:r>
      <w:r>
        <w:rPr>
          <w:rFonts w:ascii="Times New Roman;serif" w:hAnsi="Times New Roman;serif"/>
          <w:b w:val="false"/>
          <w:strike/>
          <w:sz w:val="20"/>
        </w:rPr>
        <w:t>when used in reference to any Loan or Borrowing, refers to whether such Loan is, or the</w:t>
      </w:r>
      <w:r>
        <w:rPr>
          <w:rFonts w:ascii="Times New Roman" w:hAnsi="Times New Roman"/>
          <w:sz w:val="20"/>
        </w:rPr>
        <w:t xml:space="preserve"> </w:t>
      </w:r>
      <w:r>
        <w:rPr>
          <w:rFonts w:ascii="Times New Roman;serif" w:hAnsi="Times New Roman;serif"/>
          <w:b w:val="false"/>
          <w:strike/>
          <w:sz w:val="20"/>
        </w:rPr>
        <w:t>Loans comprising such Borrowing are, bearing interest at a rate determined by reference to the Adjusted LIBO Rate.</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Event of Default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7.01</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Excess Cash Flow</w:t>
      </w:r>
      <w:r>
        <w:rPr>
          <w:rFonts w:ascii="Times New Roman" w:hAnsi="Times New Roman"/>
          <w:sz w:val="20"/>
        </w:rPr>
        <w:t xml:space="preserve">” </w:t>
      </w:r>
      <w:r>
        <w:rPr>
          <w:rFonts w:ascii="Times New Roman;serif" w:hAnsi="Times New Roman;serif"/>
          <w:b w:val="false"/>
          <w:sz w:val="20"/>
        </w:rPr>
        <w:t>means, for any period, an amount equal to the excess of:</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sum, without duplication, of:</w:t>
      </w:r>
    </w:p>
    <w:p>
      <w:pPr>
        <w:pStyle w:val="TextBody"/>
        <w:bidi w:val="0"/>
        <w:spacing w:before="240" w:after="0"/>
        <w:jc w:val="left"/>
        <w:rPr>
          <w:rFonts w:ascii="Times New Roman" w:hAnsi="Times New Roman"/>
          <w:b w:val="false"/>
          <w:sz w:val="20"/>
        </w:rPr>
      </w:pPr>
      <w:r>
        <w:rPr>
          <w:rFonts w:ascii="Times New Roman" w:hAnsi="Times New Roman"/>
          <w:b w:val="false"/>
          <w:sz w:val="20"/>
        </w:rPr>
        <w:t>(i)</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Consolidated Net Income for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0"/>
        <w:jc w:val="both"/>
        <w:rPr/>
      </w:pPr>
      <w:r>
        <w:rPr>
          <w:rFonts w:ascii="Times New Roman;serif" w:hAnsi="Times New Roman;serif"/>
          <w:b w:val="false"/>
          <w:sz w:val="20"/>
        </w:rPr>
        <w:t>an amount equal to the amount of all non-cash charges to the extent deducted in arriving at such Consolidated Net Income (</w:t>
      </w:r>
      <w:r>
        <w:rPr>
          <w:rFonts w:ascii="Times New Roman;serif" w:hAnsi="Times New Roman;serif"/>
          <w:b w:val="false"/>
          <w:sz w:val="20"/>
          <w:u w:val="single"/>
        </w:rPr>
        <w:t>provided</w:t>
      </w:r>
      <w:r>
        <w:rPr>
          <w:rFonts w:ascii="Times New Roman;serif" w:hAnsi="Times New Roman;serif"/>
          <w:b w:val="false"/>
          <w:sz w:val="20"/>
        </w:rPr>
        <w:t>, in each case, that if any non-cash charge represents an accrual or reserve for cash items in any future period, the cash payment in respect thereof in such future period shall be subtracted from Excess Cash Flow in such future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decreases in Consolidated Working Capital, long-term receivables and long-term prepaid assets and increases in long-term deferred revenue for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(iv)</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 amount equal to the aggregate net non-cash loss on dispositions by the Borrower and the Restricted Subsidiaries during such period (other than dispositions in the ordinary course of business) to the extent deducted in arriving at such Consolidated Net Income,</w:t>
      </w:r>
    </w:p>
    <w:p>
      <w:pPr>
        <w:pStyle w:val="TextBody"/>
        <w:bidi w:val="0"/>
        <w:spacing w:before="240" w:after="0"/>
        <w:jc w:val="both"/>
        <w:rPr>
          <w:rFonts w:ascii="Times New Roman" w:hAnsi="Times New Roman"/>
          <w:b w:val="false"/>
          <w:sz w:val="20"/>
        </w:rPr>
      </w:pPr>
      <w:r>
        <w:rPr>
          <w:rFonts w:ascii="Times New Roman" w:hAnsi="Times New Roman"/>
          <w:b w:val="false"/>
          <w:sz w:val="20"/>
        </w:rPr>
        <w:t>(v)</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extraordinary, non-recurring or unusual cash gains to the extent deducted in arriving at Consolidated Net Income, and</w:t>
      </w:r>
    </w:p>
    <w:p>
      <w:pPr>
        <w:pStyle w:val="TextBody"/>
        <w:bidi w:val="0"/>
        <w:spacing w:before="240" w:after="0"/>
        <w:jc w:val="both"/>
        <w:rPr>
          <w:rFonts w:ascii="Times New Roman" w:hAnsi="Times New Roman"/>
          <w:b w:val="false"/>
          <w:sz w:val="20"/>
        </w:rPr>
      </w:pPr>
      <w:r>
        <w:rPr>
          <w:rFonts w:ascii="Times New Roman" w:hAnsi="Times New Roman"/>
          <w:b w:val="false"/>
          <w:sz w:val="20"/>
        </w:rPr>
        <w:t>(vi)</w:t>
      </w:r>
    </w:p>
    <w:p>
      <w:pPr>
        <w:pStyle w:val="TextBody"/>
        <w:bidi w:val="0"/>
        <w:spacing w:before="240" w:after="0"/>
        <w:jc w:val="both"/>
        <w:rPr/>
      </w:pPr>
      <w:r>
        <w:rPr>
          <w:rFonts w:ascii="Times New Roman;serif" w:hAnsi="Times New Roman;serif"/>
          <w:b w:val="false"/>
          <w:sz w:val="20"/>
        </w:rPr>
        <w:t xml:space="preserve">cash proceeds in respect of Swap Agreements during such period to the extent not included in arriving at such Consolidated Net Income, </w:t>
      </w:r>
      <w:r>
        <w:rPr>
          <w:rFonts w:ascii="Times New Roman;serif" w:hAnsi="Times New Roman;serif"/>
          <w:b w:val="false"/>
          <w:sz w:val="20"/>
          <w:u w:val="single"/>
        </w:rPr>
        <w:t>less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sum, without duplication, of:</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(p) of the definition of “Consolidated Net Income” (other than cash charges in respect of Transaction Costs paid on or about the Effective Date to the extent financed with the proceeds of Indebtedness (other than revolving loans) incurred on the Effective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(x) the aggregate amount of all principal payments of Indebtedness, including (A) the principal component of payments in respect of Capitalized Leases and (B) the amount of any mandatory prepayment of Loans, other Consolidated First Lien Debt or Second Lien Loans to the extent required due to a Disposition that resulted in an increase to Consolidated Net Income and not in excess of the amount of such increase but excluding (1) all other prepayments of Term Loans, Second Lien Loans and other Consolidated First Lien Debt and (2) all prepayments of revolving loans (including Revolving Loans) made during such period (other than in respect of any revolving credit facility (excluding Revolving Loans) to the extent there is an equivalent permanent reduction in commitments thereunder), except to the extent financed with the proceeds of other Indebtedness (other than revolving loans) of Holdings, the Borrower or the Restricted Subsidiaries and (y) the aggregate amount of any premium, make-whole or penalty payments actually paid in cash by Holdings, the Borrower and the Restricted Subsidiaries during such period that are required to be made in connection with any prepayment of Indebtedness,</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 amount equal to the aggregate net non-cash gain on Dispositions by the Borrower and the Restricted Subsidiaries during such period (other than Dispositions in the ordinary course of business) to the extent included in arriving at such Consolidated Net Income,</w:t>
      </w:r>
    </w:p>
    <w:p>
      <w:pPr>
        <w:pStyle w:val="TextBody"/>
        <w:bidi w:val="0"/>
        <w:spacing w:before="240" w:after="0"/>
        <w:jc w:val="both"/>
        <w:rPr>
          <w:rFonts w:ascii="Times New Roman" w:hAnsi="Times New Roman"/>
          <w:b w:val="false"/>
          <w:sz w:val="20"/>
        </w:rPr>
      </w:pPr>
      <w:r>
        <w:rPr>
          <w:rFonts w:ascii="Times New Roman" w:hAnsi="Times New Roman"/>
          <w:b w:val="false"/>
          <w:sz w:val="20"/>
        </w:rPr>
        <w:t>(iv)</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increases in Consolidated Working Capital and long-term receivables, long-term prepaid assets and decreases in long-term deferred revenue for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(v)</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pStyle w:val="TextBody"/>
        <w:bidi w:val="0"/>
        <w:spacing w:before="240" w:after="0"/>
        <w:jc w:val="both"/>
        <w:rPr>
          <w:rFonts w:ascii="Times New Roman" w:hAnsi="Times New Roman"/>
          <w:b w:val="false"/>
          <w:sz w:val="20"/>
        </w:rPr>
      </w:pPr>
      <w:r>
        <w:rPr>
          <w:rFonts w:ascii="Times New Roman" w:hAnsi="Times New Roman"/>
          <w:b w:val="false"/>
          <w:sz w:val="20"/>
        </w:rPr>
        <w:t>(vi)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extraordinary, non-recurring or unusual cash losses to the extent not deducted in arriving at Consolidated Net Income,</w:t>
      </w:r>
    </w:p>
    <w:p>
      <w:pPr>
        <w:pStyle w:val="TextBody"/>
        <w:bidi w:val="0"/>
        <w:spacing w:before="240" w:after="0"/>
        <w:jc w:val="both"/>
        <w:rPr>
          <w:rFonts w:ascii="Times New Roman" w:hAnsi="Times New Roman"/>
          <w:b w:val="false"/>
          <w:sz w:val="20"/>
        </w:rPr>
      </w:pPr>
      <w:r>
        <w:rPr>
          <w:rFonts w:ascii="Times New Roman" w:hAnsi="Times New Roman"/>
          <w:b w:val="false"/>
          <w:sz w:val="20"/>
        </w:rPr>
        <w:t>(vii)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cash expenditures in respect of Swap Agreements during such period to the extent not deducted in arriving at such Consolidated Net Income; and</w:t>
      </w:r>
    </w:p>
    <w:p>
      <w:pPr>
        <w:pStyle w:val="TextBody"/>
        <w:bidi w:val="0"/>
        <w:spacing w:before="240" w:after="0"/>
        <w:jc w:val="both"/>
        <w:rPr>
          <w:rFonts w:ascii="Times New Roman" w:hAnsi="Times New Roman"/>
          <w:b w:val="false"/>
          <w:sz w:val="20"/>
        </w:rPr>
      </w:pPr>
      <w:r>
        <w:rPr>
          <w:rFonts w:ascii="Times New Roman" w:hAnsi="Times New Roman"/>
          <w:b w:val="false"/>
          <w:sz w:val="20"/>
        </w:rPr>
        <w:t>(viii)</w:t>
      </w:r>
    </w:p>
    <w:p>
      <w:pPr>
        <w:pStyle w:val="TextBody"/>
        <w:bidi w:val="0"/>
        <w:spacing w:before="240" w:after="283"/>
        <w:jc w:val="both"/>
        <w:rPr/>
      </w:pPr>
      <w:r>
        <w:rPr>
          <w:rFonts w:ascii="Times New Roman;serif" w:hAnsi="Times New Roman;serif"/>
          <w:b w:val="false"/>
          <w:sz w:val="20"/>
        </w:rPr>
        <w:t>without duplication of amounts deducted from Excess Cash Flow in prior periods, the aggregate amount of cash expected to be paid by the Borrower or any of the Restricted Subsidiaries in respect of accrued and unpaid bonus expenses and legal settlement reserves as of the end of such period (the “</w:t>
      </w:r>
      <w:r>
        <w:rPr>
          <w:rFonts w:ascii="Times New Roman;serif" w:hAnsi="Times New Roman;serif"/>
          <w:b w:val="false"/>
          <w:sz w:val="20"/>
          <w:u w:val="single"/>
        </w:rPr>
        <w:t>Accrued Expenses</w:t>
      </w:r>
      <w:r>
        <w:rPr/>
        <w:t>”</w:t>
      </w:r>
      <w:r>
        <w:rPr>
          <w:rFonts w:ascii="Times New Roman;serif" w:hAnsi="Times New Roman;serif"/>
          <w:b w:val="false"/>
          <w:sz w:val="20"/>
        </w:rPr>
        <w:t>) and expected to be paid during the subsequent Test Period; provided that (A) to the extent the aggregate amount of internally generated cash actually utilized to pay such Accrued Expenses during such subsequent Test Period is less than the Accrued Expenses reducing Excess Cash Flow pursuant to this clause (viii) in the prior Test Period, the amount of such shortfall shall be added to the calculation of Excess Cash Flow at the end of such subsequent Test Period and (B) in no event shall Excess Cash Flow in such subsequent Test Period be reduced by the payment of Accrued Expenses during such subsequent Test Period to the extent the amount of such Accrued Expenses have reduced Excess Cash flow in the prior Test Period.</w:t>
      </w:r>
    </w:p>
    <w:p>
      <w:pPr>
        <w:pStyle w:val="TextBody"/>
        <w:bidi w:val="0"/>
        <w:spacing w:before="240" w:after="0"/>
        <w:jc w:val="both"/>
        <w:rPr/>
      </w:pPr>
      <w:r>
        <w:rPr/>
        <w:t>“</w:t>
      </w:r>
      <w:r>
        <w:rPr>
          <w:rFonts w:ascii="Times New Roman;serif" w:hAnsi="Times New Roman;serif"/>
          <w:b w:val="false"/>
          <w:sz w:val="20"/>
          <w:u w:val="single"/>
        </w:rPr>
        <w:t>Exchange Act</w:t>
      </w:r>
      <w:r>
        <w:rPr>
          <w:rFonts w:ascii="Times New Roman" w:hAnsi="Times New Roman"/>
          <w:sz w:val="20"/>
        </w:rPr>
        <w:t xml:space="preserve">” </w:t>
      </w:r>
      <w:r>
        <w:rPr>
          <w:rFonts w:ascii="Times New Roman;serif" w:hAnsi="Times New Roman;serif"/>
          <w:b w:val="false"/>
          <w:sz w:val="20"/>
        </w:rPr>
        <w:t>means the United States Securities Exchange Act of 1934, as amended from time to time.</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Exchanged Amendment No. 1 Term Loans</w:t>
      </w:r>
      <w:r>
        <w:rPr>
          <w:rFonts w:ascii="Times New Roman" w:hAnsi="Times New Roman"/>
          <w:sz w:val="20"/>
        </w:rPr>
        <w:t xml:space="preserve">” </w:t>
      </w:r>
      <w:r>
        <w:rPr>
          <w:rFonts w:ascii="Times New Roman;serif" w:hAnsi="Times New Roman;serif"/>
          <w:b w:val="false"/>
          <w:sz w:val="20"/>
        </w:rPr>
        <w:t>means each Term Loan outstanding on the Amendment No. 1 Effective Date (or portion thereof) and held by a Rollover Amendment No. 1 Term Lender on the Amendment No. 1 Effective Date immediately prior to the extension of credit hereunder on the Amendment No. 1 Effective Date and as to which the Rollover Amendment No. 1 Term Lender thereof has consented to exchange into a Term B-1 Loan and the Administrative Agent has allocated into a Term B-1 Loan.</w:t>
      </w:r>
    </w:p>
    <w:p>
      <w:pPr>
        <w:pStyle w:val="TextBody"/>
        <w:bidi w:val="0"/>
        <w:spacing w:before="240" w:after="0"/>
        <w:jc w:val="both"/>
        <w:rPr/>
      </w:pPr>
      <w:r>
        <w:rPr/>
        <w:t>“</w:t>
      </w:r>
      <w:r>
        <w:rPr>
          <w:rFonts w:ascii="Times New Roman;serif" w:hAnsi="Times New Roman;serif"/>
          <w:b w:val="false"/>
          <w:sz w:val="20"/>
          <w:u w:val="single"/>
        </w:rPr>
        <w:t>Excluded Assets</w:t>
      </w:r>
      <w:r>
        <w:rPr>
          <w:rFonts w:ascii="Times New Roman" w:hAnsi="Times New Roman"/>
          <w:sz w:val="20"/>
        </w:rPr>
        <w:t xml:space="preserve">” </w:t>
      </w:r>
      <w:r>
        <w:rPr>
          <w:rFonts w:ascii="Times New Roman;serif" w:hAnsi="Times New Roman;serif"/>
          <w:b w:val="false"/>
          <w:sz w:val="20"/>
        </w:rPr>
        <w:t>means (a) any fee-owned real property that does not constitute a Material Real Property, (b) all leasehold interests in real property, (c)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or restriction that is ineffective under the Uniform Commercial Code of any applicable jurisdiction), (d) any asset if, to the extent that and for so long as the grant of a Lien thereon to secure the Secured Obligations is prohibited by any Requirements of Law (other than to the extent that any such prohibition would be rendered ineffective pursuant to any other applicable Requirements of Law) or would require consent or approval of any Governmental Authority but excluding any prohibition or restriction that is ineffective under the Uniform Commercial Code of any applicable jurisdiction, (e) margin stock and, to the extent prohibited by, or creating an enforceable right of termination in favor of any other party thereto (other than any Loan Party) under the terms of any applicable Organizational Documents, joint venture agreement or shareholders’ agreement after giving effect to the applicable anti-assignment provisions of the Uniform Commercial Code of any applicable jurisdiction, Equity Interests in any Person other than the Borrower and wholly-owned Restricted Subsidiaries, (f) assets to the extent a security interest in such assets would result in material adverse tax consequences to Holdings or one of its subsidiaries as reasonably determined by the Borrower in consultation with the Administrative Agent, (g) any intent-to-use trademark application prior to the filing of a “Statement of Use” or “Amendment to Allege Use” with respect thereto, (h) any lease, license or other agreement or any property subject thereto (including pursuant to a purchase money security interest or similar arrangement) to the extent that a grant of a security interest therein would violate or invalidate such lease, license or agreement or purchase money arrangement or create a breach, default or right of termination in favor of any other party thereto (other than any Loan Party)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(i) Voting Equity Interests of (i) any Foreign Subsidiary or (ii) any FSHCO, in each case, in excess of 65% of the Voting Equity Interests thereof, (j) receivables and related assets (or interests therein) (A) sold to any Receivables Subsidiary or (B) otherwise pledged, factored, transferred or sold in connection with any Permitted Receivables Financing, (k) commercial tort claims with a value of less than $10,000,000 and letter-of-credit rights with a value of less than $10,000,000 (except to the extent a security interest therein can be perfected by a UCC filing), (l) Vehicles and other assets subject to certificates of title, (m) any aircraft, airframes, aircraft engines or helicopters, or any equipment or other assets constituting a part thereof, (n) any and all assets and personal property owned or held by any Subsidiary that is not a Loan Party (including any Unrestricted Subsidiary), (o) any Equity Interest in Unrestricted Subsidiaries and (p) any proceeds from any issuance of Indebtedness permitted to be incurred under </w:t>
      </w:r>
      <w:r>
        <w:rPr>
          <w:rFonts w:ascii="Times New Roman;serif" w:hAnsi="Times New Roman;serif"/>
          <w:b w:val="false"/>
          <w:sz w:val="20"/>
          <w:u w:val="single"/>
        </w:rPr>
        <w:t>Section 6.01</w:t>
      </w:r>
      <w:r>
        <w:rPr>
          <w:rFonts w:ascii="Times New Roman" w:hAnsi="Times New Roman"/>
          <w:sz w:val="20"/>
        </w:rPr>
        <w:t xml:space="preserve"> </w:t>
      </w:r>
      <w:r>
        <w:rPr>
          <w:rFonts w:ascii="Times New Roman;serif" w:hAnsi="Times New Roman;serif"/>
          <w:b w:val="false"/>
          <w:sz w:val="20"/>
        </w:rPr>
        <w:t>that are paid into an escrow account to be released upon satisfaction of certain conditions or the occurrence of certain events, including cash or Permitted Investments set aside at the time of the incurrence of such Indebtedness, to the extent such cash or Permitted Investments prefund the payment of interest or premium or discount on such indebtedness (or any costs related to the issuance of such indebtedness) and are held in such escrow account or similar arrangement to be applied for such purpose.</w:t>
      </w:r>
    </w:p>
    <w:p>
      <w:pPr>
        <w:pStyle w:val="TextBody"/>
        <w:bidi w:val="0"/>
        <w:spacing w:before="240" w:after="0"/>
        <w:jc w:val="both"/>
        <w:rPr/>
      </w:pPr>
      <w:r>
        <w:rPr/>
        <w:t>“</w:t>
      </w:r>
      <w:r>
        <w:rPr>
          <w:rFonts w:ascii="Times New Roman;serif" w:hAnsi="Times New Roman;serif"/>
          <w:b w:val="false"/>
          <w:sz w:val="20"/>
          <w:u w:val="single"/>
        </w:rPr>
        <w:t>Excluded Subsidiary</w:t>
      </w:r>
      <w:r>
        <w:rPr>
          <w:rFonts w:ascii="Times New Roman" w:hAnsi="Times New Roman"/>
          <w:sz w:val="20"/>
        </w:rPr>
        <w:t xml:space="preserve">” </w:t>
      </w:r>
      <w:r>
        <w:rPr>
          <w:rFonts w:ascii="Times New Roman;serif" w:hAnsi="Times New Roman;serif"/>
          <w:b w:val="false"/>
          <w:sz w:val="20"/>
        </w:rPr>
        <w:t xml:space="preserve">means any of the following (except as otherwise provided in clause (b) of the definition of “Subsidiary Loan Party”): (a) any Subsidiary that is not a wholly-owned subsidiary of Holdings, (b) each Subsidiary listed on </w:t>
      </w:r>
      <w:r>
        <w:rPr>
          <w:rFonts w:ascii="Times New Roman;serif" w:hAnsi="Times New Roman;serif"/>
          <w:b w:val="false"/>
          <w:sz w:val="20"/>
          <w:u w:val="single"/>
        </w:rPr>
        <w:t>Schedule 1.01(a)</w:t>
      </w:r>
      <w:r>
        <w:rPr>
          <w:rFonts w:ascii="Times New Roman;serif" w:hAnsi="Times New Roman;serif"/>
          <w:b w:val="false"/>
          <w:sz w:val="20"/>
        </w:rPr>
        <w:t>, (c) each Unrestricted Subsidiary, (d) each Immaterial Subsidiary, (e) any Subsidiary that is prohibited by (i) applicable Requirements of Law or (ii) any contractual obligation existing on the Effective Date or on the date any such Subsidiary is acquired (so long in respect of any such contractual prohibition such prohibition is not incurred in contemplation of such acquisition), in each case from guaranteeing the Secured Obligations or which would require governmental (including regulatory) consent, approval, license or authorization to provide a Guarantee, or for which the provision of a Guarantee would result in a material adverse tax consequence (including as a result of the operation of Section 956 of the Code or any similar law or regulation in any applicable jurisdiction) to Holdings or one of its subsidiaries (as reasonably determined by the Borrower in consultation with the Administrative Agent), (f) any direct or indirect Foreign Subsidiary, (g) any direct or indirect Domestic Subsidiary of a direct or indirect Foreign Subsidiary of Holdings that is a CFC, (h) any FSHCO, (i) any other Subsidiary excused from becoming a Loan Party pursuant to clause (a) of the last paragraph of the definition of the term “Collateral and Guarantee Requirement,” (j) each Receivables Subsidiary and (k) any not-for-profit Subsidiaries, captive insurance companies or other special purpose subsidiaries designated by the Borrower from time to time. For the avoidance of doubt, the Borrower shall not constitute an Excluded Subsidiary.</w:t>
      </w:r>
    </w:p>
    <w:p>
      <w:pPr>
        <w:pStyle w:val="TextBody"/>
        <w:bidi w:val="0"/>
        <w:spacing w:before="240" w:after="0"/>
        <w:jc w:val="both"/>
        <w:rPr/>
      </w:pPr>
      <w:r>
        <w:rPr/>
        <w:t>“</w:t>
      </w:r>
      <w:r>
        <w:rPr>
          <w:rFonts w:ascii="Times New Roman;serif" w:hAnsi="Times New Roman;serif"/>
          <w:b w:val="false"/>
          <w:sz w:val="20"/>
          <w:u w:val="single"/>
        </w:rPr>
        <w:t>Excluded Swap Obligation</w:t>
      </w:r>
      <w:r>
        <w:rPr>
          <w:rFonts w:ascii="Times New Roman" w:hAnsi="Times New Roman"/>
          <w:sz w:val="20"/>
        </w:rPr>
        <w:t xml:space="preserve">” </w:t>
      </w:r>
      <w:r>
        <w:rPr>
          <w:rFonts w:ascii="Times New Roman;serif" w:hAnsi="Times New Roman;serif"/>
          <w:b w:val="false"/>
          <w:sz w:val="20"/>
        </w:rPr>
        <w:t>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under the Commodity Exchange Act or any rule, regulation or order of the U.S. Commodity Futures Trading Commission (or the application or official interpretation of any thereof) by virtue of such Guarantor’s failure for any reason to constitute an “eligible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pStyle w:val="TextBody"/>
        <w:bidi w:val="0"/>
        <w:spacing w:before="240" w:after="0"/>
        <w:jc w:val="both"/>
        <w:rPr/>
      </w:pPr>
      <w:r>
        <w:rPr/>
        <w:t>“</w:t>
      </w:r>
      <w:r>
        <w:rPr>
          <w:rFonts w:ascii="Times New Roman;serif" w:hAnsi="Times New Roman;serif"/>
          <w:b w:val="false"/>
          <w:sz w:val="20"/>
          <w:u w:val="single"/>
        </w:rPr>
        <w:t>Excluded Taxes</w:t>
      </w:r>
      <w:r>
        <w:rPr>
          <w:rFonts w:ascii="Times New Roman" w:hAnsi="Times New Roman"/>
          <w:sz w:val="20"/>
        </w:rPr>
        <w:t xml:space="preserve">” </w:t>
      </w:r>
      <w:r>
        <w:rPr>
          <w:rFonts w:ascii="Times New Roman;serif" w:hAnsi="Times New Roman;serif"/>
          <w:b w:val="false"/>
          <w:sz w:val="20"/>
        </w:rPr>
        <w:t xml:space="preserve">means, with respect to the Administrative Agent, any Lender or any other recipient of any payment to be made by or on account of any obligation of any Loan Party hereunder or under any other Loan Document, (a) Taxes imposed on (or measured by) its net income or profits (however denominated), branch profits Taxes, and franchise Taxes, in each case (i) imposed by a jurisdiction as a result of such recipient being organized or having its principal office located in or, in the case of any Lender, having its applicable Lending Office located in, such jurisdiction or (ii) that are Other Connection Taxes, (b) any Tax that is attributable to such Lender’s failure to comply with </w:t>
      </w:r>
      <w:r>
        <w:rPr>
          <w:rFonts w:ascii="Times New Roman;serif" w:hAnsi="Times New Roman;serif"/>
          <w:b w:val="false"/>
          <w:sz w:val="20"/>
          <w:u w:val="single"/>
        </w:rPr>
        <w:t>Section 2.17(e)</w:t>
      </w:r>
      <w:r>
        <w:rPr>
          <w:rFonts w:ascii="Times New Roman;serif" w:hAnsi="Times New Roman;serif"/>
          <w:b w:val="false"/>
          <w:sz w:val="20"/>
        </w:rPr>
        <w:t xml:space="preserve">, (c) any U.S. federal withholding Taxes imposed due to a Requirement of Law in effect at the time such Lender (i) becomes a party hereto, other than pursuant to an assignment request by the Borrower under </w:t>
      </w:r>
      <w:r>
        <w:rPr>
          <w:rFonts w:ascii="Times New Roman;serif" w:hAnsi="Times New Roman;serif"/>
          <w:b w:val="false"/>
          <w:sz w:val="20"/>
          <w:u w:val="single"/>
        </w:rPr>
        <w:t>Section 2.19</w:t>
      </w:r>
      <w:r>
        <w:rPr>
          <w:rFonts w:ascii="Times New Roman" w:hAnsi="Times New Roman"/>
          <w:sz w:val="20"/>
        </w:rPr>
        <w:t xml:space="preserve"> </w:t>
      </w:r>
      <w:r>
        <w:rPr>
          <w:rFonts w:ascii="Times New Roman;serif" w:hAnsi="Times New Roman;serif"/>
          <w:b w:val="false"/>
          <w:sz w:val="20"/>
        </w:rPr>
        <w:t xml:space="preserve">or (ii) designates a new Lending Office, except, in each case, to the extent that such Lender (or its assignor, if any) was entitled, immediately prior to the time of designation of a new Lending Office (or assignment), to receive additional amounts with respect to such withholding Tax under </w:t>
      </w:r>
      <w:r>
        <w:rPr>
          <w:rFonts w:ascii="Times New Roman;serif" w:hAnsi="Times New Roman;serif"/>
          <w:b w:val="false"/>
          <w:sz w:val="20"/>
          <w:u w:val="single"/>
        </w:rPr>
        <w:t>Section 2.17(a)</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(d)</w:t>
      </w:r>
      <w:r>
        <w:rPr>
          <w:rFonts w:ascii="Times New Roman" w:hAnsi="Times New Roman"/>
          <w:sz w:val="20"/>
        </w:rPr>
        <w:t xml:space="preserve"> </w:t>
      </w:r>
      <w:r>
        <w:rPr>
          <w:rFonts w:ascii="Times New Roman;serif" w:hAnsi="Times New Roman;serif"/>
          <w:b w:val="false"/>
          <w:sz w:val="20"/>
        </w:rPr>
        <w:t>any withholding Tax imposed pursuant to FATCA.</w:t>
      </w:r>
    </w:p>
    <w:p>
      <w:pPr>
        <w:pStyle w:val="TextBody"/>
        <w:bidi w:val="0"/>
        <w:spacing w:before="240" w:after="0"/>
        <w:jc w:val="both"/>
        <w:rPr/>
      </w:pPr>
      <w:r>
        <w:rPr/>
        <w:t>“</w:t>
      </w:r>
      <w:r>
        <w:rPr>
          <w:rFonts w:ascii="Times New Roman;serif" w:hAnsi="Times New Roman;serif"/>
          <w:b w:val="false"/>
          <w:sz w:val="20"/>
          <w:u w:val="single"/>
        </w:rPr>
        <w:t>Existing Credit Agreement Indebtedness</w:t>
      </w:r>
      <w:r>
        <w:rPr>
          <w:rFonts w:ascii="Times New Roman" w:hAnsi="Times New Roman"/>
          <w:sz w:val="20"/>
        </w:rPr>
        <w:t xml:space="preserve">” </w:t>
      </w:r>
      <w:r>
        <w:rPr>
          <w:rFonts w:ascii="Times New Roman;serif" w:hAnsi="Times New Roman;serif"/>
          <w:b w:val="false"/>
          <w:sz w:val="20"/>
        </w:rPr>
        <w:t>means the principal, interest, fees and other amounts, other than contingent obligations not due and payable, outstanding under (a) that certain First Lien Credit Agreement, dated as of June 30, 2015 (as amended, restated, amended and restated, supplemented or otherwise modified from time to time), by and among the Target, STG-Fairway Acquisitions, Inc., First Advantage Corporation, the lenders from time to time party thereto, Bank of America, N.A., as administrative agent, and the other parties from time to time party thereto and (b) that certain Second Lien Credit Agreement, dated as of June 30, 2015 (as amended, restated, amended and restated, supplemented or otherwise modified from time to time), by and among the Target, STG-Fairway Acquisitions, Inc., First Advantage Corporation, the lenders from time to time party thereto, Cortland Capital Market Services LLC, as administrative agent, Obsidian Agency Services, Inc., as collateral agent, and the other parties from time to time party thereto.</w:t>
      </w:r>
    </w:p>
    <w:p>
      <w:pPr>
        <w:pStyle w:val="TextBody"/>
        <w:bidi w:val="0"/>
        <w:spacing w:before="240" w:after="0"/>
        <w:jc w:val="left"/>
        <w:rPr/>
      </w:pPr>
      <w:r>
        <w:rPr/>
        <w:t>“</w:t>
      </w:r>
      <w:r>
        <w:rPr>
          <w:rFonts w:ascii="Times New Roman;serif" w:hAnsi="Times New Roman;serif"/>
          <w:b w:val="false"/>
          <w:sz w:val="20"/>
          <w:u w:val="single"/>
        </w:rPr>
        <w:t>Existing Letters of Credit</w:t>
      </w:r>
      <w:r>
        <w:rPr>
          <w:rFonts w:ascii="Times New Roman" w:hAnsi="Times New Roman"/>
          <w:sz w:val="20"/>
        </w:rPr>
        <w:t xml:space="preserve">” </w:t>
      </w:r>
      <w:r>
        <w:rPr>
          <w:rFonts w:ascii="Times New Roman;serif" w:hAnsi="Times New Roman;serif"/>
          <w:b w:val="false"/>
          <w:sz w:val="20"/>
        </w:rPr>
        <w:t xml:space="preserve">means each letter of credit set forth on Section 1 of </w:t>
      </w:r>
      <w:r>
        <w:rPr>
          <w:rFonts w:ascii="Times New Roman;serif" w:hAnsi="Times New Roman;serif"/>
          <w:b w:val="false"/>
          <w:sz w:val="20"/>
          <w:u w:val="single"/>
        </w:rPr>
        <w:t>Schedule 6.01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Fair Market Value</w:t>
      </w:r>
      <w:r>
        <w:rPr>
          <w:rFonts w:ascii="Times New Roman" w:hAnsi="Times New Roman"/>
          <w:sz w:val="20"/>
        </w:rPr>
        <w:t xml:space="preserve">” </w:t>
      </w:r>
      <w:r>
        <w:rPr>
          <w:rFonts w:ascii="Times New Roman;serif" w:hAnsi="Times New Roman;serif"/>
          <w:b w:val="false"/>
          <w:sz w:val="20"/>
        </w:rPr>
        <w:t>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pStyle w:val="TextBody"/>
        <w:bidi w:val="0"/>
        <w:spacing w:before="240" w:after="0"/>
        <w:jc w:val="both"/>
        <w:rPr/>
      </w:pPr>
      <w:r>
        <w:rPr/>
        <w:t>“</w:t>
      </w:r>
      <w:r>
        <w:rPr>
          <w:rFonts w:ascii="Times New Roman;serif" w:hAnsi="Times New Roman;serif"/>
          <w:b w:val="false"/>
          <w:sz w:val="20"/>
          <w:u w:val="single"/>
        </w:rPr>
        <w:t>Fair Value</w:t>
      </w:r>
      <w:r>
        <w:rPr>
          <w:rFonts w:ascii="Times New Roman" w:hAnsi="Times New Roman"/>
          <w:sz w:val="20"/>
        </w:rPr>
        <w:t xml:space="preserve">” </w:t>
      </w:r>
      <w:r>
        <w:rPr>
          <w:rFonts w:ascii="Times New Roman;serif" w:hAnsi="Times New Roman;serif"/>
          <w:b w:val="false"/>
          <w:sz w:val="20"/>
        </w:rPr>
        <w:t>means the amount at which the assets (both tangible and intangible), in their entirety, of the Borrower and its Subsidiaries taken as a whole would change hands between a willing buyer and a willing seller, within a commercially reasonable period of time, each having reasonable knowledge of the relevant facts, with neither being under any compulsion to act.</w:t>
      </w:r>
    </w:p>
    <w:p>
      <w:pPr>
        <w:pStyle w:val="TextBody"/>
        <w:bidi w:val="0"/>
        <w:spacing w:before="240" w:after="0"/>
        <w:jc w:val="both"/>
        <w:rPr/>
      </w:pPr>
      <w:r>
        <w:rPr/>
        <w:t>“</w:t>
      </w:r>
      <w:r>
        <w:rPr>
          <w:rFonts w:ascii="Times New Roman;serif" w:hAnsi="Times New Roman;serif"/>
          <w:b w:val="false"/>
          <w:sz w:val="20"/>
          <w:u w:val="single"/>
        </w:rPr>
        <w:t>FATCA</w:t>
      </w:r>
      <w:r>
        <w:rPr>
          <w:rFonts w:ascii="Times New Roman" w:hAnsi="Times New Roman"/>
          <w:sz w:val="20"/>
        </w:rPr>
        <w:t xml:space="preserve">” </w:t>
      </w:r>
      <w:r>
        <w:rPr>
          <w:rFonts w:ascii="Times New Roman;serif" w:hAnsi="Times New Roman;serif"/>
          <w:b w:val="false"/>
          <w:sz w:val="20"/>
        </w:rPr>
        <w:t>means Sections 1471 through 1474 of the Code as in effect on the date hereof (or any amended or successor version that is substantively comparable and not materially more onerous to comply with), any current or future Treasury regulations promulgated thereunder or official administrative interpretations thereof, any agreements entered into pursuant to current Section 1471(b)(1) of the Code (or any amended or successor version described above) and any intergovernmental agreements, treaties or conventions (and related legislation or official guidance) implementing the foregoing.</w:t>
      </w:r>
    </w:p>
    <w:p>
      <w:pPr>
        <w:pStyle w:val="TextBody"/>
        <w:bidi w:val="0"/>
        <w:spacing w:before="240" w:after="0"/>
        <w:jc w:val="left"/>
        <w:rPr/>
      </w:pPr>
      <w:r>
        <w:rPr/>
        <w:t>“</w:t>
      </w:r>
      <w:r>
        <w:rPr>
          <w:rFonts w:ascii="Times New Roman;serif" w:hAnsi="Times New Roman;serif"/>
          <w:b w:val="false"/>
          <w:sz w:val="20"/>
          <w:u w:val="single"/>
        </w:rPr>
        <w:t>FCPA</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3.18(b)</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Federal Funds Effective Rate</w:t>
      </w:r>
      <w:r>
        <w:rPr>
          <w:rFonts w:ascii="Times New Roman" w:hAnsi="Times New Roman"/>
          <w:sz w:val="20"/>
        </w:rPr>
        <w:t xml:space="preserve">” </w:t>
      </w:r>
      <w:r>
        <w:rPr>
          <w:rFonts w:ascii="Times New Roman;serif" w:hAnsi="Times New Roman;serif"/>
          <w:b w:val="false"/>
          <w:sz w:val="20"/>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if the Federal Funds Rate as so determined would be less than zero, such rate shall be deemed to be zero for purposes of this Agreement.</w:t>
      </w:r>
    </w:p>
    <w:p>
      <w:pPr>
        <w:pStyle w:val="TextBody"/>
        <w:bidi w:val="0"/>
        <w:spacing w:before="240" w:after="0"/>
        <w:jc w:val="both"/>
        <w:rPr/>
      </w:pPr>
      <w:r>
        <w:rPr/>
        <w:t>“</w:t>
      </w:r>
      <w:r>
        <w:rPr>
          <w:rFonts w:ascii="Times New Roman;serif" w:hAnsi="Times New Roman;serif"/>
          <w:b w:val="false"/>
          <w:sz w:val="20"/>
          <w:u w:val="single"/>
        </w:rPr>
        <w:t>FEMA</w:t>
      </w:r>
      <w:r>
        <w:rPr>
          <w:rFonts w:ascii="Times New Roman" w:hAnsi="Times New Roman"/>
          <w:sz w:val="20"/>
        </w:rPr>
        <w:t xml:space="preserve">” </w:t>
      </w:r>
      <w:r>
        <w:rPr>
          <w:rFonts w:ascii="Times New Roman;serif" w:hAnsi="Times New Roman;serif"/>
          <w:b w:val="false"/>
          <w:sz w:val="20"/>
        </w:rPr>
        <w:t>has the meaning assigned to such term in the definition of “Collateral and Guarantee Requirement.”</w:t>
      </w:r>
    </w:p>
    <w:p>
      <w:pPr>
        <w:pStyle w:val="TextBody"/>
        <w:bidi w:val="0"/>
        <w:spacing w:before="240" w:after="0"/>
        <w:jc w:val="both"/>
        <w:rPr/>
      </w:pPr>
      <w:r>
        <w:rPr/>
        <w:t>“</w:t>
      </w:r>
      <w:r>
        <w:rPr>
          <w:rFonts w:ascii="Times New Roman;serif" w:hAnsi="Times New Roman;serif"/>
          <w:b w:val="false"/>
          <w:sz w:val="20"/>
          <w:u w:val="single"/>
        </w:rPr>
        <w:t>Financial Officer</w:t>
      </w:r>
      <w:r>
        <w:rPr>
          <w:rFonts w:ascii="Times New Roman" w:hAnsi="Times New Roman"/>
          <w:sz w:val="20"/>
        </w:rPr>
        <w:t xml:space="preserve">” </w:t>
      </w:r>
      <w:r>
        <w:rPr>
          <w:rFonts w:ascii="Times New Roman;serif" w:hAnsi="Times New Roman;serif"/>
          <w:b w:val="false"/>
          <w:sz w:val="20"/>
        </w:rPr>
        <w:t>means the chief financial officer, principal accounting officer, treasurer or controller of Holdings or the Borrower.</w:t>
      </w:r>
    </w:p>
    <w:p>
      <w:pPr>
        <w:pStyle w:val="TextBody"/>
        <w:bidi w:val="0"/>
        <w:spacing w:before="240" w:after="0"/>
        <w:jc w:val="left"/>
        <w:rPr/>
      </w:pPr>
      <w:r>
        <w:rPr/>
        <w:t>“</w:t>
      </w:r>
      <w:r>
        <w:rPr>
          <w:rFonts w:ascii="Times New Roman;serif" w:hAnsi="Times New Roman;serif"/>
          <w:b w:val="false"/>
          <w:sz w:val="20"/>
          <w:u w:val="single"/>
        </w:rPr>
        <w:t>Financial Performance Covenant</w:t>
      </w:r>
      <w:r>
        <w:rPr>
          <w:rFonts w:ascii="Times New Roman" w:hAnsi="Times New Roman"/>
          <w:sz w:val="20"/>
        </w:rPr>
        <w:t xml:space="preserve">” </w:t>
      </w:r>
      <w:r>
        <w:rPr>
          <w:rFonts w:ascii="Times New Roman;serif" w:hAnsi="Times New Roman;serif"/>
          <w:b w:val="false"/>
          <w:sz w:val="20"/>
        </w:rPr>
        <w:t xml:space="preserve">means the covenant set forth in </w:t>
      </w:r>
      <w:r>
        <w:rPr>
          <w:rFonts w:ascii="Times New Roman;serif" w:hAnsi="Times New Roman;serif"/>
          <w:b w:val="false"/>
          <w:sz w:val="20"/>
          <w:u w:val="single"/>
        </w:rPr>
        <w:t>Section 6.10</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First Additional Term Commitment</w:t>
      </w:r>
      <w:r>
        <w:rPr>
          <w:rFonts w:ascii="Times New Roman" w:hAnsi="Times New Roman"/>
          <w:sz w:val="20"/>
        </w:rPr>
        <w:t xml:space="preserve">” </w:t>
      </w:r>
      <w:r>
        <w:rPr>
          <w:rFonts w:ascii="Times New Roman;serif" w:hAnsi="Times New Roman;serif"/>
          <w:b w:val="false"/>
          <w:sz w:val="20"/>
        </w:rPr>
        <w:t>means, with respect to a First Additional Term Lender, the commitment of such First Additional Term Lender to make a First Additional Term Loan hereunder on the Amendment No. 1 Effective Date, in the amount set forth opposite such Lender’s name on Schedule 2 to Amendment No. 1 and made a part hereof. As of the Amendment No. 1 Effective Date, the total First Additional Term Commitment was $100,000,000.</w:t>
      </w:r>
    </w:p>
    <w:p>
      <w:pPr>
        <w:pStyle w:val="TextBody"/>
        <w:bidi w:val="0"/>
        <w:spacing w:before="240" w:after="0"/>
        <w:jc w:val="left"/>
        <w:rPr/>
      </w:pPr>
      <w:r>
        <w:rPr/>
        <w:t>“</w:t>
      </w:r>
      <w:r>
        <w:rPr>
          <w:rFonts w:ascii="Times New Roman;serif" w:hAnsi="Times New Roman;serif"/>
          <w:b w:val="false"/>
          <w:sz w:val="20"/>
          <w:u w:val="single"/>
        </w:rPr>
        <w:t>First Additional Term Lender</w:t>
      </w:r>
      <w:r>
        <w:rPr>
          <w:rFonts w:ascii="Times New Roman" w:hAnsi="Times New Roman"/>
          <w:sz w:val="20"/>
        </w:rPr>
        <w:t xml:space="preserve">” </w:t>
      </w:r>
      <w:r>
        <w:rPr>
          <w:rFonts w:ascii="Times New Roman;serif" w:hAnsi="Times New Roman;serif"/>
          <w:b w:val="false"/>
          <w:sz w:val="20"/>
        </w:rPr>
        <w:t>has the meaning provided in Amendment No. 1.</w:t>
      </w:r>
    </w:p>
    <w:p>
      <w:pPr>
        <w:pStyle w:val="TextBody"/>
        <w:bidi w:val="0"/>
        <w:spacing w:before="240" w:after="0"/>
        <w:jc w:val="both"/>
        <w:rPr/>
      </w:pPr>
      <w:r>
        <w:rPr/>
        <w:t>“</w:t>
      </w:r>
      <w:r>
        <w:rPr>
          <w:rFonts w:ascii="Times New Roman;serif" w:hAnsi="Times New Roman;serif"/>
          <w:b w:val="false"/>
          <w:sz w:val="20"/>
          <w:u w:val="single"/>
        </w:rPr>
        <w:t>First Additional Term Loan</w:t>
      </w:r>
      <w:r>
        <w:rPr>
          <w:rFonts w:ascii="Times New Roman" w:hAnsi="Times New Roman"/>
          <w:sz w:val="20"/>
        </w:rPr>
        <w:t xml:space="preserve">” </w:t>
      </w:r>
      <w:r>
        <w:rPr>
          <w:rFonts w:ascii="Times New Roman;serif" w:hAnsi="Times New Roman;serif"/>
          <w:b w:val="false"/>
          <w:sz w:val="20"/>
        </w:rPr>
        <w:t xml:space="preserve">means a Loan that is made pursuant to clause (c) of </w:t>
      </w:r>
      <w:r>
        <w:rPr>
          <w:rFonts w:ascii="Times New Roman;serif" w:hAnsi="Times New Roman;serif"/>
          <w:b w:val="false"/>
          <w:sz w:val="20"/>
          <w:u w:val="single"/>
        </w:rPr>
        <w:t>Section 2.01</w:t>
      </w:r>
      <w:r>
        <w:rPr>
          <w:rFonts w:ascii="Times New Roman" w:hAnsi="Times New Roman"/>
          <w:sz w:val="20"/>
        </w:rPr>
        <w:t xml:space="preserve"> </w:t>
      </w:r>
      <w:r>
        <w:rPr>
          <w:rFonts w:ascii="Times New Roman;serif" w:hAnsi="Times New Roman;serif"/>
          <w:b w:val="false"/>
          <w:sz w:val="20"/>
        </w:rPr>
        <w:t>on the Amendment No. 1 Effective Date.</w:t>
      </w:r>
    </w:p>
    <w:p>
      <w:pPr>
        <w:pStyle w:val="TextBody"/>
        <w:bidi w:val="0"/>
        <w:spacing w:before="240" w:after="0"/>
        <w:jc w:val="both"/>
        <w:rPr/>
      </w:pPr>
      <w:r>
        <w:rPr/>
        <w:t>“</w:t>
      </w:r>
      <w:r>
        <w:rPr>
          <w:rFonts w:ascii="Times New Roman;serif" w:hAnsi="Times New Roman;serif"/>
          <w:b w:val="false"/>
          <w:sz w:val="20"/>
          <w:u w:val="single"/>
        </w:rPr>
        <w:t>First Lien Intercreditor Agreement</w:t>
      </w:r>
      <w:r>
        <w:rPr>
          <w:rFonts w:ascii="Times New Roman" w:hAnsi="Times New Roman"/>
          <w:sz w:val="20"/>
        </w:rPr>
        <w:t xml:space="preserve">” </w:t>
      </w:r>
      <w:r>
        <w:rPr>
          <w:rFonts w:ascii="Times New Roman;serif" w:hAnsi="Times New Roman;serif"/>
          <w:b w:val="false"/>
          <w:sz w:val="20"/>
        </w:rPr>
        <w:t xml:space="preserve">means the form of the First Lien Intercreditor Agreement substantially in the form of </w:t>
      </w:r>
      <w:r>
        <w:rPr>
          <w:rFonts w:ascii="Times New Roman;serif" w:hAnsi="Times New Roman;serif"/>
          <w:b w:val="false"/>
          <w:sz w:val="20"/>
          <w:u w:val="single"/>
        </w:rPr>
        <w:t>Exhibit E</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First Lien Leverage Ratio</w:t>
      </w:r>
      <w:r>
        <w:rPr>
          <w:rFonts w:ascii="Times New Roman" w:hAnsi="Times New Roman"/>
          <w:sz w:val="20"/>
        </w:rPr>
        <w:t xml:space="preserve">” </w:t>
      </w:r>
      <w:r>
        <w:rPr>
          <w:rFonts w:ascii="Times New Roman;serif" w:hAnsi="Times New Roman;serif"/>
          <w:b w:val="false"/>
          <w:sz w:val="20"/>
        </w:rPr>
        <w:t>means, on any date, the ratio of (a) Consolidated First Lien Debt as of such date to (b) Consolidated EBITDA for the Test Period as of such date.</w:t>
      </w:r>
    </w:p>
    <w:p>
      <w:pPr>
        <w:pStyle w:val="TextBody"/>
        <w:bidi w:val="0"/>
        <w:spacing w:before="240" w:after="0"/>
        <w:jc w:val="both"/>
        <w:rPr/>
      </w:pPr>
      <w:r>
        <w:rPr/>
        <w:t>“</w:t>
      </w:r>
      <w:r>
        <w:rPr>
          <w:rFonts w:ascii="Times New Roman;serif" w:hAnsi="Times New Roman;serif"/>
          <w:b w:val="false"/>
          <w:sz w:val="20"/>
          <w:u w:val="single"/>
        </w:rPr>
        <w:t>First Lien/Second Lien Intercreditor Agreement</w:t>
      </w:r>
      <w:r>
        <w:rPr>
          <w:rFonts w:ascii="Times New Roman" w:hAnsi="Times New Roman"/>
          <w:sz w:val="20"/>
        </w:rPr>
        <w:t xml:space="preserve">” </w:t>
      </w:r>
      <w:r>
        <w:rPr>
          <w:rFonts w:ascii="Times New Roman;serif" w:hAnsi="Times New Roman;serif"/>
          <w:b w:val="false"/>
          <w:sz w:val="20"/>
        </w:rPr>
        <w:t xml:space="preserve">means the First Lien/Second Lien Intercreditor Agreement, dated as of the date hereof, substantially in the form of </w:t>
      </w:r>
      <w:r>
        <w:rPr>
          <w:rFonts w:ascii="Times New Roman;serif" w:hAnsi="Times New Roman;serif"/>
          <w:b w:val="false"/>
          <w:sz w:val="20"/>
          <w:u w:val="single"/>
        </w:rPr>
        <w:t>Exhibit E</w:t>
      </w:r>
      <w:r>
        <w:rPr>
          <w:rFonts w:ascii="Times New Roman" w:hAnsi="Times New Roman"/>
          <w:sz w:val="20"/>
        </w:rPr>
        <w:t xml:space="preserve"> </w:t>
      </w:r>
      <w:r>
        <w:rPr>
          <w:rFonts w:ascii="Times New Roman;serif" w:hAnsi="Times New Roman;serif"/>
          <w:b w:val="false"/>
          <w:sz w:val="20"/>
        </w:rPr>
        <w:t>entered into among the Collateral Agent, the Loan Parties and JPMorgan Chase Bank, N.A., as Senior Representative in respect of the Second Lien Credit Documents.</w:t>
      </w:r>
    </w:p>
    <w:p>
      <w:pPr>
        <w:pStyle w:val="TextBody"/>
        <w:bidi w:val="0"/>
        <w:spacing w:before="240" w:after="0"/>
        <w:jc w:val="left"/>
        <w:rPr/>
      </w:pPr>
      <w:r>
        <w:rPr/>
        <w:t>“</w:t>
      </w:r>
      <w:r>
        <w:rPr>
          <w:rFonts w:ascii="Times New Roman;serif" w:hAnsi="Times New Roman;serif"/>
          <w:b w:val="false"/>
          <w:sz w:val="20"/>
          <w:u w:val="single"/>
        </w:rPr>
        <w:t>Fitch</w:t>
      </w:r>
      <w:r>
        <w:rPr>
          <w:rFonts w:ascii="Times New Roman" w:hAnsi="Times New Roman"/>
          <w:sz w:val="20"/>
        </w:rPr>
        <w:t xml:space="preserve">” </w:t>
      </w:r>
      <w:r>
        <w:rPr>
          <w:rFonts w:ascii="Times New Roman;serif" w:hAnsi="Times New Roman;serif"/>
          <w:b w:val="false"/>
          <w:sz w:val="20"/>
        </w:rPr>
        <w:t>means Fitch Ratings, Inc. and any successor to its rating agency business.</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Fixed Amounts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1.04(g)</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Flood Insurance Laws</w:t>
      </w:r>
      <w:r>
        <w:rPr>
          <w:rFonts w:ascii="Times New Roman" w:hAnsi="Times New Roman"/>
          <w:sz w:val="20"/>
        </w:rPr>
        <w:t xml:space="preserve">” </w:t>
      </w:r>
      <w:r>
        <w:rPr>
          <w:rFonts w:ascii="Times New Roman;serif" w:hAnsi="Times New Roman;serif"/>
          <w:b w:val="false"/>
          <w:sz w:val="20"/>
        </w:rPr>
        <w:t>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on any successor statute thereto, (d) the Flood Insurance Reform Act of 2004 as now or hereafter in effect or any successor statute thereto and (e) the Biggert-Waters Flood Insurance Reform Act of 2012 as now or hereafter in effect or any successor statute thereto.</w:t>
      </w:r>
    </w:p>
    <w:p>
      <w:pPr>
        <w:pStyle w:val="TextBody"/>
        <w:bidi w:val="0"/>
        <w:spacing w:before="240" w:after="0"/>
        <w:jc w:val="left"/>
        <w:rPr/>
      </w:pPr>
      <w:r>
        <w:rPr/>
        <w:t>“</w:t>
      </w:r>
      <w:r>
        <w:rPr>
          <w:rFonts w:ascii="Times New Roman;serif" w:hAnsi="Times New Roman;serif"/>
          <w:b w:val="false"/>
          <w:sz w:val="20"/>
          <w:u w:val="single"/>
        </w:rPr>
        <w:t>Foreign Prepayment Event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2.11(g)</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Foreign Subsidiary</w:t>
      </w:r>
      <w:r>
        <w:rPr>
          <w:rFonts w:ascii="Times New Roman" w:hAnsi="Times New Roman"/>
          <w:sz w:val="20"/>
        </w:rPr>
        <w:t xml:space="preserve">” </w:t>
      </w:r>
      <w:r>
        <w:rPr>
          <w:rFonts w:ascii="Times New Roman;serif" w:hAnsi="Times New Roman;serif"/>
          <w:b w:val="false"/>
          <w:sz w:val="20"/>
        </w:rPr>
        <w:t>means any Subsidiary that is organized under the laws of a jurisdiction other than the United States of America, any state thereof or the District of Columbia.</w:t>
      </w:r>
    </w:p>
    <w:p>
      <w:pPr>
        <w:pStyle w:val="TextBody"/>
        <w:bidi w:val="0"/>
        <w:spacing w:before="240" w:after="0"/>
        <w:jc w:val="both"/>
        <w:rPr/>
      </w:pPr>
      <w:r>
        <w:rPr/>
        <w:t>“</w:t>
      </w:r>
      <w:r>
        <w:rPr>
          <w:rFonts w:ascii="Times New Roman;serif" w:hAnsi="Times New Roman;serif"/>
          <w:b w:val="false"/>
          <w:sz w:val="20"/>
          <w:u w:val="single"/>
        </w:rPr>
        <w:t>FSHCO</w:t>
      </w:r>
      <w:r>
        <w:rPr>
          <w:rFonts w:ascii="Times New Roman" w:hAnsi="Times New Roman"/>
          <w:sz w:val="20"/>
        </w:rPr>
        <w:t xml:space="preserve">” </w:t>
      </w:r>
      <w:r>
        <w:rPr>
          <w:rFonts w:ascii="Times New Roman;serif" w:hAnsi="Times New Roman;serif"/>
          <w:b w:val="false"/>
          <w:sz w:val="20"/>
        </w:rPr>
        <w:t>means any direct or indirect Domestic Subsidiary of Holdings (other than the Borrower) that has no material assets other than Equity Interests and/or Indebtedness in one or more direct or indirect Foreign Subsidiaries that are CFCs.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Fund</w:t>
      </w:r>
      <w:r>
        <w:rPr>
          <w:rFonts w:ascii="Times New Roman" w:hAnsi="Times New Roman"/>
          <w:sz w:val="20"/>
        </w:rPr>
        <w:t xml:space="preserve">” </w:t>
      </w:r>
      <w:r>
        <w:rPr>
          <w:rFonts w:ascii="Times New Roman;serif" w:hAnsi="Times New Roman;serif"/>
          <w:b w:val="false"/>
          <w:sz w:val="20"/>
        </w:rPr>
        <w:t>means any Person (other than a natural person) that is engaged in making, purchasing, holding or otherwise investing in commercial loans and similar extensions of credit in the ordinary course of its activities.</w:t>
      </w:r>
    </w:p>
    <w:p>
      <w:pPr>
        <w:pStyle w:val="TextBody"/>
        <w:bidi w:val="0"/>
        <w:spacing w:before="240" w:after="0"/>
        <w:jc w:val="both"/>
        <w:rPr/>
      </w:pPr>
      <w:r>
        <w:rPr/>
        <w:t>“</w:t>
      </w:r>
      <w:r>
        <w:rPr>
          <w:rFonts w:ascii="Times New Roman;serif" w:hAnsi="Times New Roman;serif"/>
          <w:b w:val="false"/>
          <w:sz w:val="20"/>
          <w:u w:val="single"/>
        </w:rPr>
        <w:t>Funded Debt</w:t>
      </w:r>
      <w:r>
        <w:rPr>
          <w:rFonts w:ascii="Times New Roman" w:hAnsi="Times New Roman"/>
          <w:sz w:val="20"/>
        </w:rPr>
        <w:t xml:space="preserve">” </w:t>
      </w:r>
      <w:r>
        <w:rPr>
          <w:rFonts w:ascii="Times New Roman;serif" w:hAnsi="Times New Roman;serif"/>
          <w:b w:val="false"/>
          <w:sz w:val="20"/>
        </w:rPr>
        <w:t>means all Indebtedness of the Borrower and the Restricted Subsidiaries for borrowed money that matures more than one year from the date of its creation or matures within one year from such date that is renewable or extendable, at the option of the Borrower or the applicable Restricted Subsidiary, to a date more than one year from such date or arises under a revolving credit or similar agreement that obligates the lender or lenders to extend credit during a period of more than one year from such date, including Indebtedness in respect of the Loans.</w:t>
      </w:r>
    </w:p>
    <w:p>
      <w:pPr>
        <w:pStyle w:val="TextBody"/>
        <w:bidi w:val="0"/>
        <w:spacing w:before="240" w:after="0"/>
        <w:jc w:val="both"/>
        <w:rPr/>
      </w:pPr>
      <w:r>
        <w:rPr/>
        <w:t>“</w:t>
      </w:r>
      <w:r>
        <w:rPr>
          <w:rFonts w:ascii="Times New Roman;serif" w:hAnsi="Times New Roman;serif"/>
          <w:b w:val="false"/>
          <w:sz w:val="20"/>
          <w:u w:val="single"/>
        </w:rPr>
        <w:t>GAAP</w:t>
      </w:r>
      <w:r>
        <w:rPr>
          <w:rFonts w:ascii="Times New Roman" w:hAnsi="Times New Roman"/>
          <w:sz w:val="20"/>
        </w:rPr>
        <w:t xml:space="preserve">” </w:t>
      </w:r>
      <w:r>
        <w:rPr>
          <w:rFonts w:ascii="Times New Roman;serif" w:hAnsi="Times New Roman;serif"/>
          <w:b w:val="false"/>
          <w:sz w:val="20"/>
        </w:rPr>
        <w:t xml:space="preserve">means generally accepted accounting principles in the United States of America, as in effect from time to time;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if the Borrower notifies the Administrative Agent that the Borrower requests an amendment to any provision hereof to eliminate the effect of any change occurring after the Effective Date (or, with respect to the treatment of leases in the definition of Capital Lease Obligation and Capitalized Leases, any change occurring after the date the Company has made the election described in the parenthetical in the definition of Capital Lease Obligation)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w:t>
      </w:r>
    </w:p>
    <w:p>
      <w:pPr>
        <w:pStyle w:val="TextBody"/>
        <w:bidi w:val="0"/>
        <w:spacing w:before="240" w:after="0"/>
        <w:jc w:val="both"/>
        <w:rPr/>
      </w:pPr>
      <w:r>
        <w:rPr/>
        <w:t>“</w:t>
      </w:r>
      <w:r>
        <w:rPr>
          <w:rFonts w:ascii="Times New Roman;serif" w:hAnsi="Times New Roman;serif"/>
          <w:b w:val="false"/>
          <w:sz w:val="20"/>
          <w:u w:val="single"/>
        </w:rPr>
        <w:t>Governmental Approvals</w:t>
      </w:r>
      <w:r>
        <w:rPr>
          <w:rFonts w:ascii="Times New Roman" w:hAnsi="Times New Roman"/>
          <w:sz w:val="20"/>
        </w:rPr>
        <w:t xml:space="preserve">” </w:t>
      </w:r>
      <w:r>
        <w:rPr>
          <w:rFonts w:ascii="Times New Roman;serif" w:hAnsi="Times New Roman;serif"/>
          <w:b w:val="false"/>
          <w:sz w:val="20"/>
        </w:rPr>
        <w:t>means all authorizations, consents, approvals, permits, licenses and exemptions of, registrations and filings with, and reports to, Governmental Authorities.</w:t>
      </w:r>
    </w:p>
    <w:p>
      <w:pPr>
        <w:pStyle w:val="TextBody"/>
        <w:bidi w:val="0"/>
        <w:spacing w:before="240" w:after="0"/>
        <w:jc w:val="both"/>
        <w:rPr/>
      </w:pPr>
      <w:r>
        <w:rPr/>
        <w:t>“</w:t>
      </w:r>
      <w:r>
        <w:rPr>
          <w:rFonts w:ascii="Times New Roman;serif" w:hAnsi="Times New Roman;serif"/>
          <w:b w:val="false"/>
          <w:sz w:val="20"/>
          <w:u w:val="single"/>
        </w:rPr>
        <w:t>Governmental Authority</w:t>
      </w:r>
      <w:r>
        <w:rPr>
          <w:rFonts w:ascii="Times New Roman" w:hAnsi="Times New Roman"/>
          <w:sz w:val="20"/>
        </w:rPr>
        <w:t xml:space="preserve">” </w:t>
      </w:r>
      <w:r>
        <w:rPr>
          <w:rFonts w:ascii="Times New Roman;serif" w:hAnsi="Times New Roman;serif"/>
          <w:b w:val="false"/>
          <w:sz w:val="20"/>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40" w:after="0"/>
        <w:jc w:val="left"/>
        <w:rPr/>
      </w:pPr>
      <w:r>
        <w:rPr/>
        <w:t>“</w:t>
      </w:r>
      <w:r>
        <w:rPr>
          <w:rFonts w:ascii="Times New Roman;serif" w:hAnsi="Times New Roman;serif"/>
          <w:b w:val="false"/>
          <w:sz w:val="20"/>
          <w:u w:val="single"/>
        </w:rPr>
        <w:t>Granting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9.04(e)</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Guarantee</w:t>
      </w:r>
      <w:r>
        <w:rPr>
          <w:rFonts w:ascii="Times New Roman" w:hAnsi="Times New Roman"/>
          <w:sz w:val="20"/>
        </w:rPr>
        <w:t xml:space="preserve">” </w:t>
      </w:r>
      <w:r>
        <w:rPr>
          <w:rFonts w:ascii="Times New Roman;serif" w:hAnsi="Times New Roman;serif"/>
          <w:b w:val="false"/>
          <w:sz w:val="20"/>
        </w:rPr>
        <w:t>of or by any Person (the “</w:t>
      </w:r>
      <w:r>
        <w:rPr>
          <w:rFonts w:ascii="Times New Roman;serif" w:hAnsi="Times New Roman;serif"/>
          <w:b w:val="false"/>
          <w:sz w:val="20"/>
          <w:u w:val="single"/>
        </w:rPr>
        <w:t>guarantor</w:t>
      </w:r>
      <w:r>
        <w:rPr>
          <w:rFonts w:ascii="Times New Roman" w:hAnsi="Times New Roman"/>
          <w:sz w:val="20"/>
        </w:rPr>
        <w:t>”</w:t>
      </w:r>
      <w:r>
        <w:rPr>
          <w:rFonts w:ascii="Times New Roman;serif" w:hAnsi="Times New Roman;serif"/>
          <w:b w:val="false"/>
          <w:sz w:val="20"/>
        </w:rPr>
        <w:t>) means any obligation, contingent or otherwise, of the guarantor guaranteeing or having the economic effect of guaranteeing any Indebtedness of any other Person (the “</w:t>
      </w:r>
      <w:r>
        <w:rPr>
          <w:rFonts w:ascii="Times New Roman;serif" w:hAnsi="Times New Roman;serif"/>
          <w:b w:val="false"/>
          <w:sz w:val="20"/>
          <w:u w:val="single"/>
        </w:rPr>
        <w:t>primary obligor</w:t>
      </w:r>
      <w:r>
        <w:rPr>
          <w:rFonts w:ascii="Times New Roman" w:hAnsi="Times New Roman"/>
          <w:sz w:val="20"/>
        </w:rPr>
        <w:t>”</w:t>
      </w:r>
      <w:r>
        <w:rPr>
          <w:rFonts w:ascii="Times New Roman;serif" w:hAnsi="Times New Roman;serif"/>
          <w:b w:val="false"/>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Guarantee Agreement</w:t>
      </w:r>
      <w:r>
        <w:rPr>
          <w:rFonts w:ascii="Times New Roman" w:hAnsi="Times New Roman"/>
          <w:sz w:val="20"/>
        </w:rPr>
        <w:t xml:space="preserve">” </w:t>
      </w:r>
      <w:r>
        <w:rPr>
          <w:rFonts w:ascii="Times New Roman;serif" w:hAnsi="Times New Roman;serif"/>
          <w:b w:val="false"/>
          <w:sz w:val="20"/>
        </w:rPr>
        <w:t xml:space="preserve">means the First Lien Guarantee Agreement among the Loan Parties and the Administrative Agent, substantially in the form of </w:t>
      </w:r>
      <w:r>
        <w:rPr>
          <w:rFonts w:ascii="Times New Roman;serif" w:hAnsi="Times New Roman;serif"/>
          <w:b w:val="false"/>
          <w:sz w:val="20"/>
          <w:u w:val="single"/>
        </w:rPr>
        <w:t>Exhibit C</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Guarantors</w:t>
      </w:r>
      <w:r>
        <w:rPr>
          <w:rFonts w:ascii="Times New Roman" w:hAnsi="Times New Roman"/>
          <w:sz w:val="20"/>
        </w:rPr>
        <w:t xml:space="preserve">” </w:t>
      </w:r>
      <w:r>
        <w:rPr>
          <w:rFonts w:ascii="Times New Roman;serif" w:hAnsi="Times New Roman;serif"/>
          <w:b w:val="false"/>
          <w:sz w:val="20"/>
        </w:rPr>
        <w:t>means collectively, Holdings and the Subsidiary Loan Parties.</w:t>
      </w:r>
    </w:p>
    <w:p>
      <w:pPr>
        <w:pStyle w:val="TextBody"/>
        <w:bidi w:val="0"/>
        <w:spacing w:before="240" w:after="0"/>
        <w:jc w:val="both"/>
        <w:rPr/>
      </w:pPr>
      <w:r>
        <w:rPr/>
        <w:t>“</w:t>
      </w:r>
      <w:r>
        <w:rPr>
          <w:rFonts w:ascii="Times New Roman;serif" w:hAnsi="Times New Roman;serif"/>
          <w:b w:val="false"/>
          <w:sz w:val="20"/>
          <w:u w:val="single"/>
        </w:rPr>
        <w:t>Hazardous Materials</w:t>
      </w:r>
      <w:r>
        <w:rPr>
          <w:rFonts w:ascii="Times New Roman" w:hAnsi="Times New Roman"/>
          <w:sz w:val="20"/>
        </w:rPr>
        <w:t xml:space="preserve">” </w:t>
      </w:r>
      <w:r>
        <w:rPr>
          <w:rFonts w:ascii="Times New Roman;serif" w:hAnsi="Times New Roman;serif"/>
          <w:b w:val="false"/>
          <w:sz w:val="20"/>
        </w:rPr>
        <w:t>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pStyle w:val="TextBody"/>
        <w:bidi w:val="0"/>
        <w:spacing w:before="240" w:after="0"/>
        <w:jc w:val="both"/>
        <w:rPr/>
      </w:pPr>
      <w:r>
        <w:rPr/>
        <w:t>“</w:t>
      </w:r>
      <w:r>
        <w:rPr>
          <w:rFonts w:ascii="Times New Roman;serif" w:hAnsi="Times New Roman;serif"/>
          <w:b w:val="false"/>
          <w:sz w:val="20"/>
          <w:u w:val="single"/>
        </w:rPr>
        <w:t>Holdings</w:t>
      </w:r>
      <w:r>
        <w:rPr>
          <w:rFonts w:ascii="Times New Roman" w:hAnsi="Times New Roman"/>
          <w:sz w:val="20"/>
        </w:rPr>
        <w:t xml:space="preserve">” </w:t>
      </w:r>
      <w:r>
        <w:rPr>
          <w:rFonts w:ascii="Times New Roman;serif" w:hAnsi="Times New Roman;serif"/>
          <w:b w:val="false"/>
          <w:sz w:val="20"/>
        </w:rPr>
        <w:t>means (a) prior to the consummation of an IPO, Holdings (as defined in the preamble hereto) or any Successor Holdings and (b) on and after the consummation of an IPO, (i) if the IPO Entity is Holdings, any Successor Holdings or any Person of which Holdings or any Successor Holdings is a subsidiary, then Holdings or any Successor Holdings, as applicable, or (ii) if the IPO Entity is a subsidiary of Holdings or any Successor Holdings, then the IPO Entity.</w:t>
      </w:r>
    </w:p>
    <w:p>
      <w:pPr>
        <w:pStyle w:val="TextBody"/>
        <w:bidi w:val="0"/>
        <w:spacing w:before="240" w:after="0"/>
        <w:jc w:val="left"/>
        <w:rPr/>
      </w:pPr>
      <w:r>
        <w:rPr/>
        <w:t>“</w:t>
      </w:r>
      <w:r>
        <w:rPr>
          <w:rFonts w:ascii="Times New Roman;serif" w:hAnsi="Times New Roman;serif"/>
          <w:b w:val="false"/>
          <w:sz w:val="20"/>
          <w:u w:val="single"/>
        </w:rPr>
        <w:t>Identified Participating Lenders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Identified Qualifying Lenders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IFRS</w:t>
      </w:r>
      <w:r>
        <w:rPr>
          <w:rFonts w:ascii="Times New Roman" w:hAnsi="Times New Roman"/>
          <w:sz w:val="20"/>
        </w:rPr>
        <w:t xml:space="preserve">” </w:t>
      </w:r>
      <w:r>
        <w:rPr>
          <w:rFonts w:ascii="Times New Roman;serif" w:hAnsi="Times New Roman;serif"/>
          <w:b w:val="false"/>
          <w:sz w:val="20"/>
        </w:rPr>
        <w:t>means international accounting standards as promulgated by the International Accounting Standards Board.</w:t>
      </w:r>
    </w:p>
    <w:p>
      <w:pPr>
        <w:pStyle w:val="TextBody"/>
        <w:bidi w:val="0"/>
        <w:spacing w:before="240" w:after="0"/>
        <w:jc w:val="left"/>
        <w:rPr/>
      </w:pPr>
      <w:r>
        <w:rPr/>
        <w:t>“</w:t>
      </w:r>
      <w:r>
        <w:rPr>
          <w:rFonts w:ascii="Times New Roman;serif" w:hAnsi="Times New Roman;serif"/>
          <w:b w:val="false"/>
          <w:sz w:val="20"/>
          <w:u w:val="single"/>
        </w:rPr>
        <w:t>Immaterial Subsidiary</w:t>
      </w:r>
      <w:r>
        <w:rPr>
          <w:rFonts w:ascii="Times New Roman" w:hAnsi="Times New Roman"/>
          <w:sz w:val="20"/>
        </w:rPr>
        <w:t xml:space="preserve">” </w:t>
      </w:r>
      <w:r>
        <w:rPr>
          <w:rFonts w:ascii="Times New Roman;serif" w:hAnsi="Times New Roman;serif"/>
          <w:b w:val="false"/>
          <w:sz w:val="20"/>
        </w:rPr>
        <w:t>means any Subsidiary that is not a Material Subsidiary.</w:t>
      </w:r>
    </w:p>
    <w:p>
      <w:pPr>
        <w:pStyle w:val="TextBody"/>
        <w:bidi w:val="0"/>
        <w:spacing w:before="240" w:after="0"/>
        <w:jc w:val="both"/>
        <w:rPr/>
      </w:pPr>
      <w:r>
        <w:rPr/>
        <w:t>“</w:t>
      </w:r>
      <w:r>
        <w:rPr>
          <w:rFonts w:ascii="Times New Roman;serif" w:hAnsi="Times New Roman;serif"/>
          <w:b w:val="false"/>
          <w:sz w:val="20"/>
          <w:u w:val="single"/>
        </w:rPr>
        <w:t>Immediate Family Members</w:t>
      </w:r>
      <w:r>
        <w:rPr>
          <w:rFonts w:ascii="Times New Roman" w:hAnsi="Times New Roman"/>
          <w:sz w:val="20"/>
        </w:rPr>
        <w:t xml:space="preserve">” </w:t>
      </w:r>
      <w:r>
        <w:rPr>
          <w:rFonts w:ascii="Times New Roman;serif" w:hAnsi="Times New Roman;serif"/>
          <w:b w:val="false"/>
          <w:sz w:val="20"/>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240" w:after="0"/>
        <w:jc w:val="left"/>
        <w:rPr/>
      </w:pPr>
      <w:r>
        <w:rPr/>
        <w:t>“</w:t>
      </w:r>
      <w:r>
        <w:rPr>
          <w:rFonts w:ascii="Times New Roman;serif" w:hAnsi="Times New Roman;serif"/>
          <w:b w:val="false"/>
          <w:sz w:val="20"/>
          <w:u w:val="single"/>
        </w:rPr>
        <w:t>Impacted Loans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2.14(a)(ii)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Incremental Cap</w:t>
      </w:r>
      <w:r>
        <w:rPr>
          <w:rFonts w:ascii="Times New Roman" w:hAnsi="Times New Roman"/>
          <w:sz w:val="20"/>
        </w:rPr>
        <w:t xml:space="preserve">” </w:t>
      </w:r>
      <w:r>
        <w:rPr>
          <w:rFonts w:ascii="Times New Roman;serif" w:hAnsi="Times New Roman;serif"/>
          <w:b w:val="false"/>
          <w:sz w:val="20"/>
        </w:rPr>
        <w:t xml:space="preserve">means, as of any date of determination, the sum of (a) the greater of (i) $130,000,000 and (ii) 100% of Consolidated EBITDA for the Test Period then last ended (less the aggregate principal amount of Second Lien Incremental Facilities and Second Lien Incremental Equivalent Debt then outstanding in reliance on the Second Lien Incremental Base Amount) </w:t>
      </w:r>
      <w:r>
        <w:rPr>
          <w:rFonts w:ascii="Times New Roman;serif" w:hAnsi="Times New Roman;serif"/>
          <w:b w:val="false"/>
          <w:sz w:val="20"/>
          <w:u w:val="single"/>
        </w:rPr>
        <w:t>plus</w:t>
      </w:r>
      <w:r>
        <w:rPr>
          <w:rFonts w:ascii="Times New Roman" w:hAnsi="Times New Roman"/>
          <w:sz w:val="20"/>
        </w:rPr>
        <w:t xml:space="preserve"> </w:t>
      </w:r>
      <w:r>
        <w:rPr>
          <w:rFonts w:ascii="Times New Roman;serif" w:hAnsi="Times New Roman;serif"/>
          <w:b w:val="false"/>
          <w:sz w:val="20"/>
        </w:rPr>
        <w:t xml:space="preserve">(b) the aggregate principal amount of all voluntary prepayments of the Loans pursuant to </w:t>
      </w:r>
      <w:r>
        <w:rPr>
          <w:rFonts w:ascii="Times New Roman;serif" w:hAnsi="Times New Roman;serif"/>
          <w:b w:val="false"/>
          <w:sz w:val="20"/>
          <w:u w:val="single"/>
        </w:rPr>
        <w:t>Section 2.11(a)</w:t>
      </w:r>
      <w:r>
        <w:rPr>
          <w:rFonts w:ascii="Times New Roman" w:hAnsi="Times New Roman"/>
          <w:sz w:val="20"/>
        </w:rPr>
        <w:t xml:space="preserve"> </w:t>
      </w:r>
      <w:r>
        <w:rPr>
          <w:rFonts w:ascii="Times New Roman;serif" w:hAnsi="Times New Roman;serif"/>
          <w:b w:val="false"/>
          <w:sz w:val="20"/>
        </w:rPr>
        <w:t xml:space="preserve">(other than in respect of (i) Revolving Loans unless there is an equivalent permanent reduction in Revolving Commitments and (ii) the aggregate principal amount of Second Lien Incremental Facilities and Second Lien Incremental Equivalent Debt incurred pursuant to clause (b) of the definition of “Incremental Cap” as defined in the Second Lien Credit Agreement), or purchases of Term Loans pursuant to </w:t>
      </w:r>
      <w:r>
        <w:rPr>
          <w:rFonts w:ascii="Times New Roman;serif" w:hAnsi="Times New Roman;serif"/>
          <w:b w:val="false"/>
          <w:sz w:val="20"/>
          <w:u w:val="single"/>
        </w:rPr>
        <w:t>Section 9.04(g)</w:t>
      </w:r>
      <w:r>
        <w:rPr>
          <w:rFonts w:ascii="Times New Roman" w:hAnsi="Times New Roman"/>
          <w:sz w:val="20"/>
        </w:rPr>
        <w:t xml:space="preserve"> </w:t>
      </w:r>
      <w:r>
        <w:rPr>
          <w:rFonts w:ascii="Times New Roman;serif" w:hAnsi="Times New Roman;serif"/>
          <w:b w:val="false"/>
          <w:sz w:val="20"/>
        </w:rPr>
        <w:t xml:space="preserve">made prior to such date (other than, in each case, any such prepayments with the proceeds of long-term Indebtedness);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for the avoidance of doubt, in the case of any purchase or prepayment made pursuant to </w:t>
      </w:r>
      <w:r>
        <w:rPr>
          <w:rFonts w:ascii="Times New Roman;serif" w:hAnsi="Times New Roman;serif"/>
          <w:b w:val="false"/>
          <w:sz w:val="20"/>
          <w:u w:val="single"/>
        </w:rPr>
        <w:t>Section 9.04(g)</w:t>
      </w:r>
      <w:r>
        <w:rPr>
          <w:rFonts w:ascii="Times New Roman;serif" w:hAnsi="Times New Roman;serif"/>
          <w:b w:val="false"/>
          <w:sz w:val="20"/>
        </w:rPr>
        <w:t xml:space="preserve">, the amount included in the calculation of the Incremental Cap pursuant to this clause (b) shall be the par principal amount of Loans retired in connection with such purchase or prepayment, </w:t>
      </w:r>
      <w:r>
        <w:rPr>
          <w:rFonts w:ascii="Times New Roman;serif" w:hAnsi="Times New Roman;serif"/>
          <w:b w:val="false"/>
          <w:sz w:val="20"/>
          <w:u w:val="single"/>
        </w:rPr>
        <w:t>plus</w:t>
      </w:r>
      <w:r>
        <w:rPr>
          <w:rFonts w:ascii="Times New Roman" w:hAnsi="Times New Roman"/>
          <w:sz w:val="20"/>
        </w:rPr>
        <w:t xml:space="preserve"> </w:t>
      </w:r>
      <w:r>
        <w:rPr>
          <w:rFonts w:ascii="Times New Roman;serif" w:hAnsi="Times New Roman;serif"/>
          <w:b w:val="false"/>
          <w:sz w:val="20"/>
        </w:rPr>
        <w:t>(c) the maximum aggregate principal amount that can be incurred without causing the First Lien Leverage Ratio, after giving effect to the incurrence or establishment, as applicable, of any Incremental Facilities or Incremental Equivalent Debt (which shall assume that all such Indebtedness is Consolidated First Lien Debt and the full amounts of any Incremental Revolving Commitment Increase and Additional/Replacement Revolving Commitments established at such time are fully drawn) and the use of proceeds thereof, on a Pro Forma Basis (but without giving effect to any substantially simultaneous incurrence of any Incremental Facility, Incremental Equivalent Debt, Second Lien Incremental Facility or Second Lien Incremental Equivalent Debt made pursuant to the foregoing clauses (a) and (b) or clause (d) below (or under the corresponding provisions of the Second Lien Credit Agreement) or under the Revolving Credit Facility in connection therewith), to exceed either (i) 4.75 to 1.00 for the most recent Test Period then ended or (ii) if incurred in connection with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Permitted Acquisition or other Investment, the First Lien Leverage Ratio immediately prior to the incurrence of such Incremental Facility or Incremental Equivalent Debt for the Test Period then last ended </w:t>
      </w:r>
      <w:r>
        <w:rPr>
          <w:rFonts w:ascii="Times New Roman;serif" w:hAnsi="Times New Roman;serif"/>
          <w:b w:val="false"/>
          <w:sz w:val="20"/>
          <w:u w:val="single"/>
        </w:rPr>
        <w:t>plus</w:t>
      </w:r>
      <w:r>
        <w:rPr>
          <w:rFonts w:ascii="Times New Roman" w:hAnsi="Times New Roman"/>
          <w:sz w:val="20"/>
        </w:rPr>
        <w:t xml:space="preserve"> </w:t>
      </w:r>
      <w:r>
        <w:rPr>
          <w:rFonts w:ascii="Times New Roman;serif" w:hAnsi="Times New Roman;serif"/>
          <w:b w:val="false"/>
          <w:sz w:val="20"/>
        </w:rPr>
        <w:t xml:space="preserve">(d) an amount equal to the amount of Indebtedness that is permitted to be incurred in reliance on </w:t>
      </w:r>
      <w:r>
        <w:rPr>
          <w:rFonts w:ascii="Times New Roman;serif" w:hAnsi="Times New Roman;serif"/>
          <w:b w:val="false"/>
          <w:sz w:val="20"/>
          <w:u w:val="single"/>
        </w:rPr>
        <w:t>Section 6.01(a)(xiv)</w:t>
      </w:r>
      <w:r>
        <w:rPr>
          <w:rFonts w:ascii="Times New Roman" w:hAnsi="Times New Roman"/>
          <w:sz w:val="20"/>
        </w:rPr>
        <w:t xml:space="preserve"> </w:t>
      </w:r>
      <w:r>
        <w:rPr>
          <w:rFonts w:ascii="Times New Roman;serif" w:hAnsi="Times New Roman;serif"/>
          <w:b w:val="false"/>
          <w:sz w:val="20"/>
        </w:rPr>
        <w:t>as of such date.</w:t>
      </w:r>
    </w:p>
    <w:p>
      <w:pPr>
        <w:pStyle w:val="TextBody"/>
        <w:bidi w:val="0"/>
        <w:spacing w:before="240" w:after="0"/>
        <w:jc w:val="left"/>
        <w:rPr/>
      </w:pPr>
      <w:r>
        <w:rPr/>
        <w:t>“</w:t>
      </w:r>
      <w:r>
        <w:rPr>
          <w:rFonts w:ascii="Times New Roman;serif" w:hAnsi="Times New Roman;serif"/>
          <w:b w:val="false"/>
          <w:sz w:val="20"/>
          <w:u w:val="single"/>
        </w:rPr>
        <w:t>Incremental Equivalent Debt</w:t>
      </w:r>
      <w:r>
        <w:rPr>
          <w:rFonts w:ascii="Times New Roman" w:hAnsi="Times New Roman"/>
          <w:sz w:val="20"/>
        </w:rPr>
        <w:t xml:space="preserve">” </w:t>
      </w:r>
      <w:r>
        <w:rPr>
          <w:rFonts w:ascii="Times New Roman;serif" w:hAnsi="Times New Roman;serif"/>
          <w:b w:val="false"/>
          <w:sz w:val="20"/>
        </w:rPr>
        <w:t xml:space="preserve">means Indebtedness incurred pursuant to </w:t>
      </w:r>
      <w:r>
        <w:rPr>
          <w:rFonts w:ascii="Times New Roman;serif" w:hAnsi="Times New Roman;serif"/>
          <w:b w:val="false"/>
          <w:sz w:val="20"/>
          <w:u w:val="single"/>
        </w:rPr>
        <w:t>Section 6.01(a)(xxiii)</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Incremental Facilities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2.20(a)</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Incremental Facility Amendment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2.20(f)</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Incremental Revolving Commitment Increase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2.20(a)</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Incremental Revolving Loan</w:t>
      </w:r>
      <w:r>
        <w:rPr>
          <w:rFonts w:ascii="Times New Roman" w:hAnsi="Times New Roman"/>
          <w:sz w:val="20"/>
        </w:rPr>
        <w:t xml:space="preserve">” </w:t>
      </w:r>
      <w:r>
        <w:rPr>
          <w:rFonts w:ascii="Times New Roman;serif" w:hAnsi="Times New Roman;serif"/>
          <w:b w:val="false"/>
          <w:sz w:val="20"/>
        </w:rPr>
        <w:t>means Revolving Loans made pursuant to Additional/Replacement Revolving Commitments.</w:t>
      </w:r>
    </w:p>
    <w:p>
      <w:pPr>
        <w:pStyle w:val="TextBody"/>
        <w:bidi w:val="0"/>
        <w:spacing w:before="240" w:after="0"/>
        <w:jc w:val="left"/>
        <w:rPr/>
      </w:pPr>
      <w:r>
        <w:rPr/>
        <w:t>“</w:t>
      </w:r>
      <w:r>
        <w:rPr>
          <w:rFonts w:ascii="Times New Roman;serif" w:hAnsi="Times New Roman;serif"/>
          <w:b w:val="false"/>
          <w:sz w:val="20"/>
          <w:u w:val="single"/>
        </w:rPr>
        <w:t>Incremental Term Loan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2.20(a)</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Incurrence-Based Amounts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1.04(g)</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Indebtedness</w:t>
      </w:r>
      <w:r>
        <w:rPr>
          <w:rFonts w:ascii="Times New Roman" w:hAnsi="Times New Roman"/>
          <w:sz w:val="20"/>
        </w:rPr>
        <w:t xml:space="preserve">” </w:t>
      </w:r>
      <w:r>
        <w:rPr>
          <w:rFonts w:ascii="Times New Roman;serif" w:hAnsi="Times New Roman;serif"/>
          <w:b w:val="false"/>
          <w:sz w:val="20"/>
        </w:rPr>
        <w:t xml:space="preserve">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or similar obligations payable in the ordinary course of business and any earn-out obligation until such obligation becomes a liability on the balance sheet of such Person in accordance with GAAP and if not paid within 60 days after being due and payable),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term “Indebtedness” shall not include (i) deferred or prepaid revenue, (ii) purchase price holdbacks in respect of a portion of the purchase price of an asset to satisfy warranty or other unperformed obligations of the seller, (iii) any obligations attributable to the exercise of appraisal rights and the settlement of any claims or actions (whether actual, contingent or potential) with respect thereto (other than with respect to the Transactions), (iv) Indebtedness of any Parent Entity appearing on the balance sheet of the Borrower solely by reason of push down accounting under GAAP, (v) accrued expenses and royalties and (vi) asset retirement obligations and other pension related obligations (including pensions and retiree medical care) that are not overdue by more than 60 days.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Holdings,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pStyle w:val="TextBody"/>
        <w:bidi w:val="0"/>
        <w:spacing w:before="240" w:after="0"/>
        <w:jc w:val="both"/>
        <w:rPr/>
      </w:pPr>
      <w:r>
        <w:rPr/>
        <w:t>“</w:t>
      </w:r>
      <w:r>
        <w:rPr>
          <w:rFonts w:ascii="Times New Roman;serif" w:hAnsi="Times New Roman;serif"/>
          <w:b w:val="false"/>
          <w:sz w:val="20"/>
          <w:u w:val="single"/>
        </w:rPr>
        <w:t>Indemnified Taxes</w:t>
      </w:r>
      <w:r>
        <w:rPr>
          <w:rFonts w:ascii="Times New Roman" w:hAnsi="Times New Roman"/>
          <w:sz w:val="20"/>
        </w:rPr>
        <w:t xml:space="preserve">” </w:t>
      </w:r>
      <w:r>
        <w:rPr>
          <w:rFonts w:ascii="Times New Roman;serif" w:hAnsi="Times New Roman;serif"/>
          <w:b w:val="false"/>
          <w:sz w:val="20"/>
        </w:rPr>
        <w:t>means all Taxes, other than Excluded Taxes, imposed on or with respect to any payment made by or on account of any obligation of any Loan Party under any Loan Document.</w:t>
      </w:r>
    </w:p>
    <w:p>
      <w:pPr>
        <w:pStyle w:val="TextBody"/>
        <w:bidi w:val="0"/>
        <w:spacing w:before="240" w:after="0"/>
        <w:jc w:val="left"/>
        <w:rPr/>
      </w:pPr>
      <w:r>
        <w:rPr/>
        <w:t>“</w:t>
      </w:r>
      <w:r>
        <w:rPr>
          <w:rFonts w:ascii="Times New Roman;serif" w:hAnsi="Times New Roman;serif"/>
          <w:b w:val="false"/>
          <w:sz w:val="20"/>
          <w:u w:val="single"/>
        </w:rPr>
        <w:t>Indemnitee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9.03(b)</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Information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9.12(a)</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Information Memorandum</w:t>
      </w:r>
      <w:r>
        <w:rPr>
          <w:rFonts w:ascii="Times New Roman" w:hAnsi="Times New Roman"/>
          <w:sz w:val="20"/>
        </w:rPr>
        <w:t xml:space="preserve">” </w:t>
      </w:r>
      <w:r>
        <w:rPr>
          <w:rFonts w:ascii="Times New Roman;serif" w:hAnsi="Times New Roman;serif"/>
          <w:b w:val="false"/>
          <w:sz w:val="20"/>
        </w:rPr>
        <w:t>means the Confidential Information Memorandum dated January 2020 relating to the Loan Parties and the Term Facility.</w:t>
      </w:r>
    </w:p>
    <w:p>
      <w:pPr>
        <w:pStyle w:val="TextBody"/>
        <w:bidi w:val="0"/>
        <w:spacing w:before="240" w:after="0"/>
        <w:jc w:val="both"/>
        <w:rPr/>
      </w:pPr>
      <w:r>
        <w:rPr/>
        <w:t>“</w:t>
      </w:r>
      <w:r>
        <w:rPr>
          <w:rFonts w:ascii="Times New Roman;serif" w:hAnsi="Times New Roman;serif"/>
          <w:b w:val="false"/>
          <w:sz w:val="20"/>
          <w:u w:val="single"/>
        </w:rPr>
        <w:t>Initial Term Commitment</w:t>
      </w:r>
      <w:r>
        <w:rPr>
          <w:rFonts w:ascii="Times New Roman" w:hAnsi="Times New Roman"/>
          <w:sz w:val="20"/>
        </w:rPr>
        <w:t xml:space="preserve">” </w:t>
      </w:r>
      <w:r>
        <w:rPr>
          <w:rFonts w:ascii="Times New Roman;serif" w:hAnsi="Times New Roman;serif"/>
          <w:b w:val="false"/>
          <w:sz w:val="20"/>
        </w:rPr>
        <w:t xml:space="preserve">means, with respect to each Term Lender, the commitment of such Term Lender to make a Term Loan hereunder on the Effective Date, expressed as an amount representing the maximum principal amount of the Term Loan to be made by such Term Lender hereunder, as such commitment may be (a) reduced from time to time pursuant to </w:t>
      </w:r>
      <w:r>
        <w:rPr>
          <w:rFonts w:ascii="Times New Roman;serif" w:hAnsi="Times New Roman;serif"/>
          <w:b w:val="false"/>
          <w:sz w:val="20"/>
          <w:u w:val="single"/>
        </w:rPr>
        <w:t>Section 2.08</w:t>
      </w:r>
      <w:r>
        <w:rPr>
          <w:rFonts w:ascii="Times New Roman" w:hAnsi="Times New Roman"/>
          <w:sz w:val="20"/>
        </w:rPr>
        <w:t xml:space="preserve"> </w:t>
      </w:r>
      <w:r>
        <w:rPr>
          <w:rFonts w:ascii="Times New Roman;serif" w:hAnsi="Times New Roman;serif"/>
          <w:b w:val="false"/>
          <w:sz w:val="20"/>
        </w:rPr>
        <w:t xml:space="preserve">and (b) reduced or increased from time to time pursuant to assignments by or to such Term Lender pursuant to an Assignment and Assumption. The initial amount of each Term Lender’s Initial Term Commitment is set forth on </w:t>
      </w:r>
      <w:r>
        <w:rPr>
          <w:rFonts w:ascii="Times New Roman;serif" w:hAnsi="Times New Roman;serif"/>
          <w:b w:val="false"/>
          <w:sz w:val="20"/>
          <w:u w:val="single"/>
        </w:rPr>
        <w:t>Schedule 2.01(a)</w:t>
      </w:r>
      <w:r>
        <w:rPr>
          <w:rFonts w:ascii="Times New Roman" w:hAnsi="Times New Roman"/>
          <w:sz w:val="20"/>
        </w:rPr>
        <w:t xml:space="preserve"> </w:t>
      </w:r>
      <w:r>
        <w:rPr>
          <w:rFonts w:ascii="Times New Roman;serif" w:hAnsi="Times New Roman;serif"/>
          <w:b w:val="false"/>
          <w:sz w:val="20"/>
        </w:rPr>
        <w:t>or in the Assignment and Assumption pursuant to which such Term Lender shall have assumed its Initial Term Commitment, as the case may be. As of the Effective Date, the total Initial Term Commitment was $670,000,000.</w:t>
      </w:r>
    </w:p>
    <w:p>
      <w:pPr>
        <w:pStyle w:val="TextBody"/>
        <w:bidi w:val="0"/>
        <w:spacing w:before="240" w:after="0"/>
        <w:jc w:val="left"/>
        <w:rPr/>
      </w:pPr>
      <w:r>
        <w:rPr/>
        <w:t>“</w:t>
      </w:r>
      <w:r>
        <w:rPr>
          <w:rFonts w:ascii="Times New Roman;serif" w:hAnsi="Times New Roman;serif"/>
          <w:b w:val="false"/>
          <w:sz w:val="20"/>
          <w:u w:val="single"/>
        </w:rPr>
        <w:t>Initial Term Loan</w:t>
      </w:r>
      <w:r>
        <w:rPr>
          <w:rFonts w:ascii="Times New Roman" w:hAnsi="Times New Roman"/>
          <w:sz w:val="20"/>
        </w:rPr>
        <w:t xml:space="preserve">” </w:t>
      </w:r>
      <w:r>
        <w:rPr>
          <w:rFonts w:ascii="Times New Roman;serif" w:hAnsi="Times New Roman;serif"/>
          <w:b w:val="false"/>
          <w:sz w:val="20"/>
        </w:rPr>
        <w:t xml:space="preserve">means a Loan made pursuant to clause (a) of </w:t>
      </w:r>
      <w:r>
        <w:rPr>
          <w:rFonts w:ascii="Times New Roman;serif" w:hAnsi="Times New Roman;serif"/>
          <w:b w:val="false"/>
          <w:sz w:val="20"/>
          <w:u w:val="single"/>
        </w:rPr>
        <w:t>Section 2.01</w:t>
      </w:r>
      <w:r>
        <w:rPr>
          <w:rFonts w:ascii="Times New Roman" w:hAnsi="Times New Roman"/>
          <w:sz w:val="20"/>
        </w:rPr>
        <w:t xml:space="preserve"> </w:t>
      </w:r>
      <w:r>
        <w:rPr>
          <w:rFonts w:ascii="Times New Roman;serif" w:hAnsi="Times New Roman;serif"/>
          <w:b w:val="false"/>
          <w:sz w:val="20"/>
        </w:rPr>
        <w:t>on the Effective Date.</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Intellectual Property</w:t>
      </w:r>
      <w:r>
        <w:rPr>
          <w:rFonts w:ascii="Times New Roman" w:hAnsi="Times New Roman"/>
          <w:sz w:val="20"/>
        </w:rPr>
        <w:t xml:space="preserve">” </w:t>
      </w:r>
      <w:r>
        <w:rPr>
          <w:rFonts w:ascii="Times New Roman;serif" w:hAnsi="Times New Roman;serif"/>
          <w:b w:val="false"/>
          <w:sz w:val="20"/>
        </w:rPr>
        <w:t>has the meaning assigned to such term in the Collateral Agreement.</w:t>
      </w:r>
    </w:p>
    <w:p>
      <w:pPr>
        <w:pStyle w:val="TextBody"/>
        <w:bidi w:val="0"/>
        <w:spacing w:before="240" w:after="0"/>
        <w:jc w:val="both"/>
        <w:rPr/>
      </w:pPr>
      <w:r>
        <w:rPr/>
        <w:t>“</w:t>
      </w:r>
      <w:r>
        <w:rPr>
          <w:rFonts w:ascii="Times New Roman;serif" w:hAnsi="Times New Roman;serif"/>
          <w:b w:val="false"/>
          <w:sz w:val="20"/>
          <w:u w:val="single"/>
        </w:rPr>
        <w:t>Intercreditor Agreements</w:t>
      </w:r>
      <w:r>
        <w:rPr>
          <w:rFonts w:ascii="Times New Roman" w:hAnsi="Times New Roman"/>
          <w:sz w:val="20"/>
        </w:rPr>
        <w:t xml:space="preserve">” </w:t>
      </w:r>
      <w:r>
        <w:rPr>
          <w:rFonts w:ascii="Times New Roman;serif" w:hAnsi="Times New Roman;serif"/>
          <w:b w:val="false"/>
          <w:sz w:val="20"/>
        </w:rPr>
        <w:t>means any First Lien Intercreditor Agreement and the First Lien/Second Lien Intercreditor Agreement.</w:t>
      </w:r>
    </w:p>
    <w:p>
      <w:pPr>
        <w:pStyle w:val="TextBody"/>
        <w:bidi w:val="0"/>
        <w:spacing w:before="240" w:after="0"/>
        <w:jc w:val="both"/>
        <w:rPr/>
      </w:pPr>
      <w:r>
        <w:rPr/>
        <w:t>“</w:t>
      </w:r>
      <w:r>
        <w:rPr>
          <w:rFonts w:ascii="Times New Roman;serif" w:hAnsi="Times New Roman;serif"/>
          <w:b w:val="false"/>
          <w:sz w:val="20"/>
          <w:u w:val="single"/>
        </w:rPr>
        <w:t>Interest Coverage Ratio</w:t>
      </w:r>
      <w:r>
        <w:rPr>
          <w:rFonts w:ascii="Times New Roman" w:hAnsi="Times New Roman"/>
          <w:sz w:val="20"/>
        </w:rPr>
        <w:t xml:space="preserve">” </w:t>
      </w:r>
      <w:r>
        <w:rPr>
          <w:rFonts w:ascii="Times New Roman;serif" w:hAnsi="Times New Roman;serif"/>
          <w:b w:val="false"/>
          <w:sz w:val="20"/>
        </w:rPr>
        <w:t>means, as of any date, the ratio of (a) Consolidated EBITDA to (b) Consolidated Interest Expense, in each case for the Test Period as of such date.</w:t>
      </w:r>
    </w:p>
    <w:p>
      <w:pPr>
        <w:pStyle w:val="TextBody"/>
        <w:bidi w:val="0"/>
        <w:spacing w:before="240" w:after="0"/>
        <w:jc w:val="both"/>
        <w:rPr/>
      </w:pPr>
      <w:r>
        <w:rPr/>
        <w:t>“</w:t>
      </w:r>
      <w:r>
        <w:rPr>
          <w:rFonts w:ascii="Times New Roman;serif" w:hAnsi="Times New Roman;serif"/>
          <w:b w:val="false"/>
          <w:sz w:val="20"/>
          <w:u w:val="single"/>
        </w:rPr>
        <w:t>Interest Election Request</w:t>
      </w:r>
      <w:r>
        <w:rPr>
          <w:rFonts w:ascii="Times New Roman" w:hAnsi="Times New Roman"/>
          <w:sz w:val="20"/>
        </w:rPr>
        <w:t xml:space="preserve">” </w:t>
      </w:r>
      <w:r>
        <w:rPr>
          <w:rFonts w:ascii="Times New Roman;serif" w:hAnsi="Times New Roman;serif"/>
          <w:b w:val="false"/>
          <w:sz w:val="20"/>
        </w:rPr>
        <w:t xml:space="preserve">means a request by the Borrower in accordance with </w:t>
      </w:r>
      <w:r>
        <w:rPr>
          <w:rFonts w:ascii="Times New Roman;serif" w:hAnsi="Times New Roman;serif"/>
          <w:b w:val="false"/>
          <w:sz w:val="20"/>
          <w:u w:val="single"/>
        </w:rPr>
        <w:t>Section 2.07</w:t>
      </w:r>
      <w:r>
        <w:rPr>
          <w:rFonts w:ascii="Times New Roman" w:hAnsi="Times New Roman"/>
          <w:sz w:val="20"/>
        </w:rPr>
        <w:t xml:space="preserve"> </w:t>
      </w:r>
      <w:r>
        <w:rPr>
          <w:rFonts w:ascii="Times New Roman;serif" w:hAnsi="Times New Roman;serif"/>
          <w:b w:val="false"/>
          <w:sz w:val="20"/>
        </w:rPr>
        <w:t xml:space="preserve">and substantially in the form of </w:t>
      </w:r>
      <w:r>
        <w:rPr>
          <w:rFonts w:ascii="Times New Roman;serif" w:hAnsi="Times New Roman;serif"/>
          <w:b w:val="false"/>
          <w:sz w:val="20"/>
          <w:u w:val="single"/>
        </w:rPr>
        <w:t>Exhibit R</w:t>
      </w:r>
      <w:r>
        <w:rPr>
          <w:rFonts w:ascii="Times New Roman" w:hAnsi="Times New Roman"/>
          <w:sz w:val="20"/>
        </w:rPr>
        <w:t xml:space="preserve"> </w:t>
      </w:r>
      <w:r>
        <w:rPr>
          <w:rFonts w:ascii="Times New Roman;serif" w:hAnsi="Times New Roman;serif"/>
          <w:b w:val="false"/>
          <w:sz w:val="20"/>
        </w:rPr>
        <w:t>or such other form as may be reasonably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240" w:after="0"/>
        <w:jc w:val="both"/>
        <w:rPr/>
      </w:pPr>
      <w:r>
        <w:rPr/>
        <w:t>“</w:t>
      </w:r>
      <w:r>
        <w:rPr>
          <w:rFonts w:ascii="Times New Roman;serif" w:hAnsi="Times New Roman;serif"/>
          <w:b w:val="false"/>
          <w:sz w:val="20"/>
          <w:u w:val="single"/>
        </w:rPr>
        <w:t>Interest Payment Date</w:t>
      </w:r>
      <w:r>
        <w:rPr>
          <w:rFonts w:ascii="Times New Roman" w:hAnsi="Times New Roman"/>
          <w:sz w:val="20"/>
        </w:rPr>
        <w:t xml:space="preserve">” </w:t>
      </w:r>
      <w:r>
        <w:rPr>
          <w:rFonts w:ascii="Times New Roman;serif" w:hAnsi="Times New Roman;serif"/>
          <w:b w:val="false"/>
          <w:sz w:val="20"/>
        </w:rPr>
        <w:t xml:space="preserve">means (a) with respect to any ABR Loan, the last Business Day of each March, June, September and December and (b) with respect to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the last day of </w:t>
      </w:r>
      <w:r>
        <w:rPr>
          <w:rFonts w:ascii="Times New Roman;serif" w:hAnsi="Times New Roman;serif"/>
          <w:b w:val="false"/>
          <w:strike/>
          <w:sz w:val="20"/>
        </w:rPr>
        <w:t>the</w:t>
      </w:r>
      <w:r>
        <w:rPr>
          <w:rFonts w:ascii="Times New Roman;serif" w:hAnsi="Times New Roman;serif"/>
          <w:b w:val="false"/>
          <w:sz w:val="20"/>
          <w:u w:val="single"/>
        </w:rPr>
        <w:t>each</w:t>
      </w:r>
      <w:r>
        <w:rPr>
          <w:rFonts w:ascii="Times New Roman" w:hAnsi="Times New Roman"/>
          <w:sz w:val="20"/>
        </w:rPr>
        <w:t xml:space="preserve"> </w:t>
      </w:r>
      <w:r>
        <w:rPr>
          <w:rFonts w:ascii="Times New Roman;serif" w:hAnsi="Times New Roman;serif"/>
          <w:b w:val="false"/>
          <w:sz w:val="20"/>
        </w:rPr>
        <w:t xml:space="preserve">Interest Period applicable to </w:t>
      </w:r>
      <w:r>
        <w:rPr>
          <w:rFonts w:ascii="Times New Roman;serif" w:hAnsi="Times New Roman;serif"/>
          <w:b w:val="false"/>
          <w:strike/>
          <w:sz w:val="20"/>
        </w:rPr>
        <w:t>the Borrowing of which</w:t>
      </w:r>
      <w:r>
        <w:rPr>
          <w:rFonts w:ascii="Times New Roman" w:hAnsi="Times New Roman"/>
          <w:sz w:val="20"/>
        </w:rPr>
        <w:t xml:space="preserve"> </w:t>
      </w:r>
      <w:r>
        <w:rPr>
          <w:rFonts w:ascii="Times New Roman;serif" w:hAnsi="Times New Roman;serif"/>
          <w:b w:val="false"/>
          <w:sz w:val="20"/>
        </w:rPr>
        <w:t xml:space="preserve">such Loan </w:t>
      </w:r>
      <w:r>
        <w:rPr>
          <w:rFonts w:ascii="Times New Roman;serif" w:hAnsi="Times New Roman;serif"/>
          <w:b w:val="false"/>
          <w:strike/>
          <w:sz w:val="20"/>
        </w:rPr>
        <w:t>is a part and, in the case of a Eurocurrency Borrowing with an Interest Period of more than</w:t>
      </w:r>
      <w:r>
        <w:rPr>
          <w:rFonts w:ascii="Times New Roman;serif" w:hAnsi="Times New Roman;serif"/>
          <w:b w:val="false"/>
          <w:sz w:val="20"/>
          <w:u w:val="single"/>
        </w:rPr>
        <w:t>and the applicable maturity date set forth in the Credit Agreement;</w:t>
      </w:r>
      <w:r>
        <w:rPr>
          <w:rFonts w:ascii="Times New Roman" w:hAnsi="Times New Roman"/>
          <w:sz w:val="20"/>
        </w:rPr>
        <w:t xml:space="preserve"> </w:t>
      </w:r>
      <w:r>
        <w:rPr>
          <w:rFonts w:ascii="Times New Roman;serif" w:hAnsi="Times New Roman;serif"/>
          <w:b w:val="false"/>
          <w:sz w:val="20"/>
          <w:u w:val="single"/>
        </w:rPr>
        <w:t>provided, however, that if any Interest Period for a Term SOFR Loan exceeds</w:t>
      </w:r>
      <w:r>
        <w:rPr>
          <w:rFonts w:ascii="Times New Roman" w:hAnsi="Times New Roman"/>
          <w:sz w:val="20"/>
        </w:rPr>
        <w:t xml:space="preserve"> </w:t>
      </w:r>
      <w:r>
        <w:rPr>
          <w:rFonts w:ascii="Times New Roman;serif" w:hAnsi="Times New Roman;serif"/>
          <w:b w:val="false"/>
          <w:sz w:val="20"/>
        </w:rPr>
        <w:t>three months</w:t>
      </w:r>
      <w:r>
        <w:rPr>
          <w:rFonts w:ascii="Times New Roman" w:hAnsi="Times New Roman"/>
          <w:strike/>
          <w:sz w:val="20"/>
        </w:rPr>
        <w:t xml:space="preserve">’ </w:t>
      </w:r>
      <w:r>
        <w:rPr>
          <w:rFonts w:ascii="Times New Roman;serif" w:hAnsi="Times New Roman;serif"/>
          <w:b w:val="false"/>
          <w:strike/>
          <w:sz w:val="20"/>
        </w:rPr>
        <w:t>duration, each day prior</w:t>
      </w:r>
      <w:r>
        <w:rPr>
          <w:rFonts w:ascii="Times New Roman" w:hAnsi="Times New Roman"/>
          <w:sz w:val="20"/>
        </w:rPr>
        <w:t xml:space="preserve"> </w:t>
      </w:r>
      <w:r>
        <w:rPr>
          <w:rFonts w:ascii="Times New Roman;serif" w:hAnsi="Times New Roman;serif"/>
          <w:b w:val="false"/>
          <w:strike/>
          <w:sz w:val="20"/>
        </w:rPr>
        <w:t>to the last day of such Interest Period that occurs at intervals of</w:t>
      </w:r>
      <w:r>
        <w:rPr>
          <w:rFonts w:ascii="Times New Roman;serif" w:hAnsi="Times New Roman;serif"/>
          <w:b w:val="false"/>
          <w:sz w:val="20"/>
        </w:rPr>
        <w:t>,</w:t>
      </w:r>
      <w:r>
        <w:rPr>
          <w:rFonts w:ascii="Times New Roman" w:hAnsi="Times New Roman"/>
          <w:sz w:val="20"/>
          <w:u w:val="single"/>
        </w:rPr>
        <w:t xml:space="preserve"> </w:t>
      </w:r>
      <w:r>
        <w:rPr>
          <w:rFonts w:ascii="Times New Roman;serif" w:hAnsi="Times New Roman;serif"/>
          <w:b w:val="false"/>
          <w:sz w:val="20"/>
          <w:u w:val="single"/>
        </w:rPr>
        <w:t>the respective dates that fall every</w:t>
      </w:r>
      <w:r>
        <w:rPr>
          <w:rFonts w:ascii="Times New Roman" w:hAnsi="Times New Roman"/>
          <w:sz w:val="20"/>
        </w:rPr>
        <w:t xml:space="preserve"> </w:t>
      </w:r>
      <w:r>
        <w:rPr>
          <w:rFonts w:ascii="Times New Roman;serif" w:hAnsi="Times New Roman;serif"/>
          <w:b w:val="false"/>
          <w:sz w:val="20"/>
        </w:rPr>
        <w:t>three months</w:t>
      </w:r>
      <w:r>
        <w:rPr>
          <w:rFonts w:ascii="Times New Roman" w:hAnsi="Times New Roman"/>
          <w:strike/>
          <w:sz w:val="20"/>
        </w:rPr>
        <w:t>’</w:t>
      </w:r>
      <w:r>
        <w:rPr>
          <w:rFonts w:ascii="Times New Roman" w:hAnsi="Times New Roman"/>
          <w:sz w:val="20"/>
        </w:rPr>
        <w:t xml:space="preserve"> </w:t>
      </w:r>
      <w:r>
        <w:rPr>
          <w:rFonts w:ascii="Times New Roman;serif" w:hAnsi="Times New Roman;serif"/>
          <w:b w:val="false"/>
          <w:strike/>
          <w:sz w:val="20"/>
        </w:rPr>
        <w:t>duration</w:t>
      </w:r>
      <w:r>
        <w:rPr>
          <w:rFonts w:ascii="Times New Roman" w:hAnsi="Times New Roman"/>
          <w:sz w:val="20"/>
        </w:rPr>
        <w:t xml:space="preserve"> </w:t>
      </w:r>
      <w:r>
        <w:rPr>
          <w:rFonts w:ascii="Times New Roman;serif" w:hAnsi="Times New Roman;serif"/>
          <w:b w:val="false"/>
          <w:sz w:val="20"/>
        </w:rPr>
        <w:t xml:space="preserve">after the </w:t>
      </w:r>
      <w:r>
        <w:rPr>
          <w:rFonts w:ascii="Times New Roman;serif" w:hAnsi="Times New Roman;serif"/>
          <w:b w:val="false"/>
          <w:strike/>
          <w:sz w:val="20"/>
        </w:rPr>
        <w:t>first day</w:t>
      </w:r>
      <w:r>
        <w:rPr>
          <w:rFonts w:ascii="Times New Roman;serif" w:hAnsi="Times New Roman;serif"/>
          <w:b w:val="false"/>
          <w:sz w:val="20"/>
          <w:u w:val="single"/>
        </w:rPr>
        <w:t>beginning</w:t>
      </w:r>
      <w:r>
        <w:rPr>
          <w:rFonts w:ascii="Times New Roman" w:hAnsi="Times New Roman"/>
          <w:sz w:val="20"/>
        </w:rPr>
        <w:t xml:space="preserve"> </w:t>
      </w:r>
      <w:r>
        <w:rPr>
          <w:rFonts w:ascii="Times New Roman;serif" w:hAnsi="Times New Roman;serif"/>
          <w:b w:val="false"/>
          <w:sz w:val="20"/>
        </w:rPr>
        <w:t>of such Interest Period.</w:t>
      </w:r>
      <w:r>
        <w:rPr>
          <w:rFonts w:ascii="Times New Roman" w:hAnsi="Times New Roman"/>
          <w:sz w:val="20"/>
          <w:u w:val="single"/>
        </w:rPr>
        <w:t xml:space="preserve"> </w:t>
      </w:r>
      <w:r>
        <w:rPr>
          <w:rFonts w:ascii="Times New Roman;serif" w:hAnsi="Times New Roman;serif"/>
          <w:b w:val="false"/>
          <w:sz w:val="20"/>
          <w:u w:val="single"/>
        </w:rPr>
        <w:t>shall also be Interest Payment Dates.</w:t>
      </w:r>
    </w:p>
    <w:p>
      <w:pPr>
        <w:pStyle w:val="TextBody"/>
        <w:bidi w:val="0"/>
        <w:spacing w:before="240" w:after="0"/>
        <w:jc w:val="both"/>
        <w:rPr/>
      </w:pPr>
      <w:r>
        <w:rPr/>
        <w:t>“</w:t>
      </w:r>
      <w:r>
        <w:rPr>
          <w:rFonts w:ascii="Times New Roman;serif" w:hAnsi="Times New Roman;serif"/>
          <w:b w:val="false"/>
          <w:sz w:val="20"/>
          <w:u w:val="single"/>
        </w:rPr>
        <w:t>Interest Period</w:t>
      </w:r>
      <w:r>
        <w:rPr>
          <w:rFonts w:ascii="Times New Roman" w:hAnsi="Times New Roman"/>
          <w:sz w:val="20"/>
        </w:rPr>
        <w:t xml:space="preserve">” </w:t>
      </w:r>
      <w:r>
        <w:rPr>
          <w:rFonts w:ascii="Times New Roman;serif" w:hAnsi="Times New Roman;serif"/>
          <w:b w:val="false"/>
          <w:sz w:val="20"/>
        </w:rPr>
        <w:t xml:space="preserve">means, with respect to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Borrowing, the period commencing on the date of such Borrowing and ending on the numerically corresponding day in the calendar month that is one, </w:t>
      </w:r>
      <w:r>
        <w:rPr>
          <w:rFonts w:ascii="Times New Roman;serif" w:hAnsi="Times New Roman;serif"/>
          <w:b w:val="false"/>
          <w:strike/>
          <w:sz w:val="20"/>
        </w:rPr>
        <w:t>two,</w:t>
      </w:r>
      <w:r>
        <w:rPr>
          <w:rFonts w:ascii="Times New Roman" w:hAnsi="Times New Roman"/>
          <w:sz w:val="20"/>
        </w:rPr>
        <w:t xml:space="preserve"> </w:t>
      </w:r>
      <w:r>
        <w:rPr>
          <w:rFonts w:ascii="Times New Roman;serif" w:hAnsi="Times New Roman;serif"/>
          <w:b w:val="false"/>
          <w:sz w:val="20"/>
        </w:rPr>
        <w:t xml:space="preserve">three or six months thereafter as selected by the Borrower in its Borrowing Request (or, if agreed to by each Lender participating therein, twelve months or such other period less than one month thereafter as the Borrower may elect),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bidi w:val="0"/>
        <w:spacing w:before="240" w:after="0"/>
        <w:jc w:val="both"/>
        <w:rPr/>
      </w:pPr>
      <w:r>
        <w:rPr/>
        <w:t>“</w:t>
      </w:r>
      <w:r>
        <w:rPr>
          <w:rFonts w:ascii="Times New Roman;serif" w:hAnsi="Times New Roman;serif"/>
          <w:b w:val="false"/>
          <w:sz w:val="20"/>
          <w:u w:val="single"/>
        </w:rPr>
        <w:t>Investment</w:t>
      </w:r>
      <w:r>
        <w:rPr>
          <w:rFonts w:ascii="Times New Roman" w:hAnsi="Times New Roman"/>
          <w:sz w:val="20"/>
        </w:rPr>
        <w:t xml:space="preserve">” </w:t>
      </w:r>
      <w:r>
        <w:rPr>
          <w:rFonts w:ascii="Times New Roman;serif" w:hAnsi="Times New Roman;serif"/>
          <w:b w:val="false"/>
          <w:sz w:val="20"/>
        </w:rPr>
        <w:t>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(excluding, in the case of Holdings, the Borrower and the Restricted Subsidiaries, (i) intercompany advances arising from their cash management, tax, and accounting operations and (ii) intercompany loans, advances, or Indebtedness having a term not exceeding 364 days (inclusive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(iv) any Investment (other than any Investment referred to in clause (i), (ii) or (iii)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(A) the cost of all additions thereto and minus (B)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this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Times New Roman;serif" w:hAnsi="Times New Roman;serif"/>
          <w:b w:val="false"/>
          <w:sz w:val="20"/>
          <w:u w:val="single"/>
        </w:rPr>
        <w:t>Section 6.04</w:t>
      </w:r>
      <w:r>
        <w:rPr>
          <w:rFonts w:ascii="Times New Roman;serif" w:hAnsi="Times New Roman;serif"/>
          <w:b w:val="false"/>
          <w:sz w:val="20"/>
        </w:rPr>
        <w:t xml:space="preserve">, if an Investment involves the acquisition of more than one Person, the amount of such Investment shall be allocated among the acquired Persons in accordance with GAAP;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pending the final determination of the amounts to be so allocated in accordance with GAAP, such allocation shall be as reasonably determined by a Financial Officer.</w:t>
      </w:r>
    </w:p>
    <w:p>
      <w:pPr>
        <w:pStyle w:val="TextBody"/>
        <w:bidi w:val="0"/>
        <w:spacing w:before="240" w:after="0"/>
        <w:jc w:val="left"/>
        <w:rPr/>
      </w:pPr>
      <w:r>
        <w:rPr/>
        <w:t>“</w:t>
      </w:r>
      <w:r>
        <w:rPr>
          <w:rFonts w:ascii="Times New Roman;serif" w:hAnsi="Times New Roman;serif"/>
          <w:b w:val="false"/>
          <w:sz w:val="20"/>
          <w:u w:val="single"/>
        </w:rPr>
        <w:t>Investor</w:t>
      </w:r>
      <w:r>
        <w:rPr>
          <w:rFonts w:ascii="Times New Roman" w:hAnsi="Times New Roman"/>
          <w:sz w:val="20"/>
        </w:rPr>
        <w:t xml:space="preserve">” </w:t>
      </w:r>
      <w:r>
        <w:rPr>
          <w:rFonts w:ascii="Times New Roman;serif" w:hAnsi="Times New Roman;serif"/>
          <w:b w:val="false"/>
          <w:sz w:val="20"/>
        </w:rPr>
        <w:t>means a holder of Equity Interests in Holdings (or any direct or indirect parent thereof).</w:t>
      </w:r>
    </w:p>
    <w:p>
      <w:pPr>
        <w:pStyle w:val="TextBody"/>
        <w:bidi w:val="0"/>
        <w:spacing w:before="240" w:after="0"/>
        <w:jc w:val="both"/>
        <w:rPr/>
      </w:pPr>
      <w:r>
        <w:rPr/>
        <w:t>“</w:t>
      </w:r>
      <w:r>
        <w:rPr>
          <w:rFonts w:ascii="Times New Roman;serif" w:hAnsi="Times New Roman;serif"/>
          <w:b w:val="false"/>
          <w:sz w:val="20"/>
          <w:u w:val="single"/>
        </w:rPr>
        <w:t>IPO</w:t>
      </w:r>
      <w:r>
        <w:rPr>
          <w:rFonts w:ascii="Times New Roman" w:hAnsi="Times New Roman"/>
          <w:sz w:val="20"/>
        </w:rPr>
        <w:t xml:space="preserve">” </w:t>
      </w:r>
      <w:r>
        <w:rPr>
          <w:rFonts w:ascii="Times New Roman;serif" w:hAnsi="Times New Roman;serif"/>
          <w:b w:val="false"/>
          <w:sz w:val="20"/>
        </w:rPr>
        <w:t>means any transaction (other than a public offering pursuant to a registration statement on Form S-8) after the Effective Date which results in the common Equity Interests of Holdings or Parent Entity or, in either case, a related IPO Entity to be publicly held.</w:t>
      </w:r>
    </w:p>
    <w:p>
      <w:pPr>
        <w:pStyle w:val="TextBody"/>
        <w:bidi w:val="0"/>
        <w:spacing w:before="240" w:after="0"/>
        <w:jc w:val="both"/>
        <w:rPr/>
      </w:pPr>
      <w:r>
        <w:rPr/>
        <w:t>“</w:t>
      </w:r>
      <w:r>
        <w:rPr>
          <w:rFonts w:ascii="Times New Roman;serif" w:hAnsi="Times New Roman;serif"/>
          <w:b w:val="false"/>
          <w:sz w:val="20"/>
          <w:u w:val="single"/>
        </w:rPr>
        <w:t>IPO Entity</w:t>
      </w:r>
      <w:r>
        <w:rPr>
          <w:rFonts w:ascii="Times New Roman" w:hAnsi="Times New Roman"/>
          <w:sz w:val="20"/>
        </w:rPr>
        <w:t xml:space="preserve">” </w:t>
      </w:r>
      <w:r>
        <w:rPr>
          <w:rFonts w:ascii="Times New Roman;serif" w:hAnsi="Times New Roman;serif"/>
          <w:b w:val="false"/>
          <w:sz w:val="20"/>
        </w:rPr>
        <w:t>means, at any time at and after an IPO, Holdings, a Parent Entity or any IPO Listco described in clause (b) of the definition thereof, as the case may be, the Equity Interests in which were issued or otherwise sold pursuant to the IPO or any other transaction that results in any Parent Entity being publicly traded.</w:t>
      </w:r>
    </w:p>
    <w:p>
      <w:pPr>
        <w:pStyle w:val="TextBody"/>
        <w:bidi w:val="0"/>
        <w:spacing w:before="240" w:after="0"/>
        <w:jc w:val="both"/>
        <w:rPr/>
      </w:pPr>
      <w:r>
        <w:rPr/>
        <w:t>“</w:t>
      </w:r>
      <w:r>
        <w:rPr>
          <w:rFonts w:ascii="Times New Roman;serif" w:hAnsi="Times New Roman;serif"/>
          <w:b w:val="false"/>
          <w:sz w:val="20"/>
          <w:u w:val="single"/>
        </w:rPr>
        <w:t>IPO Listco</w:t>
      </w:r>
      <w:r>
        <w:rPr>
          <w:rFonts w:ascii="Times New Roman" w:hAnsi="Times New Roman"/>
          <w:sz w:val="20"/>
        </w:rPr>
        <w:t xml:space="preserve">” </w:t>
      </w:r>
      <w:r>
        <w:rPr>
          <w:rFonts w:ascii="Times New Roman;serif" w:hAnsi="Times New Roman;serif"/>
          <w:b w:val="false"/>
          <w:sz w:val="20"/>
        </w:rPr>
        <w:t>means any (a) IPO Entity or (b) any wholly owned subsidiary of Holdings formed in contemplation of an IPO to become the IPO Entity. Holdings shall, promptly following its formation, notify the Administrative Agent of the formation of any IPO Listco.</w:t>
      </w:r>
    </w:p>
    <w:p>
      <w:pPr>
        <w:pStyle w:val="TextBody"/>
        <w:bidi w:val="0"/>
        <w:spacing w:before="240" w:after="0"/>
        <w:jc w:val="both"/>
        <w:rPr/>
      </w:pPr>
      <w:r>
        <w:rPr/>
        <w:t>“</w:t>
      </w:r>
      <w:r>
        <w:rPr>
          <w:rFonts w:ascii="Times New Roman;serif" w:hAnsi="Times New Roman;serif"/>
          <w:b w:val="false"/>
          <w:sz w:val="20"/>
          <w:u w:val="single"/>
        </w:rPr>
        <w:t>IPO Reorganization Transactions</w:t>
      </w:r>
      <w:r>
        <w:rPr>
          <w:rFonts w:ascii="Times New Roman" w:hAnsi="Times New Roman"/>
          <w:sz w:val="20"/>
        </w:rPr>
        <w:t xml:space="preserve">” </w:t>
      </w:r>
      <w:r>
        <w:rPr>
          <w:rFonts w:ascii="Times New Roman;serif" w:hAnsi="Times New Roman;serif"/>
          <w:b w:val="false"/>
          <w:sz w:val="20"/>
        </w:rPr>
        <w:t>means, collectively, the transactions taken in connection with and reasonably related to consummating an IPO, including (a) formation and ownership of IPO Shell Companies, (b) entry into, and performance of, (i) a reorganization agreement among any of Holdings, its Subsidiaries, Parent Entities and/or IPO Shell Companies implementing IPO Reorganization Transactions and other reorganization transactions in connection with an IPO so long as after giving effect to such agreement and the transactions contemplated thereby, the security interests of the Lenders in the Collateral and the Guarantees of the Secured Obligations, taken as a whole, would not be materially impaired and (ii) customary underwriting agreements in connection with an IPO and any future follow-on underwritten public offerings of common Equity Interests in the IPO Entity, including the provision by IPO Entity and Holdings of customary representations, warranties, covenants and indemnification to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underwriters thereunder, (c) the merger of IPO Subsidiary with one or more direct or indirect holders of Equity Interests in Holdings with IPO Subsidiary surviving and holding Equity Interests in Holdings or the dividend or other distribution by Holdings of Equity Interests of IPO Shell Companies or other transfer of ownership to the holder of Equity Interests of Holdings, (d) the amendment and/or restatement of organization documents of Holdings and any IPO Subsidiaries, (e) the issuance of Equity Interests of IPO Shell Companies to holders of Equity Interests of Holdings in connection with any IPO Reorganization Transactions, (f) the making of Restricted Payments to (or Investments in) an IPO Shell Company or Holdings or any Subsidiaries to permit Holdings to make distributions or other transfers, directly or indirectly, to IPO Listco, in each case solely for the purpose of paying, and solely in the amounts necessary for IPO Listco to pay, IPO-related expenses and the making of such distributions by Holdings, (g) the repurchase by IPO Listco of its Equity Interests from Holdings, the Borrower or any Subsidiary, (h) the entry into an exchange agreement, pursuant to which holders of Equity Interests in Holdings and certain non-economic/Voting Equity Interests in IPO Listco will be permitted to exchange such interests for certain economic/Voting Equity Interests in IPO Listco, (i) any issuance, dividend or distribution of the Equity Interests of the IPO Shell Companies or other Disposition of ownership thereof to the IPO Shell Companies and/or the direct or indirect holders of Equity Interests of Holdings and/or (j) all other transactions reasonably incidental to, or necessary for the consummation of, the foregoing so long as after giving effect to such agreement and the transactions contemplated thereby, the security interests of the Lenders in the Collateral and the Guarantees of the Secured Obligations, taken as a whole, would not be materially impaired.</w:t>
      </w:r>
    </w:p>
    <w:p>
      <w:pPr>
        <w:pStyle w:val="TextBody"/>
        <w:bidi w:val="0"/>
        <w:spacing w:before="240" w:after="0"/>
        <w:jc w:val="left"/>
        <w:rPr/>
      </w:pPr>
      <w:r>
        <w:rPr/>
        <w:t>“</w:t>
      </w:r>
      <w:r>
        <w:rPr>
          <w:rFonts w:ascii="Times New Roman;serif" w:hAnsi="Times New Roman;serif"/>
          <w:b w:val="false"/>
          <w:sz w:val="20"/>
          <w:u w:val="single"/>
        </w:rPr>
        <w:t>IPO Shell Company</w:t>
      </w:r>
      <w:r>
        <w:rPr>
          <w:rFonts w:ascii="Times New Roman" w:hAnsi="Times New Roman"/>
          <w:sz w:val="20"/>
        </w:rPr>
        <w:t xml:space="preserve">” </w:t>
      </w:r>
      <w:r>
        <w:rPr>
          <w:rFonts w:ascii="Times New Roman;serif" w:hAnsi="Times New Roman;serif"/>
          <w:b w:val="false"/>
          <w:sz w:val="20"/>
        </w:rPr>
        <w:t>means each of IPO Listco and IPO Subsidiary.</w:t>
      </w:r>
    </w:p>
    <w:p>
      <w:pPr>
        <w:pStyle w:val="TextBody"/>
        <w:bidi w:val="0"/>
        <w:spacing w:before="240" w:after="0"/>
        <w:jc w:val="both"/>
        <w:rPr/>
      </w:pPr>
      <w:r>
        <w:rPr/>
        <w:t>“</w:t>
      </w:r>
      <w:r>
        <w:rPr>
          <w:rFonts w:ascii="Times New Roman;serif" w:hAnsi="Times New Roman;serif"/>
          <w:b w:val="false"/>
          <w:sz w:val="20"/>
          <w:u w:val="single"/>
        </w:rPr>
        <w:t>IPO Subsidiary</w:t>
      </w:r>
      <w:r>
        <w:rPr>
          <w:rFonts w:ascii="Times New Roman" w:hAnsi="Times New Roman"/>
          <w:sz w:val="20"/>
        </w:rPr>
        <w:t xml:space="preserve">” </w:t>
      </w:r>
      <w:r>
        <w:rPr>
          <w:rFonts w:ascii="Times New Roman;serif" w:hAnsi="Times New Roman;serif"/>
          <w:b w:val="false"/>
          <w:sz w:val="20"/>
        </w:rPr>
        <w:t>means a wholly owned subsidiary of IPO Listco formed in contemplation of, and to facilitate, IPO Reorganization Transactions and an IPO. Holdings shall, promptly following its formation, notify the Administrative Agent of the formation of an IPO Subsidiary.</w:t>
      </w:r>
    </w:p>
    <w:p>
      <w:pPr>
        <w:pStyle w:val="TextBody"/>
        <w:bidi w:val="0"/>
        <w:spacing w:before="240" w:after="0"/>
        <w:jc w:val="both"/>
        <w:rPr/>
      </w:pPr>
      <w:r>
        <w:rPr/>
        <w:t>“</w:t>
      </w:r>
      <w:r>
        <w:rPr>
          <w:rFonts w:ascii="Times New Roman;serif" w:hAnsi="Times New Roman;serif"/>
          <w:b w:val="false"/>
          <w:sz w:val="20"/>
          <w:u w:val="single"/>
        </w:rPr>
        <w:t>ISP98</w:t>
      </w:r>
      <w:r>
        <w:rPr>
          <w:rFonts w:ascii="Times New Roman" w:hAnsi="Times New Roman"/>
          <w:sz w:val="20"/>
        </w:rPr>
        <w:t xml:space="preserve">” </w:t>
      </w:r>
      <w:r>
        <w:rPr>
          <w:rFonts w:ascii="Times New Roman;serif" w:hAnsi="Times New Roman;serif"/>
          <w:b w:val="false"/>
          <w:sz w:val="20"/>
        </w:rPr>
        <w:t>means the “International Standby Practices 1998” published by the Institute of International Banking Law &amp; Practice, Inc. (or such later version thereof as may be in effect at the time of issuance).</w:t>
      </w:r>
    </w:p>
    <w:p>
      <w:pPr>
        <w:pStyle w:val="TextBody"/>
        <w:bidi w:val="0"/>
        <w:spacing w:before="240" w:after="0"/>
        <w:jc w:val="both"/>
        <w:rPr/>
      </w:pPr>
      <w:r>
        <w:rPr/>
        <w:t>“</w:t>
      </w:r>
      <w:r>
        <w:rPr>
          <w:rFonts w:ascii="Times New Roman;serif" w:hAnsi="Times New Roman;serif"/>
          <w:b w:val="false"/>
          <w:sz w:val="20"/>
          <w:u w:val="single"/>
        </w:rPr>
        <w:t>Issuing Bank</w:t>
      </w:r>
      <w:r>
        <w:rPr>
          <w:rFonts w:ascii="Times New Roman" w:hAnsi="Times New Roman"/>
          <w:sz w:val="20"/>
        </w:rPr>
        <w:t xml:space="preserve">” </w:t>
      </w:r>
      <w:r>
        <w:rPr>
          <w:rFonts w:ascii="Times New Roman;serif" w:hAnsi="Times New Roman;serif"/>
          <w:b w:val="false"/>
          <w:sz w:val="20"/>
        </w:rPr>
        <w:t xml:space="preserve">means (a) each Person listed on </w:t>
      </w:r>
      <w:r>
        <w:rPr>
          <w:rFonts w:ascii="Times New Roman;serif" w:hAnsi="Times New Roman;serif"/>
          <w:b w:val="false"/>
          <w:sz w:val="20"/>
          <w:u w:val="single"/>
        </w:rPr>
        <w:t>Schedule 2.01(b)</w:t>
      </w:r>
      <w:r>
        <w:rPr>
          <w:rFonts w:ascii="Times New Roman" w:hAnsi="Times New Roman"/>
          <w:sz w:val="20"/>
        </w:rPr>
        <w:t xml:space="preserve"> </w:t>
      </w:r>
      <w:r>
        <w:rPr>
          <w:rFonts w:ascii="Times New Roman;serif" w:hAnsi="Times New Roman;serif"/>
          <w:b w:val="false"/>
          <w:sz w:val="20"/>
        </w:rPr>
        <w:t xml:space="preserve">with respect to such Person’s Letter of Credit Commitment and (b) each other Person that shall have become an Issuing Bank hereunder as provided in </w:t>
      </w:r>
      <w:r>
        <w:rPr>
          <w:rFonts w:ascii="Times New Roman;serif" w:hAnsi="Times New Roman;serif"/>
          <w:b w:val="false"/>
          <w:sz w:val="20"/>
          <w:u w:val="single"/>
        </w:rPr>
        <w:t>Section 2.05(k)</w:t>
      </w:r>
      <w:r>
        <w:rPr>
          <w:rFonts w:ascii="Times New Roman" w:hAnsi="Times New Roman"/>
          <w:sz w:val="20"/>
        </w:rPr>
        <w:t xml:space="preserve"> </w:t>
      </w:r>
      <w:r>
        <w:rPr>
          <w:rFonts w:ascii="Times New Roman;serif" w:hAnsi="Times New Roman;serif"/>
          <w:b w:val="false"/>
          <w:sz w:val="20"/>
        </w:rPr>
        <w:t xml:space="preserve">(other than any Person that shall have ceased to be an Issuing Bank as provided in </w:t>
      </w:r>
      <w:r>
        <w:rPr>
          <w:rFonts w:ascii="Times New Roman;serif" w:hAnsi="Times New Roman;serif"/>
          <w:b w:val="false"/>
          <w:sz w:val="20"/>
          <w:u w:val="single"/>
        </w:rPr>
        <w:t>Section 2.05(l)</w:t>
      </w:r>
      <w:r>
        <w:rPr>
          <w:rFonts w:ascii="Times New Roman;serif" w:hAnsi="Times New Roman;serif"/>
          <w:b w:val="false"/>
          <w:sz w:val="20"/>
        </w:rPr>
        <w:t>), each in its capacity as an issuer of Letters of Credit hereunder. Each Issuing Bank may, in its discretion, arrange for one or more Letters of Credit (including, for the avoidance of doubt, Existing Letters of Credit) to be issued by Affiliates of such Issuing Bank, in which case the term “Issuing Bank” shall include any such Affiliate with respect to Letters of Credit issued by such Affiliate and for all purposes of the Loan Documents. Each Issuing Bank may cause Letters of Credit to be issued by unaffiliated financial institutions and such Letters of Credit shall be treated as issued by such Issuing Bank for all purposes under the Loan Documents. In the event that there is more than one Issuing Bank at any time, references herein and in the other Loan Documents to the Issuing Bank shall be deemed to refer to the Issuing Bank in respect of the applicable Letter of Credit or to all Issuing Banks, as the context requires.</w:t>
      </w:r>
    </w:p>
    <w:p>
      <w:pPr>
        <w:pStyle w:val="TextBody"/>
        <w:bidi w:val="0"/>
        <w:spacing w:before="240" w:after="0"/>
        <w:jc w:val="both"/>
        <w:rPr/>
      </w:pPr>
      <w:r>
        <w:rPr/>
        <w:t>“</w:t>
      </w:r>
      <w:r>
        <w:rPr>
          <w:rFonts w:ascii="Times New Roman;serif" w:hAnsi="Times New Roman;serif"/>
          <w:b w:val="false"/>
          <w:sz w:val="20"/>
          <w:u w:val="single"/>
        </w:rPr>
        <w:t>Joint Bookrunners</w:t>
      </w:r>
      <w:r>
        <w:rPr>
          <w:rFonts w:ascii="Times New Roman" w:hAnsi="Times New Roman"/>
          <w:sz w:val="20"/>
        </w:rPr>
        <w:t xml:space="preserve">” </w:t>
      </w:r>
      <w:r>
        <w:rPr>
          <w:rFonts w:ascii="Times New Roman;serif" w:hAnsi="Times New Roman;serif"/>
          <w:b w:val="false"/>
          <w:sz w:val="20"/>
        </w:rPr>
        <w:t>means Bank of America, N.A., Barclays Bank PLC, Citizens Bank, N.A., Credit Suisse Loan Funding LLC, HSBC Securities (USA) Inc., Jefferies Finance LLC, JPMorgan Chase Bank, N.A., KKR Capital Markets LLC, RBC Capital Markets and Stifel Nicolaus And Company, Incorporated.</w:t>
      </w:r>
    </w:p>
    <w:p>
      <w:pPr>
        <w:pStyle w:val="TextBody"/>
        <w:bidi w:val="0"/>
        <w:spacing w:before="240" w:after="0"/>
        <w:jc w:val="left"/>
        <w:rPr/>
      </w:pPr>
      <w:r>
        <w:rPr/>
        <w:t>“</w:t>
      </w:r>
      <w:r>
        <w:rPr>
          <w:rFonts w:ascii="Times New Roman;serif" w:hAnsi="Times New Roman;serif"/>
          <w:b w:val="false"/>
          <w:sz w:val="20"/>
          <w:u w:val="single"/>
        </w:rPr>
        <w:t>Judgment Currency</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9.14(b)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Junior Financing</w:t>
      </w:r>
      <w:r>
        <w:rPr>
          <w:rFonts w:ascii="Times New Roman" w:hAnsi="Times New Roman"/>
          <w:sz w:val="20"/>
        </w:rPr>
        <w:t xml:space="preserve">” </w:t>
      </w:r>
      <w:r>
        <w:rPr>
          <w:rFonts w:ascii="Times New Roman;serif" w:hAnsi="Times New Roman;serif"/>
          <w:b w:val="false"/>
          <w:sz w:val="20"/>
        </w:rPr>
        <w:t>means any Material Indebtedness of any Loan Party (other than any permitted intercompany Indebtedness owing to Holdings, the Borrower or any Restricted Subsidiary) that is subordinated in right of payment to the Loan Document Obligations.</w:t>
      </w:r>
    </w:p>
    <w:p>
      <w:pPr>
        <w:pStyle w:val="TextBody"/>
        <w:bidi w:val="0"/>
        <w:spacing w:before="240" w:after="0"/>
        <w:jc w:val="left"/>
        <w:rPr/>
      </w:pPr>
      <w:r>
        <w:rPr/>
        <w:t>“</w:t>
      </w:r>
      <w:r>
        <w:rPr>
          <w:rFonts w:ascii="Times New Roman;serif" w:hAnsi="Times New Roman;serif"/>
          <w:b w:val="false"/>
          <w:sz w:val="20"/>
          <w:u w:val="single"/>
        </w:rPr>
        <w:t>JV Preferred Equity Interests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6.01(c)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Latest Maturity Date</w:t>
      </w:r>
      <w:r>
        <w:rPr>
          <w:rFonts w:ascii="Times New Roman" w:hAnsi="Times New Roman"/>
          <w:sz w:val="20"/>
        </w:rPr>
        <w:t xml:space="preserve">” </w:t>
      </w:r>
      <w:r>
        <w:rPr>
          <w:rFonts w:ascii="Times New Roman;serif" w:hAnsi="Times New Roman;serif"/>
          <w:b w:val="false"/>
          <w:sz w:val="20"/>
        </w:rPr>
        <w:t>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w:t>
      </w:r>
      <w:r>
        <w:rPr>
          <w:rFonts w:ascii="Times New Roman;serif" w:hAnsi="Times New Roman;serif"/>
          <w:b w:val="false"/>
          <w:sz w:val="20"/>
          <w:u w:val="single"/>
        </w:rPr>
        <w:t>LC Disbursement</w:t>
      </w:r>
      <w:r>
        <w:rPr>
          <w:rFonts w:ascii="Times New Roman" w:hAnsi="Times New Roman"/>
          <w:sz w:val="20"/>
        </w:rPr>
        <w:t xml:space="preserve">” </w:t>
      </w:r>
      <w:r>
        <w:rPr>
          <w:rFonts w:ascii="Times New Roman;serif" w:hAnsi="Times New Roman;serif"/>
          <w:b w:val="false"/>
          <w:sz w:val="20"/>
        </w:rPr>
        <w:t>means a payment made by an Issuing Bank pursuant to a Letter of Credit.</w:t>
      </w:r>
    </w:p>
    <w:p>
      <w:pPr>
        <w:pStyle w:val="TextBody"/>
        <w:bidi w:val="0"/>
        <w:spacing w:before="240" w:after="0"/>
        <w:jc w:val="both"/>
        <w:rPr/>
      </w:pPr>
      <w:r>
        <w:rPr/>
        <w:t>“</w:t>
      </w:r>
      <w:r>
        <w:rPr>
          <w:rFonts w:ascii="Times New Roman;serif" w:hAnsi="Times New Roman;serif"/>
          <w:b w:val="false"/>
          <w:sz w:val="20"/>
          <w:u w:val="single"/>
        </w:rPr>
        <w:t>LC Exposure</w:t>
      </w:r>
      <w:r>
        <w:rPr>
          <w:rFonts w:ascii="Times New Roman" w:hAnsi="Times New Roman"/>
          <w:sz w:val="20"/>
        </w:rPr>
        <w:t xml:space="preserve">” </w:t>
      </w:r>
      <w:r>
        <w:rPr>
          <w:rFonts w:ascii="Times New Roman;serif" w:hAnsi="Times New Roman;serif"/>
          <w:b w:val="false"/>
          <w:sz w:val="20"/>
        </w:rPr>
        <w:t xml:space="preserve">means, at any time, the sum of (a) the Dollar Equivalent of the aggregate amount of all Letters of Credit that remains available for drawing at such time (including, without limitation, any and all Letters of Credit for which documents have been presented that have not been honored or dishonored) and (b) the Dollar Equivalent of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ISP98,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serif" w:hAnsi="Times New Roman;serif"/>
          <w:b w:val="false"/>
          <w:sz w:val="20"/>
          <w:u w:val="single"/>
        </w:rPr>
        <w:t>provided</w:t>
      </w:r>
      <w:r>
        <w:rPr>
          <w:rFonts w:ascii="Times New Roman;serif" w:hAnsi="Times New Roman;serif"/>
          <w:b w:val="false"/>
          <w:sz w:val="20"/>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240" w:after="0"/>
        <w:jc w:val="left"/>
        <w:rPr/>
      </w:pPr>
      <w:r>
        <w:rPr/>
        <w:t>“</w:t>
      </w:r>
      <w:r>
        <w:rPr>
          <w:rFonts w:ascii="Times New Roman;serif" w:hAnsi="Times New Roman;serif"/>
          <w:b w:val="false"/>
          <w:sz w:val="20"/>
          <w:u w:val="single"/>
        </w:rPr>
        <w:t>LCT Election</w:t>
      </w:r>
      <w:r>
        <w:rPr>
          <w:rFonts w:ascii="Times New Roman" w:hAnsi="Times New Roman"/>
          <w:sz w:val="20"/>
        </w:rPr>
        <w:t xml:space="preserve">” </w:t>
      </w:r>
      <w:r>
        <w:rPr>
          <w:rFonts w:ascii="Times New Roman;serif" w:hAnsi="Times New Roman;serif"/>
          <w:b w:val="false"/>
          <w:sz w:val="20"/>
        </w:rPr>
        <w:t xml:space="preserve">has the meaning provided in </w:t>
      </w:r>
      <w:r>
        <w:rPr>
          <w:rFonts w:ascii="Times New Roman;serif" w:hAnsi="Times New Roman;serif"/>
          <w:b w:val="false"/>
          <w:sz w:val="20"/>
          <w:u w:val="single"/>
        </w:rPr>
        <w:t>Section 1.07</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LCT Test Date</w:t>
      </w:r>
      <w:r>
        <w:rPr>
          <w:rFonts w:ascii="Times New Roman" w:hAnsi="Times New Roman"/>
          <w:sz w:val="20"/>
        </w:rPr>
        <w:t xml:space="preserve">” </w:t>
      </w:r>
      <w:r>
        <w:rPr>
          <w:rFonts w:ascii="Times New Roman;serif" w:hAnsi="Times New Roman;serif"/>
          <w:b w:val="false"/>
          <w:sz w:val="20"/>
        </w:rPr>
        <w:t xml:space="preserve">has the meaning provided in </w:t>
      </w:r>
      <w:r>
        <w:rPr>
          <w:rFonts w:ascii="Times New Roman;serif" w:hAnsi="Times New Roman;serif"/>
          <w:b w:val="false"/>
          <w:sz w:val="20"/>
          <w:u w:val="single"/>
        </w:rPr>
        <w:t>Section 1.07</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Lead Arrangers</w:t>
      </w:r>
      <w:r>
        <w:rPr>
          <w:rFonts w:ascii="Times New Roman" w:hAnsi="Times New Roman"/>
          <w:sz w:val="20"/>
        </w:rPr>
        <w:t xml:space="preserve">” </w:t>
      </w:r>
      <w:r>
        <w:rPr>
          <w:rFonts w:ascii="Times New Roman;serif" w:hAnsi="Times New Roman;serif"/>
          <w:b w:val="false"/>
          <w:sz w:val="20"/>
        </w:rPr>
        <w:t>means Bank of America, N.A., Barclays Bank PLC, Citizens Bank, N.A., Credit Suisse Loan Funding LLC, HSBC Securities (USA) Inc., Jefferies Finance LLC, JPMorgan Chase Bank, N.A., KKR Capital Markets LLC, RBC Capital Markets, Stifel Nicolaus And Company, Incorporated and the Amendment No. 1 Lead Arrangers.</w:t>
      </w:r>
    </w:p>
    <w:p>
      <w:pPr>
        <w:pStyle w:val="TextBody"/>
        <w:bidi w:val="0"/>
        <w:spacing w:before="240" w:after="0"/>
        <w:jc w:val="both"/>
        <w:rPr/>
      </w:pPr>
      <w:r>
        <w:rPr/>
        <w:t>“</w:t>
      </w:r>
      <w:r>
        <w:rPr>
          <w:rFonts w:ascii="Times New Roman;serif" w:hAnsi="Times New Roman;serif"/>
          <w:b w:val="false"/>
          <w:sz w:val="20"/>
          <w:u w:val="single"/>
        </w:rPr>
        <w:t>Lenders</w:t>
      </w:r>
      <w:r>
        <w:rPr>
          <w:rFonts w:ascii="Times New Roman" w:hAnsi="Times New Roman"/>
          <w:sz w:val="20"/>
        </w:rPr>
        <w:t xml:space="preserve">” </w:t>
      </w:r>
      <w:r>
        <w:rPr>
          <w:rFonts w:ascii="Times New Roman;serif" w:hAnsi="Times New Roman;serif"/>
          <w:b w:val="false"/>
          <w:sz w:val="20"/>
        </w:rPr>
        <w:t>means the Term Lenders, the Revolving Lenders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each Issuing Bank.</w:t>
      </w:r>
    </w:p>
    <w:p>
      <w:pPr>
        <w:pStyle w:val="TextBody"/>
        <w:bidi w:val="0"/>
        <w:spacing w:before="240" w:after="0"/>
        <w:jc w:val="both"/>
        <w:rPr/>
      </w:pPr>
      <w:r>
        <w:rPr/>
        <w:t>“</w:t>
      </w:r>
      <w:r>
        <w:rPr>
          <w:rFonts w:ascii="Times New Roman;serif" w:hAnsi="Times New Roman;serif"/>
          <w:b w:val="false"/>
          <w:sz w:val="20"/>
          <w:u w:val="single"/>
        </w:rPr>
        <w:t>Lending Office</w:t>
      </w:r>
      <w:r>
        <w:rPr>
          <w:rFonts w:ascii="Times New Roman" w:hAnsi="Times New Roman"/>
          <w:sz w:val="20"/>
        </w:rPr>
        <w:t xml:space="preserve">” </w:t>
      </w:r>
      <w:r>
        <w:rPr>
          <w:rFonts w:ascii="Times New Roman;serif" w:hAnsi="Times New Roman;serif"/>
          <w:b w:val="false"/>
          <w:sz w:val="20"/>
        </w:rPr>
        <w:t>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before="240" w:after="0"/>
        <w:jc w:val="both"/>
        <w:rPr/>
      </w:pPr>
      <w:r>
        <w:rPr/>
        <w:t>“</w:t>
      </w:r>
      <w:r>
        <w:rPr>
          <w:rFonts w:ascii="Times New Roman;serif" w:hAnsi="Times New Roman;serif"/>
          <w:b w:val="false"/>
          <w:sz w:val="20"/>
          <w:u w:val="single"/>
        </w:rPr>
        <w:t>Letter of Credit</w:t>
      </w:r>
      <w:r>
        <w:rPr>
          <w:rFonts w:ascii="Times New Roman" w:hAnsi="Times New Roman"/>
          <w:sz w:val="20"/>
        </w:rPr>
        <w:t xml:space="preserve">” </w:t>
      </w:r>
      <w:r>
        <w:rPr>
          <w:rFonts w:ascii="Times New Roman;serif" w:hAnsi="Times New Roman;serif"/>
          <w:b w:val="false"/>
          <w:sz w:val="20"/>
        </w:rPr>
        <w:t xml:space="preserve">means any letter of credit (including any Existing Letter of Credit) issued pursuant to this Agreement other than any such letter of credit that shall have ceased to be a “Letter of Credit” outstanding hereunder pursuant to </w:t>
      </w:r>
      <w:r>
        <w:rPr>
          <w:rFonts w:ascii="Times New Roman;serif" w:hAnsi="Times New Roman;serif"/>
          <w:b w:val="false"/>
          <w:sz w:val="20"/>
          <w:u w:val="single"/>
        </w:rPr>
        <w:t>Section 9.05</w:t>
      </w:r>
      <w:r>
        <w:rPr>
          <w:rFonts w:ascii="Times New Roman;serif" w:hAnsi="Times New Roman;serif"/>
          <w:b w:val="false"/>
          <w:sz w:val="20"/>
        </w:rPr>
        <w:t xml:space="preserve">. A Letter of Credit may be a commercial letter of credit or a standby letter of credit;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any commercial letter of credit issued hereunder shall provide solely for cash payment upon presentation of a sight draft.</w:t>
      </w:r>
    </w:p>
    <w:p>
      <w:pPr>
        <w:pStyle w:val="TextBody"/>
        <w:bidi w:val="0"/>
        <w:spacing w:before="240" w:after="0"/>
        <w:jc w:val="both"/>
        <w:rPr/>
      </w:pPr>
      <w:r>
        <w:rPr/>
        <w:t>“</w:t>
      </w:r>
      <w:r>
        <w:rPr>
          <w:rFonts w:ascii="Times New Roman;serif" w:hAnsi="Times New Roman;serif"/>
          <w:b w:val="false"/>
          <w:sz w:val="20"/>
          <w:u w:val="single"/>
        </w:rPr>
        <w:t>Letter of Credit Commitment</w:t>
      </w:r>
      <w:r>
        <w:rPr>
          <w:rFonts w:ascii="Times New Roman" w:hAnsi="Times New Roman"/>
          <w:sz w:val="20"/>
        </w:rPr>
        <w:t xml:space="preserve">” </w:t>
      </w:r>
      <w:r>
        <w:rPr>
          <w:rFonts w:ascii="Times New Roman;serif" w:hAnsi="Times New Roman;serif"/>
          <w:b w:val="false"/>
          <w:sz w:val="20"/>
        </w:rPr>
        <w:t xml:space="preserve">means an amount, as of the Effective Date, equal to $15,000,000;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as to any Issuing Bank, such Issuing Bank’s Letter of Credit Commitment shall not exceed the amount set forth on </w:t>
      </w:r>
      <w:r>
        <w:rPr>
          <w:rFonts w:ascii="Times New Roman;serif" w:hAnsi="Times New Roman;serif"/>
          <w:b w:val="false"/>
          <w:sz w:val="20"/>
          <w:u w:val="single"/>
        </w:rPr>
        <w:t>Schedule 2.01(b)</w:t>
      </w:r>
      <w:r>
        <w:rPr>
          <w:rFonts w:ascii="Times New Roman" w:hAnsi="Times New Roman"/>
          <w:sz w:val="20"/>
        </w:rPr>
        <w:t xml:space="preserve"> </w:t>
      </w:r>
      <w:r>
        <w:rPr>
          <w:rFonts w:ascii="Times New Roman;serif" w:hAnsi="Times New Roman;serif"/>
          <w:b w:val="false"/>
          <w:sz w:val="20"/>
        </w:rPr>
        <w:t xml:space="preserve">opposite such Issuing Bank’s name or, in the case of an Issuing Bank that becomes an Issuing Bank after the Effective Date, the amount notified in writing to the Administrative Agent by the Borrower and such Issuing Bank;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the Letter of Credit Commitment of any Issuing Bank may be increased or decreased if agreed in writing between the Borrower and such Issuing Bank (each acting in its sole discretion) and notified to the Administrative Agent.</w:t>
      </w:r>
    </w:p>
    <w:p>
      <w:pPr>
        <w:pStyle w:val="TextBody"/>
        <w:bidi w:val="0"/>
        <w:spacing w:before="240" w:after="0"/>
        <w:jc w:val="both"/>
        <w:rPr/>
      </w:pPr>
      <w:r>
        <w:rPr/>
        <w:t>“</w:t>
      </w:r>
      <w:r>
        <w:rPr>
          <w:rFonts w:ascii="Times New Roman;serif" w:hAnsi="Times New Roman;serif"/>
          <w:b w:val="false"/>
          <w:sz w:val="20"/>
          <w:u w:val="single"/>
        </w:rPr>
        <w:t>Letter of Credit Expiration Date</w:t>
      </w:r>
      <w:r>
        <w:rPr>
          <w:rFonts w:ascii="Times New Roman" w:hAnsi="Times New Roman"/>
          <w:sz w:val="20"/>
        </w:rPr>
        <w:t xml:space="preserve">” </w:t>
      </w:r>
      <w:r>
        <w:rPr>
          <w:rFonts w:ascii="Times New Roman;serif" w:hAnsi="Times New Roman;serif"/>
          <w:b w:val="false"/>
          <w:sz w:val="20"/>
        </w:rPr>
        <w:t>means the day that is three Business Days prior to the Maturity Date then in effect for the Revolving Credit Facility (or, if such day is not a Business Day, the next preceding Business Day).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Liabilities</w:t>
      </w:r>
      <w:r>
        <w:rPr>
          <w:rFonts w:ascii="Times New Roman" w:hAnsi="Times New Roman"/>
          <w:sz w:val="20"/>
        </w:rPr>
        <w:t xml:space="preserve">” </w:t>
      </w:r>
      <w:r>
        <w:rPr>
          <w:rFonts w:ascii="Times New Roman;serif" w:hAnsi="Times New Roman;serif"/>
          <w:b w:val="false"/>
          <w:sz w:val="20"/>
        </w:rPr>
        <w:t>means the recorded liabilities (including contingent liabilities that would be recorded in accordance with GAAP) of the Borrower and its Subsidiaries taken as a whole, as of the Effective Date after giving effect to the consummation of the Transactions, determined in accordance with GAAP consistently applied.</w:t>
      </w:r>
    </w:p>
    <w:p>
      <w:pPr>
        <w:pStyle w:val="TextBody"/>
        <w:bidi w:val="0"/>
        <w:spacing w:before="240" w:after="0"/>
        <w:jc w:val="left"/>
        <w:rPr/>
      </w:pPr>
      <w:r>
        <w:rPr>
          <w:strike/>
        </w:rPr>
        <w:t>“</w:t>
      </w:r>
      <w:r>
        <w:rPr>
          <w:rFonts w:ascii="Times New Roman;serif" w:hAnsi="Times New Roman;serif"/>
          <w:b w:val="false"/>
          <w:strike/>
          <w:sz w:val="20"/>
          <w:u w:val="single"/>
        </w:rPr>
        <w:t>LIBO Rate</w:t>
      </w:r>
      <w:r>
        <w:rPr>
          <w:rFonts w:ascii="Times New Roman" w:hAnsi="Times New Roman"/>
          <w:strike/>
          <w:sz w:val="20"/>
        </w:rPr>
        <w:t xml:space="preserve">” </w:t>
      </w:r>
      <w:r>
        <w:rPr>
          <w:rFonts w:ascii="Times New Roman;serif" w:hAnsi="Times New Roman;serif"/>
          <w:b w:val="false"/>
          <w:strike/>
          <w:sz w:val="20"/>
        </w:rPr>
        <w:t>means:</w:t>
      </w:r>
    </w:p>
    <w:p>
      <w:pPr>
        <w:pStyle w:val="TextBody"/>
        <w:bidi w:val="0"/>
        <w:spacing w:before="240" w:after="0"/>
        <w:jc w:val="both"/>
        <w:rPr>
          <w:rFonts w:ascii="Times New Roman" w:hAnsi="Times New Roman"/>
          <w:b w:val="false"/>
          <w:strike/>
          <w:sz w:val="20"/>
        </w:rPr>
      </w:pPr>
      <w:r>
        <w:rPr>
          <w:rFonts w:ascii="Times New Roman" w:hAnsi="Times New Roman"/>
          <w:b w:val="false"/>
          <w:strike/>
          <w:sz w:val="20"/>
        </w:rPr>
        <w:t>(a)</w:t>
      </w:r>
    </w:p>
    <w:p>
      <w:pPr>
        <w:pStyle w:val="TextBody"/>
        <w:bidi w:val="0"/>
        <w:spacing w:before="240" w:after="0"/>
        <w:jc w:val="both"/>
        <w:rPr/>
      </w:pPr>
      <w:r>
        <w:rPr>
          <w:rFonts w:ascii="Times New Roman;serif" w:hAnsi="Times New Roman;serif"/>
          <w:b w:val="false"/>
          <w:strike/>
          <w:sz w:val="20"/>
        </w:rPr>
        <w:t>for any Interest Period with respect to a Eurocurrency Borrowing, the rate per annum equal to the London Interbank Offered Rate (“</w:t>
      </w:r>
      <w:r>
        <w:rPr>
          <w:rFonts w:ascii="Times New Roman;serif" w:hAnsi="Times New Roman;serif"/>
          <w:b w:val="false"/>
          <w:strike/>
          <w:sz w:val="20"/>
          <w:u w:val="single"/>
        </w:rPr>
        <w:t>LIBOR</w:t>
      </w:r>
      <w:r>
        <w:rPr>
          <w:strike/>
        </w:rPr>
        <w:t>”</w:t>
      </w:r>
      <w:r>
        <w:rPr>
          <w:rFonts w:ascii="Times New Roman;serif" w:hAnsi="Times New Roman;serif"/>
          <w:b w:val="false"/>
          <w:strike/>
          <w:sz w:val="20"/>
        </w:rPr>
        <w:t xml:space="preserve">) or a comparable or successor rate established pursuant to </w:t>
      </w:r>
      <w:r>
        <w:rPr>
          <w:rFonts w:ascii="Times New Roman;serif" w:hAnsi="Times New Roman;serif"/>
          <w:b w:val="false"/>
          <w:strike/>
          <w:sz w:val="20"/>
          <w:u w:val="single"/>
        </w:rPr>
        <w:t>Section 2.14</w:t>
      </w:r>
      <w:r>
        <w:rPr>
          <w:rFonts w:ascii="Times New Roman;serif" w:hAnsi="Times New Roman;serif"/>
          <w:b w:val="false"/>
          <w:strike/>
          <w:sz w:val="20"/>
        </w:rPr>
        <w:t>, as published on the applicable Bloomberg screen page (or such other commercially available source providing quotations of LIBOR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pStyle w:val="TextBody"/>
        <w:bidi w:val="0"/>
        <w:spacing w:before="240" w:after="0"/>
        <w:jc w:val="both"/>
        <w:rPr>
          <w:rFonts w:ascii="Times New Roman" w:hAnsi="Times New Roman"/>
          <w:b w:val="false"/>
          <w:strike/>
          <w:sz w:val="20"/>
        </w:rPr>
      </w:pPr>
      <w:r>
        <w:rPr>
          <w:rFonts w:ascii="Times New Roman" w:hAnsi="Times New Roman"/>
          <w:b w:val="false"/>
          <w:strike/>
          <w:sz w:val="20"/>
        </w:rPr>
        <w:t>(b)</w:t>
      </w:r>
    </w:p>
    <w:p>
      <w:pPr>
        <w:pStyle w:val="TextBody"/>
        <w:bidi w:val="0"/>
        <w:spacing w:before="240" w:after="283"/>
        <w:jc w:val="both"/>
        <w:rPr>
          <w:rFonts w:ascii="Times New Roman;serif" w:hAnsi="Times New Roman;serif"/>
          <w:b w:val="false"/>
          <w:strike/>
          <w:sz w:val="20"/>
        </w:rPr>
      </w:pPr>
      <w:r>
        <w:rPr>
          <w:rFonts w:ascii="Times New Roman;serif" w:hAnsi="Times New Roman;serif"/>
          <w:b w:val="false"/>
          <w:strike/>
          <w:sz w:val="20"/>
        </w:rPr>
        <w:t>for any interest calculation with respect to an ABR Borrowing on any date, the rate per annum equal to LIBOR, at approximately 11:00 a.m., London time determined two London Banking Days prior to such date for dollar deposits with a term of one month commencing that day;</w:t>
      </w:r>
    </w:p>
    <w:p>
      <w:pPr>
        <w:pStyle w:val="TextBody"/>
        <w:bidi w:val="0"/>
        <w:spacing w:before="240" w:after="0"/>
        <w:jc w:val="both"/>
        <w:rPr>
          <w:rFonts w:ascii="Times New Roman" w:hAnsi="Times New Roman"/>
          <w:sz w:val="20"/>
        </w:rPr>
      </w:pPr>
      <w:r>
        <w:rPr>
          <w:rFonts w:ascii="Times New Roman;serif" w:hAnsi="Times New Roman;serif"/>
          <w:b w:val="false"/>
          <w:strike/>
          <w:sz w:val="20"/>
          <w:u w:val="single"/>
        </w:rPr>
        <w:t>provided</w:t>
      </w:r>
      <w:r>
        <w:rPr>
          <w:rFonts w:ascii="Times New Roman" w:hAnsi="Times New Roman"/>
          <w:strike/>
          <w:sz w:val="20"/>
        </w:rPr>
        <w:t xml:space="preserve"> </w:t>
      </w:r>
      <w:r>
        <w:rPr>
          <w:rFonts w:ascii="Times New Roman;serif" w:hAnsi="Times New Roman;serif"/>
          <w:b w:val="false"/>
          <w:strike/>
          <w:sz w:val="20"/>
        </w:rPr>
        <w:t xml:space="preserve">that to the extent a comparable or successor rate is established pursuant to </w:t>
      </w:r>
      <w:r>
        <w:rPr>
          <w:rFonts w:ascii="Times New Roman;serif" w:hAnsi="Times New Roman;serif"/>
          <w:b w:val="false"/>
          <w:strike/>
          <w:sz w:val="20"/>
          <w:u w:val="single"/>
        </w:rPr>
        <w:t>Section 2.14</w:t>
      </w:r>
      <w:r>
        <w:rPr>
          <w:rFonts w:ascii="Times New Roman;serif" w:hAnsi="Times New Roman;serif"/>
          <w:b w:val="false"/>
          <w:strike/>
          <w:sz w:val="20"/>
        </w:rPr>
        <w:t xml:space="preserve">, such established rate shall be applied to the applicable Interest Period in a manner consistent with market practice; </w:t>
      </w:r>
      <w:r>
        <w:rPr>
          <w:rFonts w:ascii="Times New Roman;serif" w:hAnsi="Times New Roman;serif"/>
          <w:b w:val="false"/>
          <w:strike/>
          <w:sz w:val="20"/>
          <w:u w:val="single"/>
        </w:rPr>
        <w:t>provided</w:t>
      </w:r>
      <w:r>
        <w:rPr>
          <w:rFonts w:ascii="Times New Roman;serif" w:hAnsi="Times New Roman;serif"/>
          <w:b w:val="false"/>
          <w:strike/>
          <w:sz w:val="20"/>
        </w:rPr>
        <w:t xml:space="preserve">, </w:t>
      </w:r>
      <w:r>
        <w:rPr>
          <w:rFonts w:ascii="Times New Roman;serif" w:hAnsi="Times New Roman;serif"/>
          <w:b w:val="false"/>
          <w:strike/>
          <w:sz w:val="20"/>
          <w:u w:val="single"/>
        </w:rPr>
        <w:t>further</w:t>
      </w:r>
      <w:r>
        <w:rPr>
          <w:rFonts w:ascii="Times New Roman" w:hAnsi="Times New Roman"/>
          <w:strike/>
          <w:sz w:val="20"/>
        </w:rPr>
        <w:t xml:space="preserve"> </w:t>
      </w:r>
      <w:r>
        <w:rPr>
          <w:rFonts w:ascii="Times New Roman;serif" w:hAnsi="Times New Roman;serif"/>
          <w:b w:val="false"/>
          <w:strike/>
          <w:sz w:val="20"/>
        </w:rPr>
        <w:t>that to the extent such market practice is not administratively feasible for the Administrative Agent, such approved rate shall be applied to the applicable Interest Period as otherwise reasonably determined by the Administrative Agent in consultation with the Borrower.</w:t>
      </w:r>
    </w:p>
    <w:p>
      <w:pPr>
        <w:pStyle w:val="TextBody"/>
        <w:bidi w:val="0"/>
        <w:spacing w:before="240" w:after="0"/>
        <w:jc w:val="left"/>
        <w:rPr>
          <w:rFonts w:ascii="Times New Roman;serif" w:hAnsi="Times New Roman;serif"/>
          <w:b w:val="false"/>
          <w:strike/>
          <w:sz w:val="20"/>
        </w:rPr>
      </w:pPr>
      <w:r>
        <w:rPr>
          <w:rFonts w:ascii="Times New Roman;serif" w:hAnsi="Times New Roman;serif"/>
          <w:b w:val="false"/>
          <w:strike/>
          <w:sz w:val="20"/>
        </w:rPr>
        <w:t>Notwithstanding the foregoing, and solely with respect to a Eurocurrency Borrowing, the Adjusted LIBO Rate will be deemed to be 0% per annum if the Adjusted LIBO Rate calculated pursuant to the foregoing provisions would otherwise be less than 0% per annum.</w:t>
      </w:r>
    </w:p>
    <w:p>
      <w:pPr>
        <w:pStyle w:val="TextBody"/>
        <w:bidi w:val="0"/>
        <w:spacing w:before="240" w:after="0"/>
        <w:jc w:val="left"/>
        <w:rPr/>
      </w:pPr>
      <w:r>
        <w:rPr>
          <w:strike/>
        </w:rPr>
        <w:t>“</w:t>
      </w:r>
      <w:r>
        <w:rPr>
          <w:rFonts w:ascii="Times New Roman;serif" w:hAnsi="Times New Roman;serif"/>
          <w:b w:val="false"/>
          <w:strike/>
          <w:sz w:val="20"/>
          <w:u w:val="single"/>
        </w:rPr>
        <w:t>LIBOR</w:t>
      </w:r>
      <w:r>
        <w:rPr>
          <w:rFonts w:ascii="Times New Roman" w:hAnsi="Times New Roman"/>
          <w:strike/>
          <w:sz w:val="20"/>
        </w:rPr>
        <w:t xml:space="preserve">” </w:t>
      </w:r>
      <w:r>
        <w:rPr>
          <w:rFonts w:ascii="Times New Roman;serif" w:hAnsi="Times New Roman;serif"/>
          <w:b w:val="false"/>
          <w:strike/>
          <w:sz w:val="20"/>
        </w:rPr>
        <w:t>has the meaning assigned to such term in the definition of “LIBO Rate.”</w:t>
      </w:r>
    </w:p>
    <w:p>
      <w:pPr>
        <w:pStyle w:val="TextBody"/>
        <w:bidi w:val="0"/>
        <w:spacing w:before="240" w:after="0"/>
        <w:jc w:val="both"/>
        <w:rPr/>
      </w:pPr>
      <w:r>
        <w:rPr>
          <w:strike/>
        </w:rPr>
        <w:t>“</w:t>
      </w:r>
      <w:r>
        <w:rPr>
          <w:rFonts w:ascii="Times New Roman;serif" w:hAnsi="Times New Roman;serif"/>
          <w:b w:val="false"/>
          <w:strike/>
          <w:sz w:val="20"/>
          <w:u w:val="single"/>
        </w:rPr>
        <w:t>LIBOR Screen Rate</w:t>
      </w:r>
      <w:r>
        <w:rPr>
          <w:rFonts w:ascii="Times New Roman" w:hAnsi="Times New Roman"/>
          <w:strike/>
          <w:sz w:val="20"/>
        </w:rPr>
        <w:t xml:space="preserve">” </w:t>
      </w:r>
      <w:r>
        <w:rPr>
          <w:rFonts w:ascii="Times New Roman;serif" w:hAnsi="Times New Roman;serif"/>
          <w:b w:val="false"/>
          <w:strike/>
          <w:sz w:val="20"/>
        </w:rPr>
        <w:t>means the LIBOR quote on the applicable screen page the Administrative Agent designates to determine LIBOR (or such other commercially available source providing such quotations as may be designated by the Administrative Agent from time to time).</w:t>
      </w:r>
    </w:p>
    <w:p>
      <w:pPr>
        <w:pStyle w:val="TextBody"/>
        <w:bidi w:val="0"/>
        <w:spacing w:before="240" w:after="0"/>
        <w:jc w:val="both"/>
        <w:rPr/>
      </w:pPr>
      <w:r>
        <w:rPr>
          <w:strike/>
        </w:rPr>
        <w:t>“</w:t>
      </w:r>
      <w:r>
        <w:rPr>
          <w:rFonts w:ascii="Times New Roman;serif" w:hAnsi="Times New Roman;serif"/>
          <w:b w:val="false"/>
          <w:strike/>
          <w:sz w:val="20"/>
          <w:u w:val="single"/>
        </w:rPr>
        <w:t>LIBOR Successor Rate Conforming Changes</w:t>
      </w:r>
      <w:r>
        <w:rPr>
          <w:rFonts w:ascii="Times New Roman" w:hAnsi="Times New Roman"/>
          <w:strike/>
          <w:sz w:val="20"/>
        </w:rPr>
        <w:t xml:space="preserve">” </w:t>
      </w:r>
      <w:r>
        <w:rPr>
          <w:rFonts w:ascii="Times New Roman;serif" w:hAnsi="Times New Roman;serif"/>
          <w:b w:val="false"/>
          <w:strike/>
          <w:sz w:val="20"/>
        </w:rPr>
        <w:t xml:space="preserve">means, with respect to any proposed LIBOR Successor Rate, any conforming changes to the definition of Alternate Base Rate, Interest Period and LIBO Rate, timing and frequency of determining rates and making payments of interest and other technical, administrative or operational matters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w:t>
      </w:r>
      <w:r>
        <w:rPr>
          <w:rFonts w:ascii="Times New Roman;serif" w:hAnsi="Times New Roman;serif"/>
          <w:b w:val="false"/>
          <w:sz w:val="20"/>
        </w:rPr>
        <w:t xml:space="preserve">Agent </w:t>
      </w:r>
      <w:r>
        <w:rPr>
          <w:rFonts w:ascii="Times New Roman;serif" w:hAnsi="Times New Roman;serif"/>
          <w:b w:val="false"/>
          <w:strike/>
          <w:sz w:val="20"/>
        </w:rPr>
        <w:t>determines with the consent of the Borrower (such consent not to be unreasonably withheld)).</w:t>
      </w:r>
    </w:p>
    <w:p>
      <w:pPr>
        <w:pStyle w:val="TextBody"/>
        <w:bidi w:val="0"/>
        <w:spacing w:before="240" w:after="0"/>
        <w:jc w:val="both"/>
        <w:rPr/>
      </w:pPr>
      <w:r>
        <w:rPr/>
        <w:t>“</w:t>
      </w:r>
      <w:r>
        <w:rPr>
          <w:rFonts w:ascii="Times New Roman;serif" w:hAnsi="Times New Roman;serif"/>
          <w:b w:val="false"/>
          <w:sz w:val="20"/>
          <w:u w:val="single"/>
        </w:rPr>
        <w:t>Lien</w:t>
      </w:r>
      <w:r>
        <w:rPr>
          <w:rFonts w:ascii="Times New Roman" w:hAnsi="Times New Roman"/>
          <w:sz w:val="20"/>
        </w:rPr>
        <w:t xml:space="preserve">” </w:t>
      </w:r>
      <w:r>
        <w:rPr>
          <w:rFonts w:ascii="Times New Roman;serif" w:hAnsi="Times New Roman;serif"/>
          <w:b w:val="false"/>
          <w:sz w:val="20"/>
        </w:rPr>
        <w:t xml:space="preserve">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in no event shall an operating lease be deemed to constitute a Lien.</w:t>
      </w:r>
    </w:p>
    <w:p>
      <w:pPr>
        <w:pStyle w:val="TextBody"/>
        <w:bidi w:val="0"/>
        <w:spacing w:before="240" w:after="0"/>
        <w:jc w:val="both"/>
        <w:rPr/>
      </w:pPr>
      <w:r>
        <w:rPr/>
        <w:t>“</w:t>
      </w:r>
      <w:r>
        <w:rPr>
          <w:rFonts w:ascii="Times New Roman;serif" w:hAnsi="Times New Roman;serif"/>
          <w:b w:val="false"/>
          <w:sz w:val="20"/>
          <w:u w:val="single"/>
        </w:rPr>
        <w:t>Limited Condition Transaction</w:t>
      </w:r>
      <w:r>
        <w:rPr>
          <w:rFonts w:ascii="Times New Roman" w:hAnsi="Times New Roman"/>
          <w:sz w:val="20"/>
        </w:rPr>
        <w:t xml:space="preserve">” </w:t>
      </w:r>
      <w:r>
        <w:rPr>
          <w:rFonts w:ascii="Times New Roman;serif" w:hAnsi="Times New Roman;serif"/>
          <w:b w:val="false"/>
          <w:sz w:val="20"/>
        </w:rPr>
        <w:t>means (a) any Acquisition Transaction or any other acquisition or Investment permitted by this Agreement, (b) any repayment, repurchase or refinancing of Indebtedness with respect to which an irrevocable notice of repayment (or similar irrevocable notice) is required to be delivered and (c) any dividends or distributions on, or redemptions of, equity interests not prohibited by this Agreement declared or requiring irrevocable notice in advance thereof.</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Loan Document Obligations</w:t>
      </w:r>
      <w:r>
        <w:rPr>
          <w:rFonts w:ascii="Times New Roman" w:hAnsi="Times New Roman"/>
          <w:sz w:val="20"/>
        </w:rPr>
        <w:t xml:space="preserve">” </w:t>
      </w:r>
      <w:r>
        <w:rPr>
          <w:rFonts w:ascii="Times New Roman;serif" w:hAnsi="Times New Roman;serif"/>
          <w:b w:val="false"/>
          <w:sz w:val="20"/>
        </w:rPr>
        <w:t>means (a) the due and punctual payment by Holdings and the Borrower of (i) the principal of and interest at the applicable rate or rates provided in this Agreement (including interest accruing during the pendency of any bankruptcy, insolvency, receivership or other similar proceeding, regardless of whether allowed or allowable in such proceeding) on the Loans including all obligations in respect of the L/C Exposure, when and as due, whether at maturity, by acceleration, upon one or more dates set for prepayment or otherwise and (ii) all other monetary obligations of Holdings and the Borrower under or pursuant to this Agreement and each of the other Loan Documents, including obligations to reimburse LC Disbursements and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Holdings and the Borrower under or pursuant to each of the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pStyle w:val="TextBody"/>
        <w:bidi w:val="0"/>
        <w:spacing w:before="240" w:after="0"/>
        <w:jc w:val="both"/>
        <w:rPr/>
      </w:pPr>
      <w:r>
        <w:rPr/>
        <w:t>“</w:t>
      </w:r>
      <w:r>
        <w:rPr>
          <w:rFonts w:ascii="Times New Roman;serif" w:hAnsi="Times New Roman;serif"/>
          <w:b w:val="false"/>
          <w:sz w:val="20"/>
          <w:u w:val="single"/>
        </w:rPr>
        <w:t>Loan Documents</w:t>
      </w:r>
      <w:r>
        <w:rPr>
          <w:rFonts w:ascii="Times New Roman" w:hAnsi="Times New Roman"/>
          <w:sz w:val="20"/>
        </w:rPr>
        <w:t xml:space="preserve">” </w:t>
      </w:r>
      <w:r>
        <w:rPr>
          <w:rFonts w:ascii="Times New Roman;serif" w:hAnsi="Times New Roman;serif"/>
          <w:b w:val="false"/>
          <w:sz w:val="20"/>
        </w:rPr>
        <w:t xml:space="preserve">means this Agreement, any Refinancing Amendment, any Loan Modification Agreement, the Guarantee Agreement, the Collateral Agreement, the Intercreditor Agreements, the other Security Documents, Amendment No. 1, the Amendment No. 1 Reaffirmation Agreement, Amendment No. 2, the Amendment No. 2 Reaffirmation Agreement and, except for purposes of </w:t>
      </w:r>
      <w:r>
        <w:rPr>
          <w:rFonts w:ascii="Times New Roman;serif" w:hAnsi="Times New Roman;serif"/>
          <w:b w:val="false"/>
          <w:sz w:val="20"/>
          <w:u w:val="single"/>
        </w:rPr>
        <w:t>Section 9.02</w:t>
      </w:r>
      <w:r>
        <w:rPr>
          <w:rFonts w:ascii="Times New Roman;serif" w:hAnsi="Times New Roman;serif"/>
          <w:b w:val="false"/>
          <w:sz w:val="20"/>
        </w:rPr>
        <w:t xml:space="preserve">, any promissory notes delivered pursuant to </w:t>
      </w:r>
      <w:r>
        <w:rPr>
          <w:rFonts w:ascii="Times New Roman;serif" w:hAnsi="Times New Roman;serif"/>
          <w:b w:val="false"/>
          <w:sz w:val="20"/>
          <w:u w:val="single"/>
        </w:rPr>
        <w:t>Section 2.09(e)</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Loan Modification Agreement</w:t>
      </w:r>
      <w:r>
        <w:rPr>
          <w:rFonts w:ascii="Times New Roman" w:hAnsi="Times New Roman"/>
          <w:sz w:val="20"/>
        </w:rPr>
        <w:t xml:space="preserve">” </w:t>
      </w:r>
      <w:r>
        <w:rPr>
          <w:rFonts w:ascii="Times New Roman;serif" w:hAnsi="Times New Roman;serif"/>
          <w:b w:val="false"/>
          <w:sz w:val="20"/>
        </w:rPr>
        <w:t xml:space="preserve">means a Loan Modification Agreement, in form reasonably satisfactory to the Administrative Agent, among Holdings, the Borrower, the Administrative Agent and one or more Accepting Lenders, effecting one or more Permitted Amendments and such other amendments hereto and to the other Loan Documents as are contemplated by </w:t>
      </w:r>
      <w:r>
        <w:rPr>
          <w:rFonts w:ascii="Times New Roman;serif" w:hAnsi="Times New Roman;serif"/>
          <w:b w:val="false"/>
          <w:sz w:val="20"/>
          <w:u w:val="single"/>
        </w:rPr>
        <w:t>Section 2.24</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Loan Modification Offer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2.24(a)</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Loan Parties</w:t>
      </w:r>
      <w:r>
        <w:rPr>
          <w:rFonts w:ascii="Times New Roman" w:hAnsi="Times New Roman"/>
          <w:sz w:val="20"/>
        </w:rPr>
        <w:t xml:space="preserve">” </w:t>
      </w:r>
      <w:r>
        <w:rPr>
          <w:rFonts w:ascii="Times New Roman;serif" w:hAnsi="Times New Roman;serif"/>
          <w:b w:val="false"/>
          <w:sz w:val="20"/>
        </w:rPr>
        <w:t>means Holdings, the Borrower, the Subsidiary Loan Parties and any other Guarantor.</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Loans</w:t>
      </w:r>
      <w:r>
        <w:rPr>
          <w:rFonts w:ascii="Times New Roman" w:hAnsi="Times New Roman"/>
          <w:sz w:val="20"/>
        </w:rPr>
        <w:t xml:space="preserve">” </w:t>
      </w:r>
      <w:r>
        <w:rPr>
          <w:rFonts w:ascii="Times New Roman;serif" w:hAnsi="Times New Roman;serif"/>
          <w:b w:val="false"/>
          <w:sz w:val="20"/>
        </w:rPr>
        <w:t>means the loans made by the Lenders to the Borrower pursuant to this Agreement.</w:t>
      </w:r>
    </w:p>
    <w:p>
      <w:pPr>
        <w:pStyle w:val="TextBody"/>
        <w:bidi w:val="0"/>
        <w:spacing w:before="240" w:after="0"/>
        <w:jc w:val="both"/>
        <w:rPr/>
      </w:pPr>
      <w:r>
        <w:rPr>
          <w:strike/>
        </w:rPr>
        <w:t>“</w:t>
      </w:r>
      <w:r>
        <w:rPr>
          <w:rFonts w:ascii="Times New Roman;serif" w:hAnsi="Times New Roman;serif"/>
          <w:b w:val="false"/>
          <w:strike/>
          <w:sz w:val="20"/>
          <w:u w:val="single"/>
        </w:rPr>
        <w:t>London Banking Day</w:t>
      </w:r>
      <w:r>
        <w:rPr>
          <w:rFonts w:ascii="Times New Roman" w:hAnsi="Times New Roman"/>
          <w:strike/>
          <w:sz w:val="20"/>
        </w:rPr>
        <w:t xml:space="preserve">” </w:t>
      </w:r>
      <w:r>
        <w:rPr>
          <w:rFonts w:ascii="Times New Roman;serif" w:hAnsi="Times New Roman;serif"/>
          <w:b w:val="false"/>
          <w:strike/>
          <w:sz w:val="20"/>
        </w:rPr>
        <w:t>means any day on which dealings in dollar deposits are conducted by and between</w:t>
      </w:r>
      <w:r>
        <w:rPr>
          <w:rFonts w:ascii="Times New Roman" w:hAnsi="Times New Roman"/>
          <w:sz w:val="20"/>
        </w:rPr>
        <w:t xml:space="preserve"> </w:t>
      </w:r>
      <w:r>
        <w:rPr>
          <w:rFonts w:ascii="Times New Roman;serif" w:hAnsi="Times New Roman;serif"/>
          <w:b w:val="false"/>
          <w:strike/>
          <w:sz w:val="20"/>
        </w:rPr>
        <w:t>banks in the London interbank market.</w:t>
      </w:r>
    </w:p>
    <w:p>
      <w:pPr>
        <w:pStyle w:val="TextBody"/>
        <w:bidi w:val="0"/>
        <w:spacing w:before="240" w:after="0"/>
        <w:jc w:val="both"/>
        <w:rPr/>
      </w:pPr>
      <w:r>
        <w:rPr/>
        <w:t>“</w:t>
      </w:r>
      <w:r>
        <w:rPr>
          <w:rFonts w:ascii="Times New Roman;serif" w:hAnsi="Times New Roman;serif"/>
          <w:b w:val="false"/>
          <w:sz w:val="20"/>
          <w:u w:val="single"/>
        </w:rPr>
        <w:t>Management Investors</w:t>
      </w:r>
      <w:r>
        <w:rPr>
          <w:rFonts w:ascii="Times New Roman" w:hAnsi="Times New Roman"/>
          <w:sz w:val="20"/>
        </w:rPr>
        <w:t xml:space="preserve">” </w:t>
      </w:r>
      <w:r>
        <w:rPr>
          <w:rFonts w:ascii="Times New Roman;serif" w:hAnsi="Times New Roman;serif"/>
          <w:b w:val="false"/>
          <w:sz w:val="20"/>
        </w:rPr>
        <w:t>means current and/or former directors, officers, partners, members and employees of any Parent Entity, Holdings, the Borrower and/or any of their respective subsidiaries who are (directly or indirectly through one or more investment vehicles) Investors on the Effective Date.</w:t>
      </w:r>
    </w:p>
    <w:p>
      <w:pPr>
        <w:pStyle w:val="TextBody"/>
        <w:bidi w:val="0"/>
        <w:spacing w:before="240" w:after="0"/>
        <w:jc w:val="left"/>
        <w:rPr/>
      </w:pPr>
      <w:r>
        <w:rPr/>
        <w:t>“</w:t>
      </w:r>
      <w:r>
        <w:rPr>
          <w:rFonts w:ascii="Times New Roman;serif" w:hAnsi="Times New Roman;serif"/>
          <w:b w:val="false"/>
          <w:sz w:val="20"/>
          <w:u w:val="single"/>
        </w:rPr>
        <w:t>Master Agreement</w:t>
      </w:r>
      <w:r>
        <w:rPr>
          <w:rFonts w:ascii="Times New Roman" w:hAnsi="Times New Roman"/>
          <w:sz w:val="20"/>
        </w:rPr>
        <w:t xml:space="preserve">” </w:t>
      </w:r>
      <w:r>
        <w:rPr>
          <w:rFonts w:ascii="Times New Roman;serif" w:hAnsi="Times New Roman;serif"/>
          <w:b w:val="false"/>
          <w:sz w:val="20"/>
        </w:rPr>
        <w:t>has the meaning assigned to such term in the definition of “Swap Agreement.”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Material Acquisition</w:t>
      </w:r>
      <w:r>
        <w:rPr>
          <w:rFonts w:ascii="Times New Roman" w:hAnsi="Times New Roman"/>
          <w:sz w:val="20"/>
        </w:rPr>
        <w:t xml:space="preserve">” </w:t>
      </w:r>
      <w:r>
        <w:rPr>
          <w:rFonts w:ascii="Times New Roman;serif" w:hAnsi="Times New Roman;serif"/>
          <w:b w:val="false"/>
          <w:sz w:val="20"/>
        </w:rPr>
        <w:t>means any acquisition by the Borrower or any Restricted Subsidiary for consideration (including any assumed Indebtedness) in an aggregate amount equal to or greater than the lesser of (a) $35,000,000 and (b) 25% of Consolidated EBITDA for the most recently ended Test Period at such time.</w:t>
      </w:r>
    </w:p>
    <w:p>
      <w:pPr>
        <w:pStyle w:val="TextBody"/>
        <w:bidi w:val="0"/>
        <w:spacing w:before="240" w:after="0"/>
        <w:jc w:val="both"/>
        <w:rPr/>
      </w:pPr>
      <w:r>
        <w:rPr/>
        <w:t>“</w:t>
      </w:r>
      <w:r>
        <w:rPr>
          <w:rFonts w:ascii="Times New Roman;serif" w:hAnsi="Times New Roman;serif"/>
          <w:b w:val="false"/>
          <w:sz w:val="20"/>
          <w:u w:val="single"/>
        </w:rPr>
        <w:t>Material Adverse Effect</w:t>
      </w:r>
      <w:r>
        <w:rPr>
          <w:rFonts w:ascii="Times New Roman" w:hAnsi="Times New Roman"/>
          <w:sz w:val="20"/>
        </w:rPr>
        <w:t xml:space="preserve">” </w:t>
      </w:r>
      <w:r>
        <w:rPr>
          <w:rFonts w:ascii="Times New Roman;serif" w:hAnsi="Times New Roman;serif"/>
          <w:b w:val="false"/>
          <w:sz w:val="20"/>
        </w:rPr>
        <w:t>means any event, circumstance or condition that has had, or could reasonably be expected to have, a materially adverse effect on (a) the business or financial condition of Holdings, the Borrower and the Restricted Subsidiaries, taken as a whole, (b) the ability of the Borrower and the Guarantors, taken as a whole, to perform their payment obligations under the Loan Documents or (c) the rights and remedies of the Administrative Agent and the Lenders under the Loan Documents.</w:t>
      </w:r>
    </w:p>
    <w:p>
      <w:pPr>
        <w:pStyle w:val="TextBody"/>
        <w:bidi w:val="0"/>
        <w:spacing w:before="240" w:after="0"/>
        <w:jc w:val="both"/>
        <w:rPr/>
      </w:pPr>
      <w:r>
        <w:rPr/>
        <w:t>“</w:t>
      </w:r>
      <w:r>
        <w:rPr>
          <w:rFonts w:ascii="Times New Roman;serif" w:hAnsi="Times New Roman;serif"/>
          <w:b w:val="false"/>
          <w:sz w:val="20"/>
          <w:u w:val="single"/>
        </w:rPr>
        <w:t>Material Disposition</w:t>
      </w:r>
      <w:r>
        <w:rPr>
          <w:rFonts w:ascii="Times New Roman" w:hAnsi="Times New Roman"/>
          <w:sz w:val="20"/>
        </w:rPr>
        <w:t xml:space="preserve">” </w:t>
      </w:r>
      <w:r>
        <w:rPr>
          <w:rFonts w:ascii="Times New Roman;serif" w:hAnsi="Times New Roman;serif"/>
          <w:b w:val="false"/>
          <w:sz w:val="20"/>
        </w:rPr>
        <w:t>means any Disposition by the Borrower or any Restricted Subsidiary for consideration (including any assumed Indebtedness) in an aggregate amount equal to or greater than the lesser of (a) $35,000,000 and (b) 25% of Consolidated EBITDA for the most recently ended Test Period at such time.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Material Indebtedness</w:t>
      </w:r>
      <w:r>
        <w:rPr>
          <w:rFonts w:ascii="Times New Roman" w:hAnsi="Times New Roman"/>
          <w:sz w:val="20"/>
        </w:rPr>
        <w:t xml:space="preserve">” </w:t>
      </w:r>
      <w:r>
        <w:rPr>
          <w:rFonts w:ascii="Times New Roman;serif" w:hAnsi="Times New Roman;serif"/>
          <w:b w:val="false"/>
          <w:sz w:val="20"/>
        </w:rPr>
        <w:t xml:space="preserve">means, on any date of determination, any Indebtedness for borrowed money (other than the Loan Document Obligations), Capital Lease Obligations, unreimbursed drawings under letters of credit, third party Indebtedness obligations evidenced by notes or similar instruments or obligations in respect of one or more Swap Agreements, of any one or more of Holdings, the Borrower and the Restricted Subsidiaries in an aggregate principal amount exceeding the greater of (a) $36,000,000 and (b) 25% of Consolidated EBITDA for the most recently ended Test Period at such time;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in no event shall any Permitted Receivables Financing be considered Material Indebtedness for any purpose. For purposes of determining Material Indebtedness, the “principal amount” of the obligations in respect of any Swap Agreement at any time shall be the maximum aggregate amount (giving effect to any netting agreements) that Holdings, the Borrower or such Restricted Subsidiary would be required to pay if such Swap Agreement were terminated at such time.</w:t>
      </w:r>
    </w:p>
    <w:p>
      <w:pPr>
        <w:pStyle w:val="TextBody"/>
        <w:bidi w:val="0"/>
        <w:spacing w:before="240" w:after="0"/>
        <w:jc w:val="both"/>
        <w:rPr/>
      </w:pPr>
      <w:r>
        <w:rPr/>
        <w:t>“</w:t>
      </w:r>
      <w:r>
        <w:rPr>
          <w:rFonts w:ascii="Times New Roman;serif" w:hAnsi="Times New Roman;serif"/>
          <w:b w:val="false"/>
          <w:sz w:val="20"/>
          <w:u w:val="single"/>
        </w:rPr>
        <w:t>Material Real Property</w:t>
      </w:r>
      <w:r>
        <w:rPr>
          <w:rFonts w:ascii="Times New Roman" w:hAnsi="Times New Roman"/>
          <w:sz w:val="20"/>
        </w:rPr>
        <w:t xml:space="preserve">” </w:t>
      </w:r>
      <w:r>
        <w:rPr>
          <w:rFonts w:ascii="Times New Roman;serif" w:hAnsi="Times New Roman;serif"/>
          <w:b w:val="false"/>
          <w:sz w:val="20"/>
        </w:rPr>
        <w:t>means each fee owned parcel of real property owned by a Loan Party having a Fair Market Value equal to or in excess of $20,000,000. For the purpose of determining the relevant value under this Agreement with respect to the preceding clause, such value shall be determined as of (a) the Effective Date for real property owned as of the date hereof, (b) the date of acquisition for real property acquired after the Effective Date or (c) the date on which the entity owning such real property becomes a Loan Party after the Effective Date, in each case as reasonably determined by the Borrower.</w:t>
      </w:r>
    </w:p>
    <w:p>
      <w:pPr>
        <w:pStyle w:val="TextBody"/>
        <w:bidi w:val="0"/>
        <w:spacing w:before="240" w:after="0"/>
        <w:jc w:val="both"/>
        <w:rPr/>
      </w:pPr>
      <w:r>
        <w:rPr/>
        <w:t>“</w:t>
      </w:r>
      <w:r>
        <w:rPr>
          <w:rFonts w:ascii="Times New Roman;serif" w:hAnsi="Times New Roman;serif"/>
          <w:b w:val="false"/>
          <w:sz w:val="20"/>
          <w:u w:val="single"/>
        </w:rPr>
        <w:t>Material Subsidiary</w:t>
      </w:r>
      <w:r>
        <w:rPr>
          <w:rFonts w:ascii="Times New Roman" w:hAnsi="Times New Roman"/>
          <w:sz w:val="20"/>
        </w:rPr>
        <w:t xml:space="preserve">” </w:t>
      </w:r>
      <w:r>
        <w:rPr>
          <w:rFonts w:ascii="Times New Roman;serif" w:hAnsi="Times New Roman;serif"/>
          <w:b w:val="false"/>
          <w:sz w:val="20"/>
        </w:rPr>
        <w:t>means (a) each wholly-owned Restricted Subsidiary that, as of the last day of the fiscal quarter of the Borrower most recently ended for which financial statements are available, had revenues or total assets for such quarter in excess of 5.0% of the consolidated revenues or total assets, as applicable, of the Borrower for such quarter or that is designated by the Borrower as a Material Subsidiary and (b) any group comprising wholly-owned Restricted Subsidiaries that each would not have been a Material Subsidiary under clause (a) but that, taken together, as of the last day of the fiscal quarter of the Borrower most recently ended for which financial statements are available, had revenues or total assets for such quarter in excess of 10.0% of the consolidated revenues or total assets, as applicable, of the Borrower for such quarter.</w:t>
      </w:r>
    </w:p>
    <w:p>
      <w:pPr>
        <w:pStyle w:val="TextBody"/>
        <w:bidi w:val="0"/>
        <w:spacing w:before="240" w:after="0"/>
        <w:jc w:val="both"/>
        <w:rPr/>
      </w:pPr>
      <w:r>
        <w:rPr/>
        <w:t>“</w:t>
      </w:r>
      <w:r>
        <w:rPr>
          <w:rFonts w:ascii="Times New Roman;serif" w:hAnsi="Times New Roman;serif"/>
          <w:b w:val="false"/>
          <w:sz w:val="20"/>
          <w:u w:val="single"/>
        </w:rPr>
        <w:t>Maturity Carveout Amount</w:t>
      </w:r>
      <w:r>
        <w:rPr>
          <w:rFonts w:ascii="Times New Roman" w:hAnsi="Times New Roman"/>
          <w:sz w:val="20"/>
        </w:rPr>
        <w:t xml:space="preserve">” </w:t>
      </w:r>
      <w:r>
        <w:rPr>
          <w:rFonts w:ascii="Times New Roman;serif" w:hAnsi="Times New Roman;serif"/>
          <w:b w:val="false"/>
          <w:sz w:val="20"/>
        </w:rPr>
        <w:t xml:space="preserve">means, at any date of determination, an amount equal to (a) the greater of (i) $130,000,000 and (ii) 100% of Consolidated EBITDA for the Test Period then last ended </w:t>
      </w:r>
      <w:r>
        <w:rPr>
          <w:rFonts w:ascii="Times New Roman;serif" w:hAnsi="Times New Roman;serif"/>
          <w:b w:val="false"/>
          <w:sz w:val="20"/>
          <w:u w:val="single"/>
        </w:rPr>
        <w:t>minus</w:t>
      </w:r>
      <w:r>
        <w:rPr>
          <w:rFonts w:ascii="Times New Roman" w:hAnsi="Times New Roman"/>
          <w:sz w:val="20"/>
        </w:rPr>
        <w:t xml:space="preserve"> </w:t>
      </w:r>
      <w:r>
        <w:rPr>
          <w:rFonts w:ascii="Times New Roman;serif" w:hAnsi="Times New Roman;serif"/>
          <w:b w:val="false"/>
          <w:sz w:val="20"/>
        </w:rPr>
        <w:t xml:space="preserve">(b) the aggregate principal amount of (i) Incremental Term Loans utilizing the Maturity Carveout Amount pursuant to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2.20(b)(A)(I)</w:t>
      </w:r>
      <w:r>
        <w:rPr>
          <w:rFonts w:ascii="Times New Roman;serif" w:hAnsi="Times New Roman;serif"/>
          <w:b w:val="false"/>
          <w:sz w:val="20"/>
        </w:rPr>
        <w:t xml:space="preserve">, (ii) Incremental Equivalent Debt utilizing the Maturity Carveout Amount pursuant to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2.20(b)(A)(I)</w:t>
      </w:r>
      <w:r>
        <w:rPr>
          <w:rFonts w:ascii="Times New Roman;serif" w:hAnsi="Times New Roman;serif"/>
          <w:b w:val="false"/>
          <w:sz w:val="20"/>
        </w:rPr>
        <w:t>, (iii) Maturity Carveout Refinancing Debt and/or (iv) Maturity Carveout Permitted Holdings Debt (less the aggregate principal amount of Second Lien Incremental Facilities, Second Lien Incremental Equivalent Debt, Second Lien Maturity Carveout Refinancing Debt and Second Lien Maturity Carveout Permitted Holdings Debt, in each case, that is designated under the definition of “Maturity Carveout Amount” as defined in the Second Lien Credit Agreement).</w:t>
      </w:r>
    </w:p>
    <w:p>
      <w:pPr>
        <w:pStyle w:val="TextBody"/>
        <w:bidi w:val="0"/>
        <w:spacing w:before="240" w:after="0"/>
        <w:jc w:val="both"/>
        <w:rPr/>
      </w:pPr>
      <w:r>
        <w:rPr/>
        <w:t>“</w:t>
      </w:r>
      <w:r>
        <w:rPr>
          <w:rFonts w:ascii="Times New Roman;serif" w:hAnsi="Times New Roman;serif"/>
          <w:b w:val="false"/>
          <w:sz w:val="20"/>
          <w:u w:val="single"/>
        </w:rPr>
        <w:t>Maturity Carveout Permitted Holdings Debt</w:t>
      </w:r>
      <w:r>
        <w:rPr>
          <w:rFonts w:ascii="Times New Roman" w:hAnsi="Times New Roman"/>
          <w:sz w:val="20"/>
        </w:rPr>
        <w:t xml:space="preserve">” </w:t>
      </w:r>
      <w:r>
        <w:rPr>
          <w:rFonts w:ascii="Times New Roman;serif" w:hAnsi="Times New Roman;serif"/>
          <w:b w:val="false"/>
          <w:sz w:val="20"/>
        </w:rPr>
        <w:t xml:space="preserve">means Indebtedness incurred pursuant to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6.01(a)(xviii)</w:t>
      </w:r>
      <w:r>
        <w:rPr>
          <w:rFonts w:ascii="Times New Roman" w:hAnsi="Times New Roman"/>
          <w:sz w:val="20"/>
        </w:rPr>
        <w:t xml:space="preserve"> </w:t>
      </w:r>
      <w:r>
        <w:rPr>
          <w:rFonts w:ascii="Times New Roman;serif" w:hAnsi="Times New Roman;serif"/>
          <w:b w:val="false"/>
          <w:sz w:val="20"/>
        </w:rPr>
        <w:t>that utilizes the Maturity Carveout Amount.</w:t>
      </w:r>
    </w:p>
    <w:p>
      <w:pPr>
        <w:pStyle w:val="TextBody"/>
        <w:bidi w:val="0"/>
        <w:spacing w:before="240" w:after="0"/>
        <w:jc w:val="both"/>
        <w:rPr/>
      </w:pPr>
      <w:r>
        <w:rPr/>
        <w:t>“</w:t>
      </w:r>
      <w:r>
        <w:rPr>
          <w:rFonts w:ascii="Times New Roman;serif" w:hAnsi="Times New Roman;serif"/>
          <w:b w:val="false"/>
          <w:sz w:val="20"/>
          <w:u w:val="single"/>
        </w:rPr>
        <w:t>Maturity Carveout Refinancing Debt</w:t>
      </w:r>
      <w:r>
        <w:rPr>
          <w:rFonts w:ascii="Times New Roman" w:hAnsi="Times New Roman"/>
          <w:sz w:val="20"/>
        </w:rPr>
        <w:t xml:space="preserve">” </w:t>
      </w:r>
      <w:r>
        <w:rPr>
          <w:rFonts w:ascii="Times New Roman;serif" w:hAnsi="Times New Roman;serif"/>
          <w:b w:val="false"/>
          <w:sz w:val="20"/>
        </w:rPr>
        <w:t>means Credit Agreement Refinancing Indebtedness incurred utilizing the Maturity Carveout Amount.</w:t>
      </w:r>
    </w:p>
    <w:p>
      <w:pPr>
        <w:pStyle w:val="TextBody"/>
        <w:bidi w:val="0"/>
        <w:spacing w:before="240" w:after="0"/>
        <w:jc w:val="both"/>
        <w:rPr/>
      </w:pPr>
      <w:r>
        <w:rPr/>
        <w:t>“</w:t>
      </w:r>
      <w:r>
        <w:rPr>
          <w:rFonts w:ascii="Times New Roman;serif" w:hAnsi="Times New Roman;serif"/>
          <w:b w:val="false"/>
          <w:sz w:val="20"/>
          <w:u w:val="single"/>
        </w:rPr>
        <w:t>Merger</w:t>
      </w:r>
      <w:r>
        <w:rPr>
          <w:rFonts w:ascii="Times New Roman" w:hAnsi="Times New Roman"/>
          <w:sz w:val="20"/>
        </w:rPr>
        <w:t xml:space="preserve">” </w:t>
      </w:r>
      <w:r>
        <w:rPr>
          <w:rFonts w:ascii="Times New Roman;serif" w:hAnsi="Times New Roman;serif"/>
          <w:b w:val="false"/>
          <w:sz w:val="20"/>
        </w:rPr>
        <w:t>means the merger of Merger Sub with and into Target as of the Effective Date, with Target surviving as a wholly-owned subsidiary of Holdings.</w:t>
      </w:r>
    </w:p>
    <w:p>
      <w:pPr>
        <w:pStyle w:val="TextBody"/>
        <w:bidi w:val="0"/>
        <w:spacing w:before="240" w:after="0"/>
        <w:jc w:val="both"/>
        <w:rPr/>
      </w:pPr>
      <w:r>
        <w:rPr/>
        <w:t>“</w:t>
      </w:r>
      <w:r>
        <w:rPr>
          <w:rFonts w:ascii="Times New Roman;serif" w:hAnsi="Times New Roman;serif"/>
          <w:b w:val="false"/>
          <w:sz w:val="20"/>
          <w:u w:val="single"/>
        </w:rPr>
        <w:t>Merger Sub</w:t>
      </w:r>
      <w:r>
        <w:rPr>
          <w:rFonts w:ascii="Times New Roman" w:hAnsi="Times New Roman"/>
          <w:sz w:val="20"/>
        </w:rPr>
        <w:t xml:space="preserve">” </w:t>
      </w:r>
      <w:r>
        <w:rPr>
          <w:rFonts w:ascii="Times New Roman;serif" w:hAnsi="Times New Roman;serif"/>
          <w:b w:val="false"/>
          <w:sz w:val="20"/>
        </w:rPr>
        <w:t>means Merger Sub (as defined in the preamble hereto), a direct wholly-owned subsidiary of Holdings.</w:t>
      </w:r>
    </w:p>
    <w:p>
      <w:pPr>
        <w:pStyle w:val="TextBody"/>
        <w:bidi w:val="0"/>
        <w:spacing w:before="240" w:after="0"/>
        <w:jc w:val="both"/>
        <w:rPr/>
      </w:pPr>
      <w:r>
        <w:rPr/>
        <w:t>“</w:t>
      </w:r>
      <w:r>
        <w:rPr>
          <w:rFonts w:ascii="Times New Roman;serif" w:hAnsi="Times New Roman;serif"/>
          <w:b w:val="false"/>
          <w:sz w:val="20"/>
          <w:u w:val="single"/>
        </w:rPr>
        <w:t>MFN Protection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Moody’s</w:t>
      </w:r>
      <w:r>
        <w:rPr>
          <w:rFonts w:ascii="Times New Roman" w:hAnsi="Times New Roman"/>
          <w:sz w:val="20"/>
        </w:rPr>
        <w:t xml:space="preserve">” </w:t>
      </w:r>
      <w:r>
        <w:rPr>
          <w:rFonts w:ascii="Times New Roman;serif" w:hAnsi="Times New Roman;serif"/>
          <w:b w:val="false"/>
          <w:sz w:val="20"/>
        </w:rPr>
        <w:t>means Moody’s Investors Service, Inc. and any successor to its rating agency business.</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Mortgage</w:t>
      </w:r>
      <w:r>
        <w:rPr>
          <w:rFonts w:ascii="Times New Roman" w:hAnsi="Times New Roman"/>
          <w:sz w:val="20"/>
        </w:rPr>
        <w:t xml:space="preserve">” </w:t>
      </w:r>
      <w:r>
        <w:rPr>
          <w:rFonts w:ascii="Times New Roman;serif" w:hAnsi="Times New Roman;serif"/>
          <w:b w:val="false"/>
          <w:sz w:val="20"/>
        </w:rPr>
        <w:t xml:space="preserve">means a mortgage, deed of trust, assignment of leases and rents or other security document granting a Lien on any Mortgaged Property to secure the Secured Obligations,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in the event 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Mortgaged Property is located in a jurisdiction which imposes mortgage recording taxes or similar fees, the applicable Mortgage shall not secure an amount in excess of 100% of the Fair Market Value of such Mortgaged Property. Each Mortgage shall be in a form reasonably agreed between the Borrower and the Administrative Agent.</w:t>
      </w:r>
    </w:p>
    <w:p>
      <w:pPr>
        <w:pStyle w:val="TextBody"/>
        <w:bidi w:val="0"/>
        <w:spacing w:before="240" w:after="0"/>
        <w:jc w:val="both"/>
        <w:rPr/>
      </w:pPr>
      <w:r>
        <w:rPr/>
        <w:t>“</w:t>
      </w:r>
      <w:r>
        <w:rPr>
          <w:rFonts w:ascii="Times New Roman;serif" w:hAnsi="Times New Roman;serif"/>
          <w:b w:val="false"/>
          <w:sz w:val="20"/>
          <w:u w:val="single"/>
        </w:rPr>
        <w:t>Mortgaged Property</w:t>
      </w:r>
      <w:r>
        <w:rPr>
          <w:rFonts w:ascii="Times New Roman" w:hAnsi="Times New Roman"/>
          <w:sz w:val="20"/>
        </w:rPr>
        <w:t xml:space="preserve">” </w:t>
      </w:r>
      <w:r>
        <w:rPr>
          <w:rFonts w:ascii="Times New Roman;serif" w:hAnsi="Times New Roman;serif"/>
          <w:b w:val="false"/>
          <w:sz w:val="20"/>
        </w:rPr>
        <w:t xml:space="preserve">means (a) each parcel of real property identified on </w:t>
      </w:r>
      <w:r>
        <w:rPr>
          <w:rFonts w:ascii="Times New Roman;serif" w:hAnsi="Times New Roman;serif"/>
          <w:b w:val="false"/>
          <w:sz w:val="20"/>
          <w:u w:val="single"/>
        </w:rPr>
        <w:t>Schedule 3.05</w:t>
      </w:r>
      <w:r>
        <w:rPr>
          <w:rFonts w:ascii="Times New Roman" w:hAnsi="Times New Roman"/>
          <w:sz w:val="20"/>
        </w:rPr>
        <w:t xml:space="preserve"> </w:t>
      </w:r>
      <w:r>
        <w:rPr>
          <w:rFonts w:ascii="Times New Roman;serif" w:hAnsi="Times New Roman;serif"/>
          <w:b w:val="false"/>
          <w:sz w:val="20"/>
        </w:rPr>
        <w:t xml:space="preserve">and the improvements thereon owned in fee by a Loan Party with respect to which a Mortgage is granted pursuant to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4.01(f)</w:t>
      </w:r>
      <w:r>
        <w:rPr>
          <w:rFonts w:ascii="Times New Roman" w:hAnsi="Times New Roman"/>
          <w:sz w:val="20"/>
        </w:rPr>
        <w:t xml:space="preserve"> </w:t>
      </w:r>
      <w:r>
        <w:rPr>
          <w:rFonts w:ascii="Times New Roman;serif" w:hAnsi="Times New Roman;serif"/>
          <w:b w:val="false"/>
          <w:sz w:val="20"/>
        </w:rPr>
        <w:t xml:space="preserve">(if any) and (b) each parcel of real property and the improvements thereon owned in fee by a Loan Party with respect to which a Mortgage is granted pursuant to </w:t>
      </w:r>
      <w:r>
        <w:rPr>
          <w:rFonts w:ascii="Times New Roman;serif" w:hAnsi="Times New Roman;serif"/>
          <w:b w:val="false"/>
          <w:sz w:val="20"/>
          <w:u w:val="single"/>
        </w:rPr>
        <w:t>Section 5.11</w:t>
      </w:r>
      <w:r>
        <w:rPr>
          <w:rFonts w:ascii="Times New Roman;serif" w:hAnsi="Times New Roman;serif"/>
          <w:b w:val="false"/>
          <w:sz w:val="20"/>
        </w:rPr>
        <w:t xml:space="preserve">, </w:t>
      </w:r>
      <w:r>
        <w:rPr>
          <w:rFonts w:ascii="Times New Roman;serif" w:hAnsi="Times New Roman;serif"/>
          <w:b w:val="false"/>
          <w:sz w:val="20"/>
          <w:u w:val="single"/>
        </w:rPr>
        <w:t>Section 5.12</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Section 5.14</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Multiemployer Plan</w:t>
      </w:r>
      <w:r>
        <w:rPr>
          <w:rFonts w:ascii="Times New Roman" w:hAnsi="Times New Roman"/>
          <w:sz w:val="20"/>
        </w:rPr>
        <w:t xml:space="preserve">” </w:t>
      </w:r>
      <w:r>
        <w:rPr>
          <w:rFonts w:ascii="Times New Roman;serif" w:hAnsi="Times New Roman;serif"/>
          <w:b w:val="false"/>
          <w:sz w:val="20"/>
        </w:rPr>
        <w:t>means a multiemployer plan as defined in Section 4001(a)(3) of ERISA.</w:t>
      </w:r>
    </w:p>
    <w:p>
      <w:pPr>
        <w:pStyle w:val="TextBody"/>
        <w:bidi w:val="0"/>
        <w:spacing w:before="240" w:after="0"/>
        <w:jc w:val="both"/>
        <w:rPr/>
      </w:pPr>
      <w:r>
        <w:rPr/>
        <w:t>“</w:t>
      </w:r>
      <w:r>
        <w:rPr>
          <w:rFonts w:ascii="Times New Roman;serif" w:hAnsi="Times New Roman;serif"/>
          <w:b w:val="false"/>
          <w:sz w:val="20"/>
          <w:u w:val="single"/>
        </w:rPr>
        <w:t>Net Proceeds</w:t>
      </w:r>
      <w:r>
        <w:rPr>
          <w:rFonts w:ascii="Times New Roman" w:hAnsi="Times New Roman"/>
          <w:sz w:val="20"/>
        </w:rPr>
        <w:t xml:space="preserve">” </w:t>
      </w:r>
      <w:r>
        <w:rPr>
          <w:rFonts w:ascii="Times New Roman;serif" w:hAnsi="Times New Roman;serif"/>
          <w:b w:val="false"/>
          <w:sz w:val="20"/>
        </w:rPr>
        <w:t xml:space="preserve">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serif" w:hAnsi="Times New Roman;serif"/>
          <w:b w:val="false"/>
          <w:sz w:val="20"/>
          <w:u w:val="single"/>
        </w:rPr>
        <w:t>minus</w:t>
      </w:r>
      <w:r>
        <w:rPr>
          <w:rFonts w:ascii="Times New Roman" w:hAnsi="Times New Roman"/>
          <w:sz w:val="20"/>
        </w:rPr>
        <w:t xml:space="preserve"> </w:t>
      </w:r>
      <w:r>
        <w:rPr>
          <w:rFonts w:ascii="Times New Roman;serif" w:hAnsi="Times New Roman;serif"/>
          <w:b w:val="false"/>
          <w:sz w:val="20"/>
        </w:rPr>
        <w:t xml:space="preserve">(b) the sum of (i) all fees and out-of-pocket expenses paid by Holdings, the Borrower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Disposition of an asset (including pursuant to a Sale Leaseback or Casualty Event or similar proceeding), (A) any funded escrow established pursuant to the documents evidencing any Disposition to secure any indemnification obligations or adjustments to the purchase price associated with any such sale or disposition;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the amount of any subsequent reduction of such escrow (other than in connection with a payment in respect of any such liability) shall be deemed to be Net Proceeds occurring on the date of such reduction solely to the extent that Holdings, the Borrower and/or any Restricted Subsidiaries receives cash in an amount equal to the amount of such reduction, (B) the amount of all payments that are permitted hereunder and are made by Holdings, the Borrower and the Restricted Subsidiaries as a result of such event to repay Indebtedness (other than the Loans and any Indebtedness that is secured by a Lien on the Collateral ranking equal in priority (but without regard to the control of remedies) or junior in priority to the Lien on the Collateral securing the Secured Obligations) secured by such asset or otherwise subject to mandatory prepayment as a result of such event, (C) the pro rata portion of net cash proceeds thereof (calculated without regard to this clause (C)) attributable to minority interests and not available for distribution to or for the account of Holdings, the Borrower and the Restricted Subsidiaries as a result thereof and (D) the amount of any liabilities directly associated with such asset and retained by Holdings, the Borrower or the Restricted Subsidiaries and (iii) the amount of all taxes paid (or reasonably estimated to be payable), including any withholding taxes estimated to be payable in connection with the repatriation of such Net Proceeds from a Foreign Subsidiary, and the amount of Restricted Payments permitted with respect to the payment of Taxes resulting from such event under </w:t>
      </w:r>
      <w:r>
        <w:rPr>
          <w:rFonts w:ascii="Times New Roman;serif" w:hAnsi="Times New Roman;serif"/>
          <w:b w:val="false"/>
          <w:sz w:val="20"/>
          <w:u w:val="single"/>
        </w:rPr>
        <w:t>Section 6.08(a)(xviii)</w:t>
      </w:r>
      <w:r>
        <w:rPr>
          <w:rFonts w:ascii="Times New Roman;serif" w:hAnsi="Times New Roman;serif"/>
          <w:b w:val="false"/>
          <w:sz w:val="20"/>
        </w:rPr>
        <w:t xml:space="preserve">, and the amount of any reserves established by Holdings, the Borrower and the Restricted Subsidiaries to fund contingent liabilities reasonably estimated to be payable, in each case, in respect of such event,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any reduction at any time in the amount of any such reserves (other than as a result of payments made in respect thereof) shall be deemed to constitute the receipt by the Borrower at such time of Net Proceeds in the amount of such reduction.</w:t>
      </w:r>
    </w:p>
    <w:p>
      <w:pPr>
        <w:pStyle w:val="TextBody"/>
        <w:bidi w:val="0"/>
        <w:spacing w:before="240" w:after="0"/>
        <w:jc w:val="both"/>
        <w:rPr/>
      </w:pPr>
      <w:r>
        <w:rPr/>
        <w:t>“</w:t>
      </w:r>
      <w:r>
        <w:rPr>
          <w:rFonts w:ascii="Times New Roman;serif" w:hAnsi="Times New Roman;serif"/>
          <w:b w:val="false"/>
          <w:sz w:val="20"/>
          <w:u w:val="single"/>
        </w:rPr>
        <w:t>New Project</w:t>
      </w:r>
      <w:r>
        <w:rPr>
          <w:rFonts w:ascii="Times New Roman" w:hAnsi="Times New Roman"/>
          <w:sz w:val="20"/>
        </w:rPr>
        <w:t xml:space="preserve">” </w:t>
      </w:r>
      <w:r>
        <w:rPr>
          <w:rFonts w:ascii="Times New Roman;serif" w:hAnsi="Times New Roman;serif"/>
          <w:b w:val="false"/>
          <w:sz w:val="20"/>
        </w:rPr>
        <w:t>means (a) each facility which is either a new facility, branch, data center or office or an expansion, relocation, remodeling or substantial modernization of an existing facility, branch, data center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pStyle w:val="TextBody"/>
        <w:bidi w:val="0"/>
        <w:spacing w:before="240" w:after="0"/>
        <w:jc w:val="left"/>
        <w:rPr/>
      </w:pPr>
      <w:r>
        <w:rPr/>
        <w:t>“</w:t>
      </w:r>
      <w:r>
        <w:rPr>
          <w:rFonts w:ascii="Times New Roman;serif" w:hAnsi="Times New Roman;serif"/>
          <w:b w:val="false"/>
          <w:sz w:val="20"/>
          <w:u w:val="single"/>
        </w:rPr>
        <w:t>Non-Accepting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2.24(c)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Non-Cash Compensation Expense</w:t>
      </w:r>
      <w:r>
        <w:rPr>
          <w:rFonts w:ascii="Times New Roman" w:hAnsi="Times New Roman"/>
          <w:sz w:val="20"/>
        </w:rPr>
        <w:t xml:space="preserve">” </w:t>
      </w:r>
      <w:r>
        <w:rPr>
          <w:rFonts w:ascii="Times New Roman;serif" w:hAnsi="Times New Roman;serif"/>
          <w:b w:val="false"/>
          <w:sz w:val="20"/>
        </w:rPr>
        <w:t>means any non-cash expenses and costs that result from the issuance of stock-based awards, partnership interest-based awards and similar incentive based compensation awards or arrangements.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w:t>
      </w:r>
      <w:r>
        <w:rPr>
          <w:rFonts w:ascii="Times New Roman;serif" w:hAnsi="Times New Roman;serif"/>
          <w:b w:val="false"/>
          <w:sz w:val="20"/>
          <w:u w:val="single"/>
        </w:rPr>
        <w:t>Non-Consenting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9.02(c)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Non-Exchanged Amendment No. 1 Term Loan</w:t>
      </w:r>
      <w:r>
        <w:rPr>
          <w:rFonts w:ascii="Times New Roman" w:hAnsi="Times New Roman"/>
          <w:sz w:val="20"/>
        </w:rPr>
        <w:t xml:space="preserve">” </w:t>
      </w:r>
      <w:r>
        <w:rPr>
          <w:rFonts w:ascii="Times New Roman;serif" w:hAnsi="Times New Roman;serif"/>
          <w:b w:val="false"/>
          <w:sz w:val="20"/>
        </w:rPr>
        <w:t>means each Term Loan outstanding immediately prior to the Amendment No. 1 Effective Date (or portion thereof) under this Agreement (as in effect immediately prior to the Amendment No. 1 Effective Date) other than an Exchanged Amendment No. 1 Term Loan.</w:t>
      </w:r>
    </w:p>
    <w:p>
      <w:pPr>
        <w:pStyle w:val="TextBody"/>
        <w:bidi w:val="0"/>
        <w:spacing w:before="240" w:after="0"/>
        <w:jc w:val="both"/>
        <w:rPr/>
      </w:pPr>
      <w:r>
        <w:rPr/>
        <w:t>“</w:t>
      </w:r>
      <w:r>
        <w:rPr>
          <w:rFonts w:ascii="Times New Roman;serif" w:hAnsi="Times New Roman;serif"/>
          <w:b w:val="false"/>
          <w:sz w:val="20"/>
          <w:u w:val="single"/>
        </w:rPr>
        <w:t>Not Otherwise Applied</w:t>
      </w:r>
      <w:r>
        <w:rPr>
          <w:rFonts w:ascii="Times New Roman" w:hAnsi="Times New Roman"/>
          <w:sz w:val="20"/>
        </w:rPr>
        <w:t xml:space="preserve">” </w:t>
      </w:r>
      <w:r>
        <w:rPr>
          <w:rFonts w:ascii="Times New Roman;serif" w:hAnsi="Times New Roman;serif"/>
          <w:b w:val="false"/>
          <w:sz w:val="20"/>
        </w:rPr>
        <w:t xml:space="preserve">means, with reference to the Available Amount, the Starter Basket or the Available Equity Amount, as applicable, that was not previously applied pursuant to </w:t>
      </w:r>
      <w:r>
        <w:rPr>
          <w:rFonts w:ascii="Times New Roman;serif" w:hAnsi="Times New Roman;serif"/>
          <w:b w:val="false"/>
          <w:sz w:val="20"/>
          <w:u w:val="single"/>
        </w:rPr>
        <w:t>Section 6.01(a)(xxx)</w:t>
      </w:r>
      <w:r>
        <w:rPr>
          <w:rFonts w:ascii="Times New Roman;serif" w:hAnsi="Times New Roman;serif"/>
          <w:b w:val="false"/>
          <w:sz w:val="20"/>
        </w:rPr>
        <w:t xml:space="preserve">,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6.04(n)</w:t>
      </w:r>
      <w:r>
        <w:rPr>
          <w:rFonts w:ascii="Times New Roman;serif" w:hAnsi="Times New Roman;serif"/>
          <w:b w:val="false"/>
          <w:sz w:val="20"/>
        </w:rPr>
        <w:t xml:space="preserve">, </w:t>
      </w:r>
      <w:r>
        <w:rPr>
          <w:rFonts w:ascii="Times New Roman;serif" w:hAnsi="Times New Roman;serif"/>
          <w:b w:val="false"/>
          <w:sz w:val="20"/>
          <w:u w:val="single"/>
        </w:rPr>
        <w:t>Section 6.08(a)(viii)</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6.08(b)(iv)</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Notice of Loan Prepayment</w:t>
      </w:r>
      <w:r>
        <w:rPr>
          <w:rFonts w:ascii="Times New Roman" w:hAnsi="Times New Roman"/>
          <w:sz w:val="20"/>
        </w:rPr>
        <w:t xml:space="preserve">” </w:t>
      </w:r>
      <w:r>
        <w:rPr>
          <w:rFonts w:ascii="Times New Roman;serif" w:hAnsi="Times New Roman;serif"/>
          <w:b w:val="false"/>
          <w:sz w:val="20"/>
        </w:rPr>
        <w:t xml:space="preserve">means a notice of prepayment with respect to a Loan, which shall be substantially in the form of </w:t>
      </w:r>
      <w:r>
        <w:rPr>
          <w:rFonts w:ascii="Times New Roman;serif" w:hAnsi="Times New Roman;serif"/>
          <w:b w:val="false"/>
          <w:sz w:val="20"/>
          <w:u w:val="single"/>
        </w:rPr>
        <w:t>Exhibit S</w:t>
      </w:r>
      <w:r>
        <w:rPr>
          <w:rFonts w:ascii="Times New Roman" w:hAnsi="Times New Roman"/>
          <w:sz w:val="20"/>
        </w:rPr>
        <w:t xml:space="preserve"> </w:t>
      </w:r>
      <w:r>
        <w:rPr>
          <w:rFonts w:ascii="Times New Roman;serif" w:hAnsi="Times New Roman;serif"/>
          <w:b w:val="false"/>
          <w:sz w:val="20"/>
        </w:rPr>
        <w:t>or such other form as may be reasonably approved by the Administrative Agent (including any form on an electronic platform or electronic transmission system as shall be approved by the Administrative Agent), appropriately completed and signed by a Responsible Officer.</w:t>
      </w:r>
    </w:p>
    <w:p>
      <w:pPr>
        <w:pStyle w:val="TextBody"/>
        <w:bidi w:val="0"/>
        <w:spacing w:before="240" w:after="0"/>
        <w:jc w:val="left"/>
        <w:rPr/>
      </w:pPr>
      <w:r>
        <w:rPr/>
        <w:t>“</w:t>
      </w:r>
      <w:r>
        <w:rPr>
          <w:rFonts w:ascii="Times New Roman;serif" w:hAnsi="Times New Roman;serif"/>
          <w:b w:val="false"/>
          <w:sz w:val="20"/>
          <w:u w:val="single"/>
        </w:rPr>
        <w:t>OFAC</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3.18(c)</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Offered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Offered Discount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OID</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2.20(b)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Organizational Documents</w:t>
      </w:r>
      <w:r>
        <w:rPr>
          <w:rFonts w:ascii="Times New Roman" w:hAnsi="Times New Roman"/>
          <w:sz w:val="20"/>
        </w:rPr>
        <w:t xml:space="preserve">” </w:t>
      </w:r>
      <w:r>
        <w:rPr>
          <w:rFonts w:ascii="Times New Roman;serif" w:hAnsi="Times New Roman;serif"/>
          <w:b w:val="false"/>
          <w:sz w:val="20"/>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240" w:after="0"/>
        <w:jc w:val="both"/>
        <w:rPr/>
      </w:pPr>
      <w:r>
        <w:rPr/>
        <w:t>“</w:t>
      </w:r>
      <w:r>
        <w:rPr>
          <w:rFonts w:ascii="Times New Roman;serif" w:hAnsi="Times New Roman;serif"/>
          <w:b w:val="false"/>
          <w:sz w:val="20"/>
          <w:u w:val="single"/>
        </w:rPr>
        <w:t>Original Revolving Commitment</w:t>
      </w:r>
      <w:r>
        <w:rPr>
          <w:rFonts w:ascii="Times New Roman" w:hAnsi="Times New Roman"/>
          <w:sz w:val="20"/>
        </w:rPr>
        <w:t xml:space="preserve">” </w:t>
      </w:r>
      <w:r>
        <w:rPr>
          <w:rFonts w:ascii="Times New Roman;serif" w:hAnsi="Times New Roman;serif"/>
          <w:b w:val="false"/>
          <w:sz w:val="20"/>
        </w:rPr>
        <w:t>means, as to any Lender, the obligation of such Lender to make Revolving Loans and to participate in Letters of Credit as set forth in this Agreement immediately prior to the Amendment No. 2 Effective Date.</w:t>
      </w:r>
    </w:p>
    <w:p>
      <w:pPr>
        <w:pStyle w:val="TextBody"/>
        <w:bidi w:val="0"/>
        <w:spacing w:before="240" w:after="0"/>
        <w:jc w:val="left"/>
        <w:rPr/>
      </w:pPr>
      <w:r>
        <w:rPr/>
        <w:t>“</w:t>
      </w:r>
      <w:r>
        <w:rPr>
          <w:rFonts w:ascii="Times New Roman;serif" w:hAnsi="Times New Roman;serif"/>
          <w:b w:val="false"/>
          <w:sz w:val="20"/>
          <w:u w:val="single"/>
        </w:rPr>
        <w:t>Other Applicable Indebtedness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2.11(h)</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Other Connection Taxes</w:t>
      </w:r>
      <w:r>
        <w:rPr>
          <w:rFonts w:ascii="Times New Roman" w:hAnsi="Times New Roman"/>
          <w:sz w:val="20"/>
        </w:rPr>
        <w:t xml:space="preserve">” </w:t>
      </w:r>
      <w:r>
        <w:rPr>
          <w:rFonts w:ascii="Times New Roman;serif" w:hAnsi="Times New Roman;serif"/>
          <w:b w:val="false"/>
          <w:sz w:val="20"/>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240" w:after="0"/>
        <w:jc w:val="both"/>
        <w:rPr/>
      </w:pPr>
      <w:r>
        <w:rPr/>
        <w:t>“</w:t>
      </w:r>
      <w:r>
        <w:rPr>
          <w:rFonts w:ascii="Times New Roman;serif" w:hAnsi="Times New Roman;serif"/>
          <w:b w:val="false"/>
          <w:sz w:val="20"/>
          <w:u w:val="single"/>
        </w:rPr>
        <w:t>Other Loans</w:t>
      </w:r>
      <w:r>
        <w:rPr>
          <w:rFonts w:ascii="Times New Roman" w:hAnsi="Times New Roman"/>
          <w:sz w:val="20"/>
        </w:rPr>
        <w:t xml:space="preserve">” </w:t>
      </w:r>
      <w:r>
        <w:rPr>
          <w:rFonts w:ascii="Times New Roman;serif" w:hAnsi="Times New Roman;serif"/>
          <w:b w:val="false"/>
          <w:sz w:val="20"/>
        </w:rPr>
        <w:t>means one or more Classes of Loans that result from a Refinancing Amendment or a Loan Modification Agreement.</w:t>
      </w:r>
    </w:p>
    <w:p>
      <w:pPr>
        <w:pStyle w:val="TextBody"/>
        <w:bidi w:val="0"/>
        <w:spacing w:before="240" w:after="0"/>
        <w:jc w:val="both"/>
        <w:rPr/>
      </w:pPr>
      <w:r>
        <w:rPr/>
        <w:t>“</w:t>
      </w:r>
      <w:r>
        <w:rPr>
          <w:rFonts w:ascii="Times New Roman;serif" w:hAnsi="Times New Roman;serif"/>
          <w:b w:val="false"/>
          <w:sz w:val="20"/>
          <w:u w:val="single"/>
        </w:rPr>
        <w:t>Other Revolving Commitments</w:t>
      </w:r>
      <w:r>
        <w:rPr>
          <w:rFonts w:ascii="Times New Roman" w:hAnsi="Times New Roman"/>
          <w:sz w:val="20"/>
        </w:rPr>
        <w:t xml:space="preserve">” </w:t>
      </w:r>
      <w:r>
        <w:rPr>
          <w:rFonts w:ascii="Times New Roman;serif" w:hAnsi="Times New Roman;serif"/>
          <w:b w:val="false"/>
          <w:sz w:val="20"/>
        </w:rPr>
        <w:t>means one or more Classes of revolving credit commitments hereunder or extended Revolving Commitments that result from a Refinancing Amendment or a Loan Modification Agreement.</w:t>
      </w:r>
    </w:p>
    <w:p>
      <w:pPr>
        <w:pStyle w:val="TextBody"/>
        <w:bidi w:val="0"/>
        <w:spacing w:before="240" w:after="0"/>
        <w:jc w:val="both"/>
        <w:rPr/>
      </w:pPr>
      <w:r>
        <w:rPr/>
        <w:t>“</w:t>
      </w:r>
      <w:r>
        <w:rPr>
          <w:rFonts w:ascii="Times New Roman;serif" w:hAnsi="Times New Roman;serif"/>
          <w:b w:val="false"/>
          <w:sz w:val="20"/>
          <w:u w:val="single"/>
        </w:rPr>
        <w:t>Other Revolving Loans</w:t>
      </w:r>
      <w:r>
        <w:rPr>
          <w:rFonts w:ascii="Times New Roman" w:hAnsi="Times New Roman"/>
          <w:sz w:val="20"/>
        </w:rPr>
        <w:t xml:space="preserve">” </w:t>
      </w:r>
      <w:r>
        <w:rPr>
          <w:rFonts w:ascii="Times New Roman;serif" w:hAnsi="Times New Roman;serif"/>
          <w:b w:val="false"/>
          <w:sz w:val="20"/>
        </w:rPr>
        <w:t>means the Revolving Loans made pursuant to any Other Revolving Commitment or a Loan Modification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Other Taxes</w:t>
      </w:r>
      <w:r>
        <w:rPr>
          <w:rFonts w:ascii="Times New Roman" w:hAnsi="Times New Roman"/>
          <w:sz w:val="20"/>
        </w:rPr>
        <w:t xml:space="preserve">” </w:t>
      </w:r>
      <w:r>
        <w:rPr>
          <w:rFonts w:ascii="Times New Roman;serif" w:hAnsi="Times New Roman;serif"/>
          <w:b w:val="false"/>
          <w:sz w:val="20"/>
        </w:rPr>
        <w:t xml:space="preserve">means any and all present or future recording, stamp, documentary, transfer, sales, property or similar Taxes arising from any payment made under any Loan Document or from the execution, delivery or enforcement of, or otherwise with respect to, any Loan Document, except any such Taxes that are Other Connection Taxes imposed with respect to an assignment (other than an assignment made pursuant to </w:t>
      </w:r>
      <w:r>
        <w:rPr>
          <w:rFonts w:ascii="Times New Roman;serif" w:hAnsi="Times New Roman;serif"/>
          <w:b w:val="false"/>
          <w:sz w:val="20"/>
          <w:u w:val="single"/>
        </w:rPr>
        <w:t>Section 2.19</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Other Term Loans</w:t>
      </w:r>
      <w:r>
        <w:rPr>
          <w:rFonts w:ascii="Times New Roman" w:hAnsi="Times New Roman"/>
          <w:sz w:val="20"/>
        </w:rPr>
        <w:t xml:space="preserve">” </w:t>
      </w:r>
      <w:r>
        <w:rPr>
          <w:rFonts w:ascii="Times New Roman;serif" w:hAnsi="Times New Roman;serif"/>
          <w:b w:val="false"/>
          <w:sz w:val="20"/>
        </w:rPr>
        <w:t>means one or more Classes of Term Loans that result from a Refinancing Amendment or Loan Modification Agreement.</w:t>
      </w:r>
    </w:p>
    <w:p>
      <w:pPr>
        <w:pStyle w:val="TextBody"/>
        <w:bidi w:val="0"/>
        <w:spacing w:before="240" w:after="0"/>
        <w:jc w:val="both"/>
        <w:rPr/>
      </w:pPr>
      <w:r>
        <w:rPr/>
        <w:t>“</w:t>
      </w:r>
      <w:r>
        <w:rPr>
          <w:rFonts w:ascii="Times New Roman;serif" w:hAnsi="Times New Roman;serif"/>
          <w:b w:val="false"/>
          <w:sz w:val="20"/>
          <w:u w:val="single"/>
        </w:rPr>
        <w:t>Other Term Commitments</w:t>
      </w:r>
      <w:r>
        <w:rPr>
          <w:rFonts w:ascii="Times New Roman" w:hAnsi="Times New Roman"/>
          <w:sz w:val="20"/>
        </w:rPr>
        <w:t xml:space="preserve">” </w:t>
      </w:r>
      <w:r>
        <w:rPr>
          <w:rFonts w:ascii="Times New Roman;serif" w:hAnsi="Times New Roman;serif"/>
          <w:b w:val="false"/>
          <w:sz w:val="20"/>
        </w:rPr>
        <w:t>means one or more Classes of term loan commitments hereunder that result from a Refinancing Amendment or Loan Modification Agreement.</w:t>
      </w:r>
    </w:p>
    <w:p>
      <w:pPr>
        <w:pStyle w:val="TextBody"/>
        <w:bidi w:val="0"/>
        <w:spacing w:before="240" w:after="0"/>
        <w:jc w:val="left"/>
        <w:rPr/>
      </w:pPr>
      <w:r>
        <w:rPr/>
        <w:t>“</w:t>
      </w:r>
      <w:r>
        <w:rPr>
          <w:rFonts w:ascii="Times New Roman;serif" w:hAnsi="Times New Roman;serif"/>
          <w:b w:val="false"/>
          <w:sz w:val="20"/>
          <w:u w:val="single"/>
        </w:rPr>
        <w:t>Parent Entity</w:t>
      </w:r>
      <w:r>
        <w:rPr>
          <w:rFonts w:ascii="Times New Roman" w:hAnsi="Times New Roman"/>
          <w:sz w:val="20"/>
        </w:rPr>
        <w:t xml:space="preserve">” </w:t>
      </w:r>
      <w:r>
        <w:rPr>
          <w:rFonts w:ascii="Times New Roman;serif" w:hAnsi="Times New Roman;serif"/>
          <w:b w:val="false"/>
          <w:sz w:val="20"/>
        </w:rPr>
        <w:t>means any Person that is a direct or indirect parent of Holdings.</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Participant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9.04(c)(i)</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Participant Register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9.04(c)(iii)</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Participating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PBGC</w:t>
      </w:r>
      <w:r>
        <w:rPr>
          <w:rFonts w:ascii="Times New Roman" w:hAnsi="Times New Roman"/>
          <w:sz w:val="20"/>
        </w:rPr>
        <w:t xml:space="preserve">” </w:t>
      </w:r>
      <w:r>
        <w:rPr>
          <w:rFonts w:ascii="Times New Roman;serif" w:hAnsi="Times New Roman;serif"/>
          <w:b w:val="false"/>
          <w:sz w:val="20"/>
        </w:rPr>
        <w:t>means the Pension Benefit Guaranty Corporation referred to and defined in ERISA and any successor entity performing similar functions.</w:t>
      </w:r>
    </w:p>
    <w:p>
      <w:pPr>
        <w:pStyle w:val="TextBody"/>
        <w:bidi w:val="0"/>
        <w:spacing w:before="240" w:after="0"/>
        <w:jc w:val="both"/>
        <w:rPr/>
      </w:pPr>
      <w:r>
        <w:rPr/>
        <w:t>“</w:t>
      </w:r>
      <w:r>
        <w:rPr>
          <w:rFonts w:ascii="Times New Roman;serif" w:hAnsi="Times New Roman;serif"/>
          <w:b w:val="false"/>
          <w:sz w:val="20"/>
          <w:u w:val="single"/>
        </w:rPr>
        <w:t>Permitted Acquisition</w:t>
      </w:r>
      <w:r>
        <w:rPr>
          <w:rFonts w:ascii="Times New Roman" w:hAnsi="Times New Roman"/>
          <w:sz w:val="20"/>
        </w:rPr>
        <w:t xml:space="preserve">” </w:t>
      </w:r>
      <w:r>
        <w:rPr>
          <w:rFonts w:ascii="Times New Roman;serif" w:hAnsi="Times New Roman;serif"/>
          <w:b w:val="false"/>
          <w:sz w:val="20"/>
        </w:rPr>
        <w:t xml:space="preserve">means an Acquisition Transaction;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 with respect to each such Acquisition Transaction, all actions required to be taken with respect to any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within the timeframes required by </w:t>
      </w:r>
      <w:r>
        <w:rPr>
          <w:rFonts w:ascii="Times New Roman;serif" w:hAnsi="Times New Roman;serif"/>
          <w:b w:val="false"/>
          <w:sz w:val="20"/>
          <w:u w:val="single"/>
        </w:rPr>
        <w:t>Section 5.11</w:t>
      </w:r>
      <w:r>
        <w:rPr>
          <w:rFonts w:ascii="Times New Roman" w:hAnsi="Times New Roman"/>
          <w:sz w:val="20"/>
        </w:rPr>
        <w:t xml:space="preserve"> </w:t>
      </w:r>
      <w:r>
        <w:rPr>
          <w:rFonts w:ascii="Times New Roman;serif" w:hAnsi="Times New Roman;serif"/>
          <w:b w:val="false"/>
          <w:sz w:val="20"/>
        </w:rPr>
        <w:t xml:space="preserve">shall have been made (unless such newly created or acquired Subsidiary is designated as an Unrestricted Subsidiary pursuant to </w:t>
      </w:r>
      <w:r>
        <w:rPr>
          <w:rFonts w:ascii="Times New Roman;serif" w:hAnsi="Times New Roman;serif"/>
          <w:b w:val="false"/>
          <w:sz w:val="20"/>
          <w:u w:val="single"/>
        </w:rPr>
        <w:t>Section 5.15</w:t>
      </w:r>
      <w:r>
        <w:rPr>
          <w:rFonts w:ascii="Times New Roman" w:hAnsi="Times New Roman"/>
          <w:sz w:val="20"/>
        </w:rPr>
        <w:t xml:space="preserve"> </w:t>
      </w:r>
      <w:r>
        <w:rPr>
          <w:rFonts w:ascii="Times New Roman;serif" w:hAnsi="Times New Roman;serif"/>
          <w:b w:val="false"/>
          <w:sz w:val="20"/>
        </w:rPr>
        <w:t xml:space="preserve">or is otherwise an Excluded Subsidiary) and (b) after giving effect to any such purchase or other acquisition, no Event of Default under </w:t>
      </w:r>
      <w:r>
        <w:rPr>
          <w:rFonts w:ascii="Times New Roman;serif" w:hAnsi="Times New Roman;serif"/>
          <w:b w:val="false"/>
          <w:sz w:val="20"/>
          <w:u w:val="single"/>
        </w:rPr>
        <w:t>clause (a)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 w:hAnsi="Times New Roman"/>
          <w:sz w:val="20"/>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7.01</w:t>
      </w:r>
      <w:r>
        <w:rPr>
          <w:rFonts w:ascii="Times New Roman" w:hAnsi="Times New Roman"/>
          <w:sz w:val="20"/>
        </w:rPr>
        <w:t xml:space="preserve"> </w:t>
      </w:r>
      <w:r>
        <w:rPr>
          <w:rFonts w:ascii="Times New Roman;serif" w:hAnsi="Times New Roman;serif"/>
          <w:b w:val="false"/>
          <w:sz w:val="20"/>
        </w:rPr>
        <w:t>shall have occurred and be continuing.</w:t>
      </w:r>
    </w:p>
    <w:p>
      <w:pPr>
        <w:pStyle w:val="TextBody"/>
        <w:bidi w:val="0"/>
        <w:spacing w:before="240" w:after="0"/>
        <w:jc w:val="both"/>
        <w:rPr/>
      </w:pPr>
      <w:r>
        <w:rPr/>
        <w:t>“</w:t>
      </w:r>
      <w:r>
        <w:rPr>
          <w:rFonts w:ascii="Times New Roman;serif" w:hAnsi="Times New Roman;serif"/>
          <w:b w:val="false"/>
          <w:sz w:val="20"/>
          <w:u w:val="single"/>
        </w:rPr>
        <w:t>Permitted Amendment</w:t>
      </w:r>
      <w:r>
        <w:rPr>
          <w:rFonts w:ascii="Times New Roman" w:hAnsi="Times New Roman"/>
          <w:sz w:val="20"/>
        </w:rPr>
        <w:t xml:space="preserve">” </w:t>
      </w:r>
      <w:r>
        <w:rPr>
          <w:rFonts w:ascii="Times New Roman;serif" w:hAnsi="Times New Roman;serif"/>
          <w:b w:val="false"/>
          <w:sz w:val="20"/>
        </w:rPr>
        <w:t xml:space="preserve">means an amendment to this Agreement and, if applicable, the other Loan Documents, effected in connection with a Loan Modification Offer pursuant to </w:t>
      </w:r>
      <w:r>
        <w:rPr>
          <w:rFonts w:ascii="Times New Roman;serif" w:hAnsi="Times New Roman;serif"/>
          <w:b w:val="false"/>
          <w:sz w:val="20"/>
          <w:u w:val="single"/>
        </w:rPr>
        <w:t>Section 2.24</w:t>
      </w:r>
      <w:r>
        <w:rPr>
          <w:rFonts w:ascii="Times New Roman;serif" w:hAnsi="Times New Roman;serif"/>
          <w:b w:val="false"/>
          <w:sz w:val="20"/>
        </w:rPr>
        <w:t>, applicable to all, or any portion of, the Loans and/or Commitments of any Class of the Accepting Lenders and, providing for (a) an extension of a maturity date and/or (b) a change in the Applicable Rate (including any “MFN” provisions) with respect to the Loans and/or Commitments of the Accepting Lenders and/or (c) a change in the fees payable to, or the inclusion of new fees to be payable to, the Accepting Lenders and/or (d) a change to any call protection with respect to the Loans and/or commitments of the Accepting Lenders (including any “soft call” protection), and/or (e) additional covenants or other provisions applicable only to periods after the Latest Maturity Date at the time of such Loan Modification Offer (it being understood that to the extent that any financial maintenance covenant or any other covenant is added for the benefit of any such Loans and/or Commitments, no consent shall be required by the Administrative Agent or any of the Lenders if such financial maintenance covenant or other covenant is either (i) also added for the benefit of any corresponding Loans remaining outstanding after the issuance or incurrence of such Loans and/or Commitments or (ii) only applicable after the Latest Maturity Date at the time of such Loan Modification Offer).</w:t>
      </w:r>
    </w:p>
    <w:p>
      <w:pPr>
        <w:pStyle w:val="TextBody"/>
        <w:bidi w:val="0"/>
        <w:spacing w:before="240" w:after="0"/>
        <w:jc w:val="both"/>
        <w:rPr/>
      </w:pPr>
      <w:r>
        <w:rPr/>
        <w:t>“</w:t>
      </w:r>
      <w:r>
        <w:rPr>
          <w:rFonts w:ascii="Times New Roman;serif" w:hAnsi="Times New Roman;serif"/>
          <w:b w:val="false"/>
          <w:sz w:val="20"/>
          <w:u w:val="single"/>
        </w:rPr>
        <w:t>Permitted Asset Swap</w:t>
      </w:r>
      <w:r>
        <w:rPr>
          <w:rFonts w:ascii="Times New Roman" w:hAnsi="Times New Roman"/>
          <w:sz w:val="20"/>
        </w:rPr>
        <w:t xml:space="preserve">” </w:t>
      </w:r>
      <w:r>
        <w:rPr>
          <w:rFonts w:ascii="Times New Roman;serif" w:hAnsi="Times New Roman;serif"/>
          <w:b w:val="false"/>
          <w:sz w:val="20"/>
        </w:rPr>
        <w:t>means the concurrent purchase and sale or exchange of Related Business Assets or a combination of Related Business Assets and cash or Permitted Investments between Holdings, the Borrower or a Restricted Subsidiary and another Person.</w:t>
      </w:r>
    </w:p>
    <w:p>
      <w:pPr>
        <w:pStyle w:val="TextBody"/>
        <w:bidi w:val="0"/>
        <w:spacing w:before="240" w:after="0"/>
        <w:jc w:val="left"/>
        <w:rPr/>
      </w:pPr>
      <w:r>
        <w:rPr/>
        <w:t>“</w:t>
      </w:r>
      <w:r>
        <w:rPr>
          <w:rFonts w:ascii="Times New Roman;serif" w:hAnsi="Times New Roman;serif"/>
          <w:b w:val="false"/>
          <w:sz w:val="20"/>
          <w:u w:val="single"/>
        </w:rPr>
        <w:t>Permitted Encumbrances</w:t>
      </w:r>
      <w:r>
        <w:rPr>
          <w:rFonts w:ascii="Times New Roman" w:hAnsi="Times New Roman"/>
          <w:sz w:val="20"/>
        </w:rPr>
        <w:t xml:space="preserve">” </w:t>
      </w:r>
      <w:r>
        <w:rPr>
          <w:rFonts w:ascii="Times New Roman;serif" w:hAnsi="Times New Roman;serif"/>
          <w:b w:val="false"/>
          <w:sz w:val="20"/>
        </w:rPr>
        <w:t>means:</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Liens for taxes, assessments or other governmental charges that are not overdue for a period of more than 60 days or that are being contested in good faith and by appropriate proceedings diligently conducted, if adequate reserves with respect thereto are maintained on the books of the applicable Person in accordance with GAAP;</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Liens imposed by law, such as carriers’, warehousemen’s, mechanics’, materialmen’s, repairmen’s or construction contractors’ Liens and other similar Liens arising in the ordinary course of business that secure amounts not overdue for a period of more than 60 days or, if more than 60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or similar instruments for the benefit of) insurance carriers providing property, casualty or liability insurance to Holdings, the Borrower or any Restricted Subsidiary or otherwise supporting the payment of items set forth in the foregoing clause (i);</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pPr>
      <w:r>
        <w:rPr>
          <w:rFonts w:ascii="Times New Roman;serif" w:hAnsi="Times New Roman;serif"/>
          <w:b w:val="false"/>
          <w:sz w:val="20"/>
        </w:rPr>
        <w:t xml:space="preserve">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w:t>
      </w:r>
      <w:r>
        <w:rPr>
          <w:rFonts w:ascii="Times New Roman;serif" w:hAnsi="Times New Roman;serif"/>
          <w:b w:val="false"/>
          <w:sz w:val="22"/>
        </w:rPr>
        <w:t>guarantees or similar instruments that have been posted to support the same, incurred in the ordinary course of business or consistent with past practices;</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easements, encumbrances, rights-of-way, reservations, restrictions, restrictive covenants, servitudes, sewers, electric lines, drains, telegraph and telephone and cable television lines, gas and oil pipelines and other similar purposes building codes, encroachments, protrusions, zoning restrictions, and other similar encumbrances and minor title defects or other irregularities in title and survey exceptions affecting real property that, in the aggregate, do not in any case materially interfere with the ordinary conduct of the business of Holdings, the Borrower and the Restricted Subsidiaries, taken as a whole;</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0"/>
        <w:jc w:val="both"/>
        <w:rPr/>
      </w:pPr>
      <w:r>
        <w:rPr>
          <w:rFonts w:ascii="Times New Roman;serif" w:hAnsi="Times New Roman;serif"/>
          <w:b w:val="false"/>
          <w:sz w:val="20"/>
        </w:rPr>
        <w:t xml:space="preserve">Liens securing, or otherwise arising from, judgments not constituting an Event of Default under </w:t>
      </w:r>
      <w:r>
        <w:rPr>
          <w:rFonts w:ascii="Times New Roman;serif" w:hAnsi="Times New Roman;serif"/>
          <w:b w:val="false"/>
          <w:sz w:val="20"/>
          <w:u w:val="single"/>
        </w:rPr>
        <w:t>Section 7.01(j)</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0"/>
        <w:jc w:val="both"/>
        <w:rPr/>
      </w:pPr>
      <w:r>
        <w:rPr>
          <w:rFonts w:ascii="Times New Roman;serif" w:hAnsi="Times New Roman;serif"/>
          <w:b w:val="false"/>
          <w:sz w:val="20"/>
        </w:rPr>
        <w:t xml:space="preserve">Liens on goods the purchase price of which is financed by a documentary letter of credit issued for the account of Holdings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Lien secures only the obligations of Holdings or such subsidiaries in respect of such letter of credit to the extent such obligations are permitted by </w:t>
      </w:r>
      <w:r>
        <w:rPr>
          <w:rFonts w:ascii="Times New Roman;serif" w:hAnsi="Times New Roman;serif"/>
          <w:b w:val="false"/>
          <w:sz w:val="20"/>
          <w:u w:val="single"/>
        </w:rPr>
        <w:t>Section 6.01</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(h)</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and</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Liens arising from precautionary Uniform Commercial Code financing statements or any similar filings made or Liens in respect of operating leases entered into by Holdings or any of its subsidiaries.</w:t>
      </w:r>
    </w:p>
    <w:p>
      <w:pPr>
        <w:pStyle w:val="TextBody"/>
        <w:bidi w:val="0"/>
        <w:spacing w:before="240" w:after="0"/>
        <w:jc w:val="both"/>
        <w:rPr/>
      </w:pPr>
      <w:r>
        <w:rPr/>
        <w:t>“</w:t>
      </w:r>
      <w:r>
        <w:rPr>
          <w:rFonts w:ascii="Times New Roman;serif" w:hAnsi="Times New Roman;serif"/>
          <w:b w:val="false"/>
          <w:sz w:val="20"/>
          <w:u w:val="single"/>
        </w:rPr>
        <w:t>Permitted First Priority Refinancing Debt</w:t>
      </w:r>
      <w:r>
        <w:rPr>
          <w:rFonts w:ascii="Times New Roman" w:hAnsi="Times New Roman"/>
          <w:sz w:val="20"/>
        </w:rPr>
        <w:t xml:space="preserve">” </w:t>
      </w:r>
      <w:r>
        <w:rPr>
          <w:rFonts w:ascii="Times New Roman;serif" w:hAnsi="Times New Roman;serif"/>
          <w:b w:val="false"/>
          <w:sz w:val="20"/>
        </w:rPr>
        <w:t xml:space="preserve">means any secured Indebtedness incurred by Holdings, the Borrower or any Loan Party in the form of one or more series of senior secured notes or loans;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such Indebtedness is secured by a Lien on the Collateral ranking equal in priority (but without regard to control of remedies) with the Lien on the Collateral securing the Secured Obligations and is not secured by any property or assets of Holdings, the Borrower or any Subsidiary other than the Collateral, (b) such Indebtedness constitutes Credit Agreement Refinancing Indebtedness in respect of Loans (including portions of Classes of Loans or Other Loans), (c) such Indebtedness (other than Customary Bridge Loans) does not have mandatory redemption features (other than Customary Exceptions) that could result in redemptions of such Indebtedness prior to the maturity of the Refinanced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Debt and (d) a Senior Representative acting on behalf of the holders of such Indebtedness shall have become party to a First Lien Intercreditor Agreement and the First Lien/Second Lien Intercreditor Agreement. Permitted First Priority Refinancing Debt will include any Registered Equivalent Notes issued in exchange therefor.</w:t>
      </w:r>
    </w:p>
    <w:p>
      <w:pPr>
        <w:pStyle w:val="TextBody"/>
        <w:bidi w:val="0"/>
        <w:spacing w:before="240" w:after="0"/>
        <w:jc w:val="both"/>
        <w:rPr/>
      </w:pPr>
      <w:r>
        <w:rPr/>
        <w:t>“</w:t>
      </w:r>
      <w:r>
        <w:rPr>
          <w:rFonts w:ascii="Times New Roman;serif" w:hAnsi="Times New Roman;serif"/>
          <w:b w:val="false"/>
          <w:sz w:val="20"/>
          <w:u w:val="single"/>
        </w:rPr>
        <w:t>Permitted Holder</w:t>
      </w:r>
      <w:r>
        <w:rPr>
          <w:rFonts w:ascii="Times New Roman" w:hAnsi="Times New Roman"/>
          <w:sz w:val="20"/>
        </w:rPr>
        <w:t xml:space="preserve">” </w:t>
      </w:r>
      <w:r>
        <w:rPr>
          <w:rFonts w:ascii="Times New Roman;serif" w:hAnsi="Times New Roman;serif"/>
          <w:b w:val="false"/>
          <w:sz w:val="20"/>
        </w:rPr>
        <w:t xml:space="preserve">means (a) the Sponsor, (b) the Management Investors and their Permitted Transferees, and (c) any group of which the Persons described in clauses (a) and/or (b) are members and any other member of such group;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Persons described in clauses (a) and (b), without giving effect to the existence of such group or any other group, collectively own, directly or indirectly, Voting Equity Interests in such Person representing a majority of the aggregate votes entitled to vote for the election of directors of such Person having a majority of the aggregate votes on the Board of Directors of such Person owned by such group.</w:t>
      </w:r>
    </w:p>
    <w:p>
      <w:pPr>
        <w:pStyle w:val="TextBody"/>
        <w:bidi w:val="0"/>
        <w:spacing w:before="240" w:after="0"/>
        <w:jc w:val="left"/>
        <w:rPr/>
      </w:pPr>
      <w:r>
        <w:rPr/>
        <w:t>“</w:t>
      </w:r>
      <w:r>
        <w:rPr>
          <w:rFonts w:ascii="Times New Roman;serif" w:hAnsi="Times New Roman;serif"/>
          <w:b w:val="false"/>
          <w:sz w:val="20"/>
          <w:u w:val="single"/>
        </w:rPr>
        <w:t>Permitted Holdings Debt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6.01(a)(xviii)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Permitted Investments</w:t>
      </w:r>
      <w:r>
        <w:rPr>
          <w:rFonts w:ascii="Times New Roman" w:hAnsi="Times New Roman"/>
          <w:sz w:val="20"/>
        </w:rPr>
        <w:t xml:space="preserve">” </w:t>
      </w:r>
      <w:r>
        <w:rPr>
          <w:rFonts w:ascii="Times New Roman;serif" w:hAnsi="Times New Roman;serif"/>
          <w:b w:val="false"/>
          <w:sz w:val="20"/>
        </w:rPr>
        <w:t>means any of the following, to the extent owned by Holdings, the Borrower or any Restricted Subsidiary:</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dollars, euro, pounds, Australian dollars, Swiss Francs, Canadian dollars, Yuan or such other currencies held by it from time to time in the ordinary course of business;</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pPr>
      <w:r>
        <w:rPr>
          <w:rFonts w:ascii="Times New Roman;serif" w:hAnsi="Times New Roman;serif"/>
          <w:b w:val="false"/>
          <w:sz w:val="20"/>
        </w:rPr>
        <w:t xml:space="preserve">readily marketable obligations issued or directly and fully guaranteed or insured by the government or any agency or instrumentality of (i) the United States or (ii) any member nation of the European Union rated A-2 (or the equivalent thereof) or better by S&amp;P or P-2 (or the equivalent thereof) or better by Moody’s, having average maturities of not more than 24 months from the date of acquisition thereof;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full faith and credit of the United States or such member nation of the European Union is pledged in support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pPr>
      <w:r>
        <w:rPr>
          <w:rFonts w:ascii="Times New Roman;serif" w:hAnsi="Times New Roman;serif"/>
          <w:b w:val="false"/>
          <w:sz w:val="20"/>
        </w:rPr>
        <w:t>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clause (i) or (ii) above being an “</w:t>
      </w:r>
      <w:r>
        <w:rPr>
          <w:rFonts w:ascii="Times New Roman;serif" w:hAnsi="Times New Roman;serif"/>
          <w:b w:val="false"/>
          <w:sz w:val="20"/>
          <w:u w:val="single"/>
        </w:rPr>
        <w:t>Approved Bank</w:t>
      </w:r>
      <w:r>
        <w:rPr/>
        <w:t>”</w:t>
      </w:r>
      <w:r>
        <w:rPr>
          <w:rFonts w:ascii="Times New Roman;serif" w:hAnsi="Times New Roman;serif"/>
          <w:b w:val="false"/>
          <w:sz w:val="20"/>
        </w:rPr>
        <w:t>), in each case with average maturities of not more than 12 months from the date of acquisition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repurchase agreements entered into by any Person with an Approved Bank, a bank or trust company (including any of the Lenders) or recognized securities dealer, in each case, having capital and surplus in excess of (i) $250,000,000 in the case of U.S. banks and (ii) $100,000,000 (or the Dollar Equivalent as of the date of determination) in the case of non-U.S. banks, in each case, for direct obligations issued by or fully guaranteed or insured by the government or any agency or instrumentality of (i) the United States or (ii) any member nation of the European Union rated A-2 (or the equivalent thereof) or better by S&amp;P and P-2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(h)</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investments with average maturities of 24 months or less from the date of acquisition in mutual funds rated A (or the equivalent thereof) or better by S&amp;P or A2 (or the equivalent thereof) or better by Moody’s;</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instruments equivalent to those referred to in clauses (a) through (h)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240" w:after="0"/>
        <w:jc w:val="both"/>
        <w:rPr>
          <w:rFonts w:ascii="Times New Roman" w:hAnsi="Times New Roman"/>
          <w:b w:val="false"/>
          <w:sz w:val="20"/>
        </w:rPr>
      </w:pPr>
      <w:r>
        <w:rPr>
          <w:rFonts w:ascii="Times New Roman" w:hAnsi="Times New Roman"/>
          <w:b w:val="false"/>
          <w:sz w:val="20"/>
        </w:rPr>
        <w:t>(j)</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pStyle w:val="TextBody"/>
        <w:bidi w:val="0"/>
        <w:spacing w:before="240" w:after="0"/>
        <w:jc w:val="both"/>
        <w:rPr>
          <w:rFonts w:ascii="Times New Roman" w:hAnsi="Times New Roman"/>
          <w:b w:val="false"/>
          <w:sz w:val="20"/>
        </w:rPr>
      </w:pPr>
      <w:r>
        <w:rPr>
          <w:rFonts w:ascii="Times New Roman" w:hAnsi="Times New Roman"/>
          <w:b w:val="false"/>
          <w:sz w:val="20"/>
        </w:rPr>
        <w:t>(k)</w:t>
      </w:r>
    </w:p>
    <w:p>
      <w:pPr>
        <w:pStyle w:val="TextBody"/>
        <w:bidi w:val="0"/>
        <w:spacing w:before="240" w:after="0"/>
        <w:jc w:val="both"/>
        <w:rPr/>
      </w:pPr>
      <w:r>
        <w:rPr>
          <w:rFonts w:ascii="Times New Roman;serif" w:hAnsi="Times New Roman;serif"/>
          <w:b w:val="false"/>
          <w:sz w:val="20"/>
        </w:rPr>
        <w:t xml:space="preserve">with respect to any Foreign Subsidiary: (i) obligations of the national government of the country in which such Foreign Subsidiary is organized or maintains its chief executive office and principal place of business,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such country is India, China, Australia, a member nation of the European Union whose legal tender is the British Pound Sterling or the euro or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is organized or doing business, </w:t>
      </w:r>
      <w:r>
        <w:rPr>
          <w:rFonts w:ascii="Times New Roman;serif" w:hAnsi="Times New Roman;serif"/>
          <w:b w:val="false"/>
          <w:sz w:val="20"/>
          <w:u w:val="single"/>
        </w:rPr>
        <w:t>provided</w:t>
      </w:r>
      <w:r>
        <w:rPr/>
        <w:t xml:space="preserve"> </w:t>
      </w:r>
      <w:r>
        <w:rPr>
          <w:rFonts w:ascii="Times New Roman;serif" w:hAnsi="Times New Roman;serif"/>
          <w:b w:val="false"/>
          <w:sz w:val="20"/>
        </w:rPr>
        <w:t>such country is India, China, Australia, a member state of the European Union or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serif" w:hAnsi="Times New Roman;serif"/>
          <w:b w:val="false"/>
          <w:sz w:val="20"/>
          <w:u w:val="single"/>
        </w:rPr>
        <w:t>Approved Foreign Bank</w:t>
      </w:r>
      <w:r>
        <w:rPr/>
        <w:t>”</w:t>
      </w:r>
      <w:r>
        <w:rPr>
          <w:rFonts w:ascii="Times New Roman;serif" w:hAnsi="Times New Roman;serif"/>
          <w:b w:val="false"/>
          <w:sz w:val="20"/>
        </w:rPr>
        <w:t>), and in each case with maturities of not more than 24 months from the date of acquisition and (iii) the equivalent of demand deposit accounts which are maintained with an Approved Foreign Bank; and</w:t>
      </w:r>
    </w:p>
    <w:p>
      <w:pPr>
        <w:pStyle w:val="TextBody"/>
        <w:bidi w:val="0"/>
        <w:spacing w:before="240" w:after="0"/>
        <w:jc w:val="both"/>
        <w:rPr>
          <w:rFonts w:ascii="Times New Roman" w:hAnsi="Times New Roman"/>
          <w:b w:val="false"/>
          <w:sz w:val="20"/>
        </w:rPr>
      </w:pPr>
      <w:r>
        <w:rPr>
          <w:rFonts w:ascii="Times New Roman" w:hAnsi="Times New Roman"/>
          <w:b w:val="false"/>
          <w:sz w:val="20"/>
        </w:rPr>
        <w:t>(l)</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investment funds investing at least 90% of their assets in securities of the types described in clauses (a) through (k) above.</w:t>
      </w:r>
    </w:p>
    <w:p>
      <w:pPr>
        <w:pStyle w:val="TextBody"/>
        <w:bidi w:val="0"/>
        <w:spacing w:before="240" w:after="0"/>
        <w:jc w:val="both"/>
        <w:rPr/>
      </w:pPr>
      <w:r>
        <w:rPr/>
        <w:t>“</w:t>
      </w:r>
      <w:r>
        <w:rPr>
          <w:rFonts w:ascii="Times New Roman;serif" w:hAnsi="Times New Roman;serif"/>
          <w:b w:val="false"/>
          <w:sz w:val="20"/>
          <w:u w:val="single"/>
        </w:rPr>
        <w:t>Permitted Receivables Financing</w:t>
      </w:r>
      <w:r>
        <w:rPr>
          <w:rFonts w:ascii="Times New Roman" w:hAnsi="Times New Roman"/>
          <w:sz w:val="20"/>
        </w:rPr>
        <w:t xml:space="preserve">” </w:t>
      </w:r>
      <w:r>
        <w:rPr>
          <w:rFonts w:ascii="Times New Roman;serif" w:hAnsi="Times New Roman;serif"/>
          <w:b w:val="false"/>
          <w:sz w:val="20"/>
        </w:rPr>
        <w:t xml:space="preserve">means receivables securitizations or other receivables financings (including any factoring program) that are non-recourse to Holdings, the Borrower and the Restricted Subsidiaries (except for (a) recourse to any Foreign Subsidiaries that own the assets underlying such financing (or have sold such assets in connection with such financing), (b) any customary limited recourse or, to the extent applicable only to Foreign Subsidiaries, recourse that is customary in the relevant local market, (c) any performance undertaking or to the extent applicable only to Foreign Subsidiaries, any Guarantee that is customary in the relevant local market and (d) any unsecured parent Guarantee by Holdings, the Borrower or any Restricted Subsidiary that is a parent company of the relevant Restricted Subsidiary that is party thereto and, in each case, reasonable extensions thereof);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with respect to Permitted Receivables Financings incurred in the form of a factoring program, the outstanding amount of such Permitted Receivables Financing for the purposes of this definition shall be deemed to be equal to the Permitted Receivables Net Investment for the last Test Period.</w:t>
      </w:r>
    </w:p>
    <w:p>
      <w:pPr>
        <w:pStyle w:val="TextBody"/>
        <w:bidi w:val="0"/>
        <w:spacing w:before="240" w:after="0"/>
        <w:jc w:val="both"/>
        <w:rPr/>
      </w:pPr>
      <w:r>
        <w:rPr/>
        <w:t>“</w:t>
      </w:r>
      <w:r>
        <w:rPr>
          <w:rFonts w:ascii="Times New Roman;serif" w:hAnsi="Times New Roman;serif"/>
          <w:b w:val="false"/>
          <w:sz w:val="20"/>
          <w:u w:val="single"/>
        </w:rPr>
        <w:t>Permitted Receivables Net Investment</w:t>
      </w:r>
      <w:r>
        <w:rPr>
          <w:rFonts w:ascii="Times New Roman" w:hAnsi="Times New Roman"/>
          <w:sz w:val="20"/>
        </w:rPr>
        <w:t xml:space="preserve">” </w:t>
      </w:r>
      <w:r>
        <w:rPr>
          <w:rFonts w:ascii="Times New Roman;serif" w:hAnsi="Times New Roman;serif"/>
          <w:b w:val="false"/>
          <w:sz w:val="20"/>
        </w:rPr>
        <w:t>means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Borrower or a Restricted Subsidiary).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Permitted Refinancing</w:t>
      </w:r>
      <w:r>
        <w:rPr>
          <w:rFonts w:ascii="Times New Roman" w:hAnsi="Times New Roman"/>
          <w:sz w:val="20"/>
        </w:rPr>
        <w:t xml:space="preserve">” </w:t>
      </w:r>
      <w:r>
        <w:rPr>
          <w:rFonts w:ascii="Times New Roman;serif" w:hAnsi="Times New Roman;serif"/>
          <w:b w:val="false"/>
          <w:sz w:val="20"/>
        </w:rPr>
        <w:t xml:space="preserve">means, with respect to any Person, any modification, refinancing, refunding, renewal or extension of all or any portion of Indebtedness of such Person;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revolving commitments unutilized thereunder to the extent that the portion of any existing and unutilized revolving commitment being refinanced was permitted to be drawn under </w:t>
      </w:r>
      <w:r>
        <w:rPr>
          <w:rFonts w:ascii="Times New Roman;serif" w:hAnsi="Times New Roman;serif"/>
          <w:b w:val="false"/>
          <w:sz w:val="20"/>
          <w:u w:val="single"/>
        </w:rPr>
        <w:t>Section 6.01</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Section 6.02</w:t>
      </w:r>
      <w:r>
        <w:rPr>
          <w:rFonts w:ascii="Times New Roman" w:hAnsi="Times New Roman"/>
          <w:sz w:val="20"/>
        </w:rPr>
        <w:t xml:space="preserve"> </w:t>
      </w:r>
      <w:r>
        <w:rPr>
          <w:rFonts w:ascii="Times New Roman;serif" w:hAnsi="Times New Roman;serif"/>
          <w:b w:val="false"/>
          <w:sz w:val="20"/>
        </w:rPr>
        <w:t xml:space="preserve">of this Agreement immediately prior to such refinancing (other than by reference to a Permitted Refinancing) and such drawing shall be deemed to have been made, (b) other than with respect to a Permitted Refinancing in respect of Indebtedness permitted pursuant to clauses </w:t>
      </w:r>
      <w:r>
        <w:rPr>
          <w:rFonts w:ascii="Times New Roman;serif" w:hAnsi="Times New Roman;serif"/>
          <w:b w:val="false"/>
          <w:sz w:val="20"/>
          <w:u w:val="single"/>
        </w:rPr>
        <w:t>(ii)(A)</w:t>
      </w:r>
      <w:r>
        <w:rPr>
          <w:rFonts w:ascii="Times New Roman;serif" w:hAnsi="Times New Roman;serif"/>
          <w:b w:val="false"/>
          <w:sz w:val="20"/>
        </w:rPr>
        <w:t xml:space="preserve">, </w:t>
      </w:r>
      <w:r>
        <w:rPr>
          <w:rFonts w:ascii="Times New Roman;serif" w:hAnsi="Times New Roman;serif"/>
          <w:b w:val="false"/>
          <w:sz w:val="20"/>
          <w:u w:val="single"/>
        </w:rPr>
        <w:t>(v)</w:t>
      </w:r>
      <w:r>
        <w:rPr>
          <w:rFonts w:ascii="Times New Roman;serif" w:hAnsi="Times New Roman;serif"/>
          <w:b w:val="false"/>
          <w:sz w:val="20"/>
        </w:rPr>
        <w:t xml:space="preserve">, </w:t>
      </w:r>
      <w:r>
        <w:rPr>
          <w:rFonts w:ascii="Times New Roman;serif" w:hAnsi="Times New Roman;serif"/>
          <w:b w:val="false"/>
          <w:sz w:val="20"/>
          <w:u w:val="single"/>
        </w:rPr>
        <w:t>(vii)</w:t>
      </w:r>
      <w:r>
        <w:rPr>
          <w:rFonts w:ascii="Times New Roman;serif" w:hAnsi="Times New Roman;serif"/>
          <w:b w:val="false"/>
          <w:sz w:val="20"/>
        </w:rPr>
        <w:t xml:space="preserve">, </w:t>
      </w:r>
      <w:r>
        <w:rPr>
          <w:rFonts w:ascii="Times New Roman;serif" w:hAnsi="Times New Roman;serif"/>
          <w:b w:val="false"/>
          <w:sz w:val="20"/>
          <w:u w:val="single"/>
        </w:rPr>
        <w:t>(xix)</w:t>
      </w:r>
      <w:r>
        <w:rPr>
          <w:rFonts w:ascii="Times New Roman;serif" w:hAnsi="Times New Roman;serif"/>
          <w:b w:val="false"/>
          <w:sz w:val="20"/>
        </w:rPr>
        <w:t xml:space="preserve">, </w:t>
      </w:r>
      <w:r>
        <w:rPr>
          <w:rFonts w:ascii="Times New Roman;serif" w:hAnsi="Times New Roman;serif"/>
          <w:b w:val="false"/>
          <w:sz w:val="20"/>
          <w:u w:val="single"/>
        </w:rPr>
        <w:t>(xxvi)</w:t>
      </w:r>
      <w:r>
        <w:rPr>
          <w:rFonts w:ascii="Times New Roman;serif" w:hAnsi="Times New Roman;serif"/>
          <w:b w:val="false"/>
          <w:sz w:val="20"/>
        </w:rPr>
        <w:t xml:space="preserve">, </w:t>
      </w:r>
      <w:r>
        <w:rPr>
          <w:rFonts w:ascii="Times New Roman;serif" w:hAnsi="Times New Roman;serif"/>
          <w:b w:val="false"/>
          <w:sz w:val="20"/>
          <w:u w:val="single"/>
        </w:rPr>
        <w:t>(xxvii)</w:t>
      </w:r>
      <w:r>
        <w:rPr>
          <w:rFonts w:ascii="Times New Roman;serif" w:hAnsi="Times New Roman;serif"/>
          <w:b w:val="false"/>
          <w:sz w:val="20"/>
        </w:rPr>
        <w:t xml:space="preserve">, </w:t>
      </w:r>
      <w:r>
        <w:rPr>
          <w:rFonts w:ascii="Times New Roman;serif" w:hAnsi="Times New Roman;serif"/>
          <w:b w:val="false"/>
          <w:sz w:val="20"/>
          <w:u w:val="single"/>
        </w:rPr>
        <w:t>(xxix)</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(xxx)</w:t>
      </w:r>
      <w:r>
        <w:rPr>
          <w:rFonts w:ascii="Times New Roman" w:hAnsi="Times New Roman"/>
          <w:sz w:val="20"/>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6.01(a)</w:t>
      </w:r>
      <w:r>
        <w:rPr>
          <w:rFonts w:ascii="Times New Roman;serif" w:hAnsi="Times New Roman;serif"/>
          <w:b w:val="false"/>
          <w:sz w:val="20"/>
        </w:rPr>
        <w:t xml:space="preserve">,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(other than Customary Bridge Loans), (c) if the Indebtedness being modified, refinanced, refunded, renewed or extended is subordinated in right of payment to the Loan Document Obligations, Indebtedness resulting from such modification, refinancing, refunding, renewal or extension is subordinated in right of payment to the Loan Document Obligations on terms at least as favorable to the Lenders as those contained in the documentation governing the Indebtedness being modified, refinanced, refunded, renewed or extended, (d) if the Indebtedness being modified, refinanced, refunded, renewed or extended is permitted pursuant to </w:t>
      </w:r>
      <w:r>
        <w:rPr>
          <w:rFonts w:ascii="Times New Roman;serif" w:hAnsi="Times New Roman;serif"/>
          <w:b w:val="false"/>
          <w:sz w:val="20"/>
          <w:u w:val="single"/>
        </w:rPr>
        <w:t>Section 6.01(a)(ii)(C)</w:t>
      </w:r>
      <w:r>
        <w:rPr>
          <w:rFonts w:ascii="Times New Roman;serif" w:hAnsi="Times New Roman;serif"/>
          <w:b w:val="false"/>
          <w:sz w:val="20"/>
        </w:rPr>
        <w:t xml:space="preserve">, </w:t>
      </w:r>
      <w:r>
        <w:rPr>
          <w:rFonts w:ascii="Times New Roman;serif" w:hAnsi="Times New Roman;serif"/>
          <w:b w:val="false"/>
          <w:sz w:val="20"/>
          <w:u w:val="single"/>
        </w:rPr>
        <w:t>(xxi)</w:t>
      </w:r>
      <w:r>
        <w:rPr>
          <w:rFonts w:ascii="Times New Roman;serif" w:hAnsi="Times New Roman;serif"/>
          <w:b w:val="false"/>
          <w:sz w:val="20"/>
        </w:rPr>
        <w:t xml:space="preserve">, </w:t>
      </w:r>
      <w:r>
        <w:rPr>
          <w:rFonts w:ascii="Times New Roman;serif" w:hAnsi="Times New Roman;serif"/>
          <w:b w:val="false"/>
          <w:sz w:val="20"/>
          <w:u w:val="single"/>
        </w:rPr>
        <w:t>(xxii)</w:t>
      </w:r>
      <w:r>
        <w:rPr>
          <w:rFonts w:ascii="Times New Roman;serif" w:hAnsi="Times New Roman;serif"/>
          <w:b w:val="false"/>
          <w:sz w:val="20"/>
        </w:rPr>
        <w:t xml:space="preserve">, </w:t>
      </w:r>
      <w:r>
        <w:rPr>
          <w:rFonts w:ascii="Times New Roman;serif" w:hAnsi="Times New Roman;serif"/>
          <w:b w:val="false"/>
          <w:sz w:val="20"/>
          <w:u w:val="single"/>
        </w:rPr>
        <w:t>(xxiii)</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(xxviii)</w:t>
      </w:r>
      <w:r>
        <w:rPr>
          <w:rFonts w:ascii="Times New Roman;serif" w:hAnsi="Times New Roman;serif"/>
          <w:b w:val="false"/>
          <w:sz w:val="20"/>
        </w:rPr>
        <w:t xml:space="preserve">, (i) the terms and conditions (excluding as to subordination, interest rate (including whether such interest is payable in cash or in kind), rate floors, fees, discounts and premiums) of Indebtedness resulting from such modification, refinancing, refunding, renewal or extension, taken as a whole, are not materially more favorable to the investors providing such Indebtedness than the terms and conditions of the Indebtedness being modified, refinanced, refunded, renewed or extended (except for covenants or other provisions applicable to periods after the Latest Maturity Date at the time such Indebtedness is incurred) (it being understood that, to the extent that any financial maintenance covenant or any other covenant is added for the benefit of any such Permitted Refinancing, the terms shall not be considered materially more favorable if such financial maintenance covenant or other covenant is either (A) also added for the benefit of any corresponding Loans remaining outstanding after the issuance or incurrence of such Permitted Refinancing or (B) only applicable after the Latest Maturity Date at the time of such refinancing);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 certificate of a Responsible Officer delivered to the Administrative Agent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(e) if the Indebtedness being modified, refinanced, refunded, renewed or extended is permitted pursuant to </w:t>
      </w:r>
      <w:r>
        <w:rPr>
          <w:rFonts w:ascii="Times New Roman;serif" w:hAnsi="Times New Roman;serif"/>
          <w:b w:val="false"/>
          <w:sz w:val="20"/>
          <w:u w:val="single"/>
        </w:rPr>
        <w:t>Section 6.01(a)(xix)</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(xxvi)</w:t>
      </w:r>
      <w:r>
        <w:rPr>
          <w:rFonts w:ascii="Times New Roman;serif" w:hAnsi="Times New Roman;serif"/>
          <w:b w:val="false"/>
          <w:sz w:val="20"/>
        </w:rPr>
        <w:t xml:space="preserve">, (i) the Indebtedness resulting from such modification, refinancing, refunding, renewal or extension shall be on market terms at the time of issuance;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no financial maintenance covenant or any other covenant shall be added for the benefit of any such Permitted Refinancing unless such financial maintenance covenant or other covenant is either (A) also added for the benefit of any Loans remaining outstanding after the issuance or incurrence of such Permitted Refinancing or (B) only applicable after the Latest Maturity Date at the time of such refinancing)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For the avoidance of doubt, it is understood that a Permitted Refinancing may constitute a portion of an issuance of Indebtedness in excess of the amount of such Permitted Refinancing;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such excess amount is otherwise permitted to be incurred under </w:t>
      </w:r>
      <w:r>
        <w:rPr>
          <w:rFonts w:ascii="Times New Roman;serif" w:hAnsi="Times New Roman;serif"/>
          <w:b w:val="false"/>
          <w:sz w:val="20"/>
          <w:u w:val="single"/>
        </w:rPr>
        <w:t>Section 6.01</w:t>
      </w:r>
      <w:r>
        <w:rPr>
          <w:rFonts w:ascii="Times New Roman;serif" w:hAnsi="Times New Roman;serif"/>
          <w:b w:val="false"/>
          <w:sz w:val="20"/>
        </w:rPr>
        <w:t>. For the avoidance of doubt, it is understood and agreed that a Permitted Refinancing includes successive Permitted Refinancings of the same Indebtedness.</w:t>
      </w:r>
    </w:p>
    <w:p>
      <w:pPr>
        <w:pStyle w:val="TextBody"/>
        <w:bidi w:val="0"/>
        <w:spacing w:before="240" w:after="0"/>
        <w:jc w:val="both"/>
        <w:rPr/>
      </w:pPr>
      <w:r>
        <w:rPr/>
        <w:t>“</w:t>
      </w:r>
      <w:r>
        <w:rPr>
          <w:rFonts w:ascii="Times New Roman;serif" w:hAnsi="Times New Roman;serif"/>
          <w:b w:val="false"/>
          <w:sz w:val="20"/>
          <w:u w:val="single"/>
        </w:rPr>
        <w:t>Permitted Second Priority Refinancing Debt</w:t>
      </w:r>
      <w:r>
        <w:rPr>
          <w:rFonts w:ascii="Times New Roman" w:hAnsi="Times New Roman"/>
          <w:sz w:val="20"/>
        </w:rPr>
        <w:t xml:space="preserve">” </w:t>
      </w:r>
      <w:r>
        <w:rPr>
          <w:rFonts w:ascii="Times New Roman;serif" w:hAnsi="Times New Roman;serif"/>
          <w:b w:val="false"/>
          <w:sz w:val="20"/>
        </w:rPr>
        <w:t>means any secured Indebtedness incurred by Holdings, the Borrower or any Loan Party in the form of one or more series of junior lien secured notes or junior lien secured loans;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 such Indebtedness is secured by a Lien on the Collateral ranking junior in priority to the Lien on the Collateral securing the Secured Obligations and is not secured by any property or assets of the Borrower or any Subsidiary other than the Collateral, (ii) such Indebtedness constitutes Credit Agreement Refinancing Indebtedness in respect of Loans (including portions of Classes of Loans or Other Loans), (iii) such Indebtedness (other than Customary Bridge Loans) does not have mandatory redemption features (other than Customary Exceptions) that could result in redemptions of such Indebtedness prior to the maturity of the Refinanced Debt and (iv) a Senior Representative acting on behalf of the holders of such Indebtedness shall have become party to the First Lien/Second Lien Intercreditor Agreement. Permitted Second Priority Refinancing Debt will include any Registered Equivalent Notes issued in exchange therefor.</w:t>
      </w:r>
    </w:p>
    <w:p>
      <w:pPr>
        <w:pStyle w:val="TextBody"/>
        <w:bidi w:val="0"/>
        <w:spacing w:before="240" w:after="0"/>
        <w:jc w:val="both"/>
        <w:rPr/>
      </w:pPr>
      <w:r>
        <w:rPr/>
        <w:t>“</w:t>
      </w:r>
      <w:r>
        <w:rPr>
          <w:rFonts w:ascii="Times New Roman;serif" w:hAnsi="Times New Roman;serif"/>
          <w:b w:val="false"/>
          <w:sz w:val="20"/>
          <w:u w:val="single"/>
        </w:rPr>
        <w:t>Permitted Transferees</w:t>
      </w:r>
      <w:r>
        <w:rPr>
          <w:rFonts w:ascii="Times New Roman" w:hAnsi="Times New Roman"/>
          <w:sz w:val="20"/>
        </w:rPr>
        <w:t xml:space="preserve">” </w:t>
      </w:r>
      <w:r>
        <w:rPr>
          <w:rFonts w:ascii="Times New Roman;serif" w:hAnsi="Times New Roman;serif"/>
          <w:b w:val="false"/>
          <w:sz w:val="20"/>
        </w:rPr>
        <w:t>means,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legatees, executors and/or administrators upon the death of such Person and any other Person who was an Affiliate of such Person upon the death of such Person and who, upon such death, directly or indirectly owned Equity Interests in Holdings or any other IPO Entity.</w:t>
      </w:r>
    </w:p>
    <w:p>
      <w:pPr>
        <w:pStyle w:val="TextBody"/>
        <w:bidi w:val="0"/>
        <w:spacing w:before="240" w:after="0"/>
        <w:jc w:val="both"/>
        <w:rPr/>
      </w:pPr>
      <w:r>
        <w:rPr/>
        <w:t>“</w:t>
      </w:r>
      <w:r>
        <w:rPr>
          <w:rFonts w:ascii="Times New Roman;serif" w:hAnsi="Times New Roman;serif"/>
          <w:b w:val="false"/>
          <w:sz w:val="20"/>
          <w:u w:val="single"/>
        </w:rPr>
        <w:t>Permitted Unsecured Refinancing Debt</w:t>
      </w:r>
      <w:r>
        <w:rPr>
          <w:rFonts w:ascii="Times New Roman" w:hAnsi="Times New Roman"/>
          <w:sz w:val="20"/>
        </w:rPr>
        <w:t xml:space="preserve">” </w:t>
      </w:r>
      <w:r>
        <w:rPr>
          <w:rFonts w:ascii="Times New Roman;serif" w:hAnsi="Times New Roman;serif"/>
          <w:b w:val="false"/>
          <w:sz w:val="20"/>
        </w:rPr>
        <w:t xml:space="preserve">means unsecured Indebtedness incurred by Holdings, the Borrower or any Loan Party in the form of one or more series of senior unsecured notes or loans;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 such Indebtedness constitutes Credit Agreement Refinancing Indebtedness in respect of Loans (including portions of Classes of Loans or Other Loans), (ii) such Indebtedness (other than Customary Bridge Loans) does not have mandatory redemption features (other than Customary Exceptions) that could result in redemptions of such Indebtedness prior to the maturity of the Refinanced Debt and (iii) such Indebtedness is not secured by any Lien on any property or assets of Holdings, the Borrower or any Restricted Subsidiary. Permitted Unsecured Refinancing Debt will include any Registered Equivalent Notes issued in exchange therefor.</w:t>
      </w:r>
    </w:p>
    <w:p>
      <w:pPr>
        <w:pStyle w:val="TextBody"/>
        <w:bidi w:val="0"/>
        <w:spacing w:before="240" w:after="0"/>
        <w:jc w:val="both"/>
        <w:rPr/>
      </w:pPr>
      <w:r>
        <w:rPr/>
        <w:t>“</w:t>
      </w:r>
      <w:r>
        <w:rPr>
          <w:rFonts w:ascii="Times New Roman;serif" w:hAnsi="Times New Roman;serif"/>
          <w:b w:val="false"/>
          <w:sz w:val="20"/>
          <w:u w:val="single"/>
        </w:rPr>
        <w:t>Person</w:t>
      </w:r>
      <w:r>
        <w:rPr>
          <w:rFonts w:ascii="Times New Roman" w:hAnsi="Times New Roman"/>
          <w:sz w:val="20"/>
        </w:rPr>
        <w:t xml:space="preserve">” </w:t>
      </w:r>
      <w:r>
        <w:rPr>
          <w:rFonts w:ascii="Times New Roman;serif" w:hAnsi="Times New Roman;serif"/>
          <w:b w:val="false"/>
          <w:sz w:val="20"/>
        </w:rPr>
        <w:t>means any natural person, corporation, limited liability company, trust, joint venture, association, company, partnership, Governmental Authority or other entity.</w:t>
      </w:r>
    </w:p>
    <w:p>
      <w:pPr>
        <w:pStyle w:val="TextBody"/>
        <w:bidi w:val="0"/>
        <w:spacing w:before="240" w:after="0"/>
        <w:jc w:val="both"/>
        <w:rPr/>
      </w:pPr>
      <w:r>
        <w:rPr/>
        <w:t>“</w:t>
      </w:r>
      <w:r>
        <w:rPr>
          <w:rFonts w:ascii="Times New Roman;serif" w:hAnsi="Times New Roman;serif"/>
          <w:b w:val="false"/>
          <w:sz w:val="20"/>
          <w:u w:val="single"/>
        </w:rPr>
        <w:t>Plan</w:t>
      </w:r>
      <w:r>
        <w:rPr>
          <w:rFonts w:ascii="Times New Roman" w:hAnsi="Times New Roman"/>
          <w:sz w:val="20"/>
        </w:rPr>
        <w:t xml:space="preserve">” </w:t>
      </w:r>
      <w:r>
        <w:rPr>
          <w:rFonts w:ascii="Times New Roman;serif" w:hAnsi="Times New Roman;serif"/>
          <w:b w:val="false"/>
          <w:sz w:val="20"/>
        </w:rPr>
        <w:t>means any “employee pension benefit plan” as defined in Section 3(2) of ERISA (other than a Multiemployer Plan) that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pStyle w:val="TextBody"/>
        <w:bidi w:val="0"/>
        <w:spacing w:before="240" w:after="0"/>
        <w:jc w:val="both"/>
        <w:rPr/>
      </w:pPr>
      <w:r>
        <w:rPr/>
        <w:t>“</w:t>
      </w:r>
      <w:r>
        <w:rPr>
          <w:rFonts w:ascii="Times New Roman;serif" w:hAnsi="Times New Roman;serif"/>
          <w:b w:val="false"/>
          <w:sz w:val="20"/>
          <w:u w:val="single"/>
        </w:rPr>
        <w:t>Planned Expenditures</w:t>
      </w:r>
      <w:r>
        <w:rPr>
          <w:rFonts w:ascii="Times New Roman" w:hAnsi="Times New Roman"/>
          <w:sz w:val="20"/>
        </w:rPr>
        <w:t xml:space="preserve">” </w:t>
      </w:r>
      <w:r>
        <w:rPr>
          <w:rFonts w:ascii="Times New Roman;serif" w:hAnsi="Times New Roman;serif"/>
          <w:b w:val="false"/>
          <w:sz w:val="20"/>
        </w:rPr>
        <w:t>has the meaning assigned to such term in clause (b) of the definition of the term “ECF Deductions”.</w:t>
      </w:r>
    </w:p>
    <w:p>
      <w:pPr>
        <w:pStyle w:val="TextBody"/>
        <w:bidi w:val="0"/>
        <w:spacing w:before="240" w:after="0"/>
        <w:jc w:val="left"/>
        <w:rPr/>
      </w:pPr>
      <w:r>
        <w:rPr/>
        <w:t>“</w:t>
      </w:r>
      <w:r>
        <w:rPr>
          <w:rFonts w:ascii="Times New Roman;serif" w:hAnsi="Times New Roman;serif"/>
          <w:b w:val="false"/>
          <w:sz w:val="20"/>
          <w:u w:val="single"/>
        </w:rPr>
        <w:t>Platform</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5.01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Post-Transaction Period</w:t>
      </w:r>
      <w:r>
        <w:rPr>
          <w:rFonts w:ascii="Times New Roman" w:hAnsi="Times New Roman"/>
          <w:sz w:val="20"/>
        </w:rPr>
        <w:t xml:space="preserve">” </w:t>
      </w:r>
      <w:r>
        <w:rPr>
          <w:rFonts w:ascii="Times New Roman;serif" w:hAnsi="Times New Roman;serif"/>
          <w:b w:val="false"/>
          <w:sz w:val="20"/>
        </w:rPr>
        <w:t>means, with respect to any Specified Transaction, the period beginning on the date on which such Specified Transaction is consummated and ending on the last day of the eighth full consecutive fiscal quarter of the Borrower immediately following the date on which such Specified Transaction is consummated.</w:t>
      </w:r>
    </w:p>
    <w:p>
      <w:pPr>
        <w:pStyle w:val="TextBody"/>
        <w:bidi w:val="0"/>
        <w:spacing w:before="240" w:after="0"/>
        <w:jc w:val="left"/>
        <w:rPr/>
      </w:pPr>
      <w:r>
        <w:rPr/>
        <w:t>“</w:t>
      </w:r>
      <w:r>
        <w:rPr>
          <w:rFonts w:ascii="Times New Roman;serif" w:hAnsi="Times New Roman;serif"/>
          <w:b w:val="false"/>
          <w:sz w:val="20"/>
          <w:u w:val="single"/>
        </w:rPr>
        <w:t>Prepayment Event</w:t>
      </w:r>
      <w:r>
        <w:rPr>
          <w:rFonts w:ascii="Times New Roman" w:hAnsi="Times New Roman"/>
          <w:sz w:val="20"/>
        </w:rPr>
        <w:t xml:space="preserve">” </w:t>
      </w:r>
      <w:r>
        <w:rPr>
          <w:rFonts w:ascii="Times New Roman;serif" w:hAnsi="Times New Roman;serif"/>
          <w:b w:val="false"/>
          <w:sz w:val="20"/>
        </w:rPr>
        <w:t>means:</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pPr>
      <w:r>
        <w:rPr>
          <w:rFonts w:ascii="Times New Roman;serif" w:hAnsi="Times New Roman;serif"/>
          <w:b w:val="false"/>
          <w:sz w:val="20"/>
        </w:rPr>
        <w:t xml:space="preserve">any sale, transfer or other Disposition pursuant to </w:t>
      </w:r>
      <w:r>
        <w:rPr>
          <w:rFonts w:ascii="Times New Roman;serif" w:hAnsi="Times New Roman;serif"/>
          <w:b w:val="false"/>
          <w:sz w:val="20"/>
          <w:u w:val="single"/>
        </w:rPr>
        <w:t>Section 6.05(k)</w:t>
      </w:r>
      <w:r>
        <w:rPr/>
        <w:t xml:space="preserve"> </w:t>
      </w:r>
      <w:r>
        <w:rPr>
          <w:rFonts w:ascii="Times New Roman;serif" w:hAnsi="Times New Roman;serif"/>
          <w:b w:val="false"/>
          <w:sz w:val="20"/>
        </w:rPr>
        <w:t>of any property or asset of Holdings, the Borrower or any of the Restricted Subsidiaries (other than Dispositions resulting in aggregate Net Proceeds not exceeding $15,000,000 in the case of any single transaction or series of related transactions) (each such event, an “</w:t>
      </w:r>
      <w:r>
        <w:rPr>
          <w:rFonts w:ascii="Times New Roman;serif" w:hAnsi="Times New Roman;serif"/>
          <w:b w:val="false"/>
          <w:sz w:val="20"/>
          <w:u w:val="single"/>
        </w:rPr>
        <w:t>Asset Sale Prepayment Event</w:t>
      </w:r>
      <w:r>
        <w:rPr/>
        <w:t>”</w:t>
      </w:r>
      <w:r>
        <w:rPr>
          <w:rFonts w:ascii="Times New Roman;serif" w:hAnsi="Times New Roman;serif"/>
          <w:b w:val="false"/>
          <w:sz w:val="20"/>
        </w:rPr>
        <w:t>); or</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pPr>
      <w:r>
        <w:rPr>
          <w:rFonts w:ascii="Times New Roman;serif" w:hAnsi="Times New Roman;serif"/>
          <w:b w:val="false"/>
          <w:sz w:val="20"/>
        </w:rPr>
        <w:t xml:space="preserve">the incurrence by Holdings, the Borrower or any of the Restricted Subsidiaries of any Indebtedness, other than Indebtedness permitted under </w:t>
      </w:r>
      <w:r>
        <w:rPr>
          <w:rFonts w:ascii="Times New Roman;serif" w:hAnsi="Times New Roman;serif"/>
          <w:b w:val="false"/>
          <w:sz w:val="20"/>
          <w:u w:val="single"/>
        </w:rPr>
        <w:t>Section 6.01</w:t>
      </w:r>
      <w:r>
        <w:rPr/>
        <w:t xml:space="preserve"> </w:t>
      </w:r>
      <w:r>
        <w:rPr>
          <w:rFonts w:ascii="Times New Roman;serif" w:hAnsi="Times New Roman;serif"/>
          <w:b w:val="false"/>
          <w:sz w:val="20"/>
        </w:rPr>
        <w:t xml:space="preserve">(other than Permitted Unsecured Refinancing Debt, Permitted First Priority Refinancing Debt, Permitted Second Priority Refinancing Debt and Other Term Loans resulting from a Refinancing Amendment) or permitted by the Required Lenders pursuant to </w:t>
      </w:r>
      <w:r>
        <w:rPr>
          <w:rFonts w:ascii="Times New Roman;serif" w:hAnsi="Times New Roman;serif"/>
          <w:b w:val="false"/>
          <w:sz w:val="20"/>
          <w:u w:val="single"/>
        </w:rPr>
        <w:t>Section 9.02</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Present Fair Saleable Value</w:t>
      </w:r>
      <w:r>
        <w:rPr>
          <w:rFonts w:ascii="Times New Roman" w:hAnsi="Times New Roman"/>
          <w:sz w:val="20"/>
        </w:rPr>
        <w:t xml:space="preserve">” </w:t>
      </w:r>
      <w:r>
        <w:rPr>
          <w:rFonts w:ascii="Times New Roman;serif" w:hAnsi="Times New Roman;serif"/>
          <w:b w:val="false"/>
          <w:sz w:val="20"/>
        </w:rPr>
        <w:t>means the amount that could be obtained by an independent willing seller from an independent willing buyer if the assets of the Borrower and its Subsidiaries taken as a whole are sold with reasonable promptness in an arm’s-length transaction under present conditions for the sale of comparable business enterprises insofar as such conditions can be reasonably evaluated.</w:t>
      </w:r>
    </w:p>
    <w:p>
      <w:pPr>
        <w:pStyle w:val="TextBody"/>
        <w:bidi w:val="0"/>
        <w:spacing w:before="240" w:after="0"/>
        <w:jc w:val="left"/>
        <w:rPr/>
      </w:pPr>
      <w:r>
        <w:rPr/>
        <w:t>“</w:t>
      </w:r>
      <w:r>
        <w:rPr>
          <w:rFonts w:ascii="Times New Roman;serif" w:hAnsi="Times New Roman;serif"/>
          <w:b w:val="false"/>
          <w:sz w:val="20"/>
          <w:u w:val="single"/>
        </w:rPr>
        <w:t>primary obligor</w:t>
      </w:r>
      <w:r>
        <w:rPr>
          <w:rFonts w:ascii="Times New Roman" w:hAnsi="Times New Roman"/>
          <w:sz w:val="20"/>
        </w:rPr>
        <w:t xml:space="preserve">” </w:t>
      </w:r>
      <w:r>
        <w:rPr>
          <w:rFonts w:ascii="Times New Roman;serif" w:hAnsi="Times New Roman;serif"/>
          <w:b w:val="false"/>
          <w:sz w:val="20"/>
        </w:rPr>
        <w:t>has the meaning assigned to such term in the definition of “Guarantee.”</w:t>
      </w:r>
    </w:p>
    <w:p>
      <w:pPr>
        <w:pStyle w:val="TextBody"/>
        <w:bidi w:val="0"/>
        <w:spacing w:before="240" w:after="0"/>
        <w:jc w:val="both"/>
        <w:rPr/>
      </w:pPr>
      <w:r>
        <w:rPr/>
        <w:t>“</w:t>
      </w:r>
      <w:r>
        <w:rPr>
          <w:rFonts w:ascii="Times New Roman;serif" w:hAnsi="Times New Roman;serif"/>
          <w:b w:val="false"/>
          <w:sz w:val="20"/>
          <w:u w:val="single"/>
        </w:rPr>
        <w:t>Prime Rate</w:t>
      </w:r>
      <w:r>
        <w:rPr>
          <w:rFonts w:ascii="Times New Roman" w:hAnsi="Times New Roman"/>
          <w:sz w:val="20"/>
        </w:rPr>
        <w:t xml:space="preserve">” </w:t>
      </w:r>
      <w:r>
        <w:rPr>
          <w:rFonts w:ascii="Times New Roman;serif" w:hAnsi="Times New Roman;serif"/>
          <w:b w:val="false"/>
          <w:sz w:val="20"/>
        </w:rPr>
        <w:t>means the rate of interest per annum publicly announced from time to time by the Administrative Agent as its “prime rate”; each change in the Prime Rate shall be effective from and including the date such change is publicly announced as being effective.</w:t>
      </w:r>
    </w:p>
    <w:p>
      <w:pPr>
        <w:pStyle w:val="TextBody"/>
        <w:bidi w:val="0"/>
        <w:spacing w:before="240" w:after="0"/>
        <w:jc w:val="both"/>
        <w:rPr/>
      </w:pPr>
      <w:r>
        <w:rPr/>
        <w:t>“</w:t>
      </w:r>
      <w:r>
        <w:rPr>
          <w:rFonts w:ascii="Times New Roman;serif" w:hAnsi="Times New Roman;serif"/>
          <w:b w:val="false"/>
          <w:sz w:val="20"/>
          <w:u w:val="single"/>
        </w:rPr>
        <w:t>Pro Forma Adjustment</w:t>
      </w:r>
      <w:r>
        <w:rPr>
          <w:rFonts w:ascii="Times New Roman" w:hAnsi="Times New Roman"/>
          <w:sz w:val="20"/>
        </w:rPr>
        <w:t xml:space="preserve">” </w:t>
      </w:r>
      <w:r>
        <w:rPr>
          <w:rFonts w:ascii="Times New Roman;serif" w:hAnsi="Times New Roman;serif"/>
          <w:b w:val="false"/>
          <w:sz w:val="20"/>
        </w:rPr>
        <w:t>means, for any Test Period, any adjustment to Consolidated EBITDA made in accordance with clause (b) of the definition of that term.</w:t>
      </w:r>
    </w:p>
    <w:p>
      <w:pPr>
        <w:pStyle w:val="TextBody"/>
        <w:bidi w:val="0"/>
        <w:spacing w:before="240" w:after="0"/>
        <w:jc w:val="both"/>
        <w:rPr/>
      </w:pPr>
      <w:r>
        <w:rPr/>
        <w:t>“</w:t>
      </w:r>
      <w:r>
        <w:rPr>
          <w:rFonts w:ascii="Times New Roman;serif" w:hAnsi="Times New Roman;serif"/>
          <w:b w:val="false"/>
          <w:sz w:val="20"/>
          <w:u w:val="single"/>
        </w:rPr>
        <w:t>Pro Forma Basis</w:t>
      </w:r>
      <w:r>
        <w:rPr>
          <w:rFonts w:ascii="Times New Roman;serif" w:hAnsi="Times New Roman;serif"/>
          <w:b w:val="false"/>
          <w:sz w:val="20"/>
        </w:rPr>
        <w:t>,” “</w:t>
      </w:r>
      <w:r>
        <w:rPr>
          <w:rFonts w:ascii="Times New Roman;serif" w:hAnsi="Times New Roman;serif"/>
          <w:b w:val="false"/>
          <w:sz w:val="20"/>
          <w:u w:val="single"/>
        </w:rPr>
        <w:t>Pro Forma Compliance</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sz w:val="20"/>
          <w:u w:val="single"/>
        </w:rPr>
        <w:t>Pro Forma Effect</w:t>
      </w:r>
      <w:r>
        <w:rPr>
          <w:rFonts w:ascii="Times New Roman" w:hAnsi="Times New Roman"/>
          <w:sz w:val="20"/>
        </w:rPr>
        <w:t xml:space="preserve">” </w:t>
      </w:r>
      <w:r>
        <w:rPr>
          <w:rFonts w:ascii="Times New Roman;serif" w:hAnsi="Times New Roman;serif"/>
          <w:b w:val="false"/>
          <w:sz w:val="20"/>
        </w:rPr>
        <w:t xml:space="preserve">means, with respect to compliance with any test, financial ratio or covenant hereunder required by the terms of this Agreement to be made on a Pro Forma Basis,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Borrower or any of the Restricted Subsidiaries, shall be excluded, and (B) in the case of a Permitted Acquisition or Investment described in the definition of “Specified Transaction,” shall be included, (ii) any retirement of Indebtedness, (iii) any Indebtedness incurred or assumed by Holdings, the Borrower or any of the Restricted Subsidiaries in connection therewith (but without giving effect to any simultaneous incurrence of any Indebtedness pursuant to any fixed dollar basket or Consolidated EBITDA grower basket or under any Revolving Credit Facility)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(iv) Available Cash shall be calculated on the date of the consummation of the Specified Transaction after giving pro forma effect to such Specified Transaction (other than, for the avoidance of doubt, the cash proceeds of any Indebtedness the incurrence of which is a Specified Transaction or that is incurred to finance such Specified Transaction);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without limiting the application of the Pro Forma Adjustment pursuant to clause (a) above, the foregoing pro forma adjustments may be applied to any such test, financial ratio or covenant solely to the extent that such adjustments are consistent with the definition of “Consolidated EBITDA” (and subject to the provisions set forth in clause (b) thereof) and give effect to events (including cost savings, operating expense reductions and synergies) that are (i) (x) directly attributable to such transaction, (y) expected to have a continuing impact on Holdings, the Borrower and any of the Restricted Subsidiaries and (z) factually supportable or (ii) otherwise consistent with the definition of “Pro Forma Adjustment”.</w:t>
      </w:r>
    </w:p>
    <w:p>
      <w:pPr>
        <w:pStyle w:val="TextBody"/>
        <w:bidi w:val="0"/>
        <w:spacing w:before="240" w:after="0"/>
        <w:jc w:val="both"/>
        <w:rPr/>
      </w:pPr>
      <w:r>
        <w:rPr/>
        <w:t>“</w:t>
      </w:r>
      <w:r>
        <w:rPr>
          <w:rFonts w:ascii="Times New Roman;serif" w:hAnsi="Times New Roman;serif"/>
          <w:b w:val="false"/>
          <w:sz w:val="20"/>
          <w:u w:val="single"/>
        </w:rPr>
        <w:t>Pro Forma Disposal Adjustment</w:t>
      </w:r>
      <w:r>
        <w:rPr>
          <w:rFonts w:ascii="Times New Roman" w:hAnsi="Times New Roman"/>
          <w:sz w:val="20"/>
        </w:rPr>
        <w:t xml:space="preserve">” </w:t>
      </w:r>
      <w:r>
        <w:rPr>
          <w:rFonts w:ascii="Times New Roman;serif" w:hAnsi="Times New Roman;serif"/>
          <w:b w:val="false"/>
          <w:sz w:val="20"/>
        </w:rPr>
        <w:t>means, for any four-quarter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Holdings,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four-quarter period prior to its disposal.</w:t>
      </w:r>
    </w:p>
    <w:p>
      <w:pPr>
        <w:pStyle w:val="TextBody"/>
        <w:bidi w:val="0"/>
        <w:spacing w:before="240" w:after="0"/>
        <w:jc w:val="left"/>
        <w:rPr/>
      </w:pPr>
      <w:r>
        <w:rPr/>
        <w:t>“</w:t>
      </w:r>
      <w:r>
        <w:rPr>
          <w:rFonts w:ascii="Times New Roman;serif" w:hAnsi="Times New Roman;serif"/>
          <w:b w:val="false"/>
          <w:sz w:val="20"/>
          <w:u w:val="single"/>
        </w:rPr>
        <w:t>Pro Forma Entity</w:t>
      </w:r>
      <w:r>
        <w:rPr>
          <w:rFonts w:ascii="Times New Roman" w:hAnsi="Times New Roman"/>
          <w:sz w:val="20"/>
        </w:rPr>
        <w:t xml:space="preserve">” </w:t>
      </w:r>
      <w:r>
        <w:rPr>
          <w:rFonts w:ascii="Times New Roman;serif" w:hAnsi="Times New Roman;serif"/>
          <w:b w:val="false"/>
          <w:sz w:val="20"/>
        </w:rPr>
        <w:t>means any Acquired Entity or Business or any Converted Restricted Subsidiary.</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Proposed Change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9.02(c)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PTE</w:t>
      </w:r>
      <w:r>
        <w:rPr>
          <w:rFonts w:ascii="Times New Roman" w:hAnsi="Times New Roman"/>
          <w:sz w:val="20"/>
        </w:rPr>
        <w:t xml:space="preserve">” </w:t>
      </w:r>
      <w:r>
        <w:rPr>
          <w:rFonts w:ascii="Times New Roman;serif" w:hAnsi="Times New Roman;serif"/>
          <w:b w:val="false"/>
          <w:sz w:val="20"/>
        </w:rPr>
        <w:t>means a prohibited transaction class exemption issued by the U.S. Department of Labor, as any such exemption may be amended from time to time.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Public Company Costs</w:t>
      </w:r>
      <w:r>
        <w:rPr>
          <w:rFonts w:ascii="Times New Roman" w:hAnsi="Times New Roman"/>
          <w:sz w:val="20"/>
        </w:rPr>
        <w:t xml:space="preserve">” </w:t>
      </w:r>
      <w:r>
        <w:rPr>
          <w:rFonts w:ascii="Times New Roman;serif" w:hAnsi="Times New Roman;serif"/>
          <w:b w:val="false"/>
          <w:sz w:val="20"/>
        </w:rPr>
        <w:t>means costs relating to compliance with the provisions of the Exchange Act (and any similar Requirement of Law under any other applicable jurisdiction), as applicable to companies with equity or debt securities held by the public, the rules of national securities exchange companies with listed equity or debt securities, directors’ or managers’ and employees’ compensation, fees and expense reimbursement, costs relating to investor relations, shareholder meetings and reports to shareholders or debtholders, directors’ and officers’ insurance and other executive costs, legal and other professional fees, listing fees and other costs associated with being a public company.</w:t>
      </w:r>
    </w:p>
    <w:p>
      <w:pPr>
        <w:pStyle w:val="TextBody"/>
        <w:bidi w:val="0"/>
        <w:spacing w:before="240" w:after="0"/>
        <w:jc w:val="left"/>
        <w:rPr/>
      </w:pPr>
      <w:r>
        <w:rPr/>
        <w:t>“</w:t>
      </w:r>
      <w:r>
        <w:rPr>
          <w:rFonts w:ascii="Times New Roman;serif" w:hAnsi="Times New Roman;serif"/>
          <w:b w:val="false"/>
          <w:sz w:val="20"/>
          <w:u w:val="single"/>
        </w:rPr>
        <w:t>Public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5.01</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Purchasing Borrower Party</w:t>
      </w:r>
      <w:r>
        <w:rPr>
          <w:rFonts w:ascii="Times New Roman" w:hAnsi="Times New Roman"/>
          <w:sz w:val="20"/>
        </w:rPr>
        <w:t xml:space="preserve">” </w:t>
      </w:r>
      <w:r>
        <w:rPr>
          <w:rFonts w:ascii="Times New Roman;serif" w:hAnsi="Times New Roman;serif"/>
          <w:b w:val="false"/>
          <w:sz w:val="20"/>
        </w:rPr>
        <w:t>means Holdings or any subsidiary of Holdings.</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QFC Credit Support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9.21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Qualified Equity Interests</w:t>
      </w:r>
      <w:r>
        <w:rPr>
          <w:rFonts w:ascii="Times New Roman" w:hAnsi="Times New Roman"/>
          <w:sz w:val="20"/>
        </w:rPr>
        <w:t xml:space="preserve">” </w:t>
      </w:r>
      <w:r>
        <w:rPr>
          <w:rFonts w:ascii="Times New Roman;serif" w:hAnsi="Times New Roman;serif"/>
          <w:b w:val="false"/>
          <w:sz w:val="20"/>
        </w:rPr>
        <w:t>means Equity Interests in the Borrower, Holdings or any parent of Holdings other than, in each case, Disqualified Equity Interests.</w:t>
      </w:r>
    </w:p>
    <w:p>
      <w:pPr>
        <w:pStyle w:val="TextBody"/>
        <w:bidi w:val="0"/>
        <w:spacing w:before="240" w:after="0"/>
        <w:jc w:val="left"/>
        <w:rPr/>
      </w:pPr>
      <w:r>
        <w:rPr/>
        <w:t>“</w:t>
      </w:r>
      <w:r>
        <w:rPr>
          <w:rFonts w:ascii="Times New Roman;serif" w:hAnsi="Times New Roman;serif"/>
          <w:b w:val="false"/>
          <w:sz w:val="20"/>
          <w:u w:val="single"/>
        </w:rPr>
        <w:t>Qualifying Lender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Rating Agency</w:t>
      </w:r>
      <w:r>
        <w:rPr>
          <w:rFonts w:ascii="Times New Roman" w:hAnsi="Times New Roman"/>
          <w:sz w:val="20"/>
        </w:rPr>
        <w:t xml:space="preserve">” </w:t>
      </w:r>
      <w:r>
        <w:rPr>
          <w:rFonts w:ascii="Times New Roman;serif" w:hAnsi="Times New Roman;serif"/>
          <w:b w:val="false"/>
          <w:sz w:val="20"/>
        </w:rPr>
        <w:t>means any of (a) Moody’s, (b) S&amp;P or (c) Fitch.</w:t>
      </w:r>
    </w:p>
    <w:p>
      <w:pPr>
        <w:pStyle w:val="TextBody"/>
        <w:bidi w:val="0"/>
        <w:spacing w:before="240" w:after="0"/>
        <w:jc w:val="both"/>
        <w:rPr/>
      </w:pPr>
      <w:r>
        <w:rPr/>
        <w:t>“</w:t>
      </w:r>
      <w:r>
        <w:rPr>
          <w:rFonts w:ascii="Times New Roman;serif" w:hAnsi="Times New Roman;serif"/>
          <w:b w:val="false"/>
          <w:sz w:val="20"/>
          <w:u w:val="single"/>
        </w:rPr>
        <w:t>Receivables Subsidiary</w:t>
      </w:r>
      <w:r>
        <w:rPr>
          <w:rFonts w:ascii="Times New Roman" w:hAnsi="Times New Roman"/>
          <w:sz w:val="20"/>
        </w:rPr>
        <w:t xml:space="preserve">” </w:t>
      </w:r>
      <w:r>
        <w:rPr>
          <w:rFonts w:ascii="Times New Roman;serif" w:hAnsi="Times New Roman;serif"/>
          <w:b w:val="false"/>
          <w:sz w:val="20"/>
        </w:rPr>
        <w:t>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Obligations or provide Collateral.</w:t>
      </w:r>
    </w:p>
    <w:p>
      <w:pPr>
        <w:pStyle w:val="TextBody"/>
        <w:bidi w:val="0"/>
        <w:spacing w:before="240" w:after="0"/>
        <w:jc w:val="left"/>
        <w:rPr/>
      </w:pPr>
      <w:r>
        <w:rPr/>
        <w:t>“</w:t>
      </w:r>
      <w:r>
        <w:rPr>
          <w:rFonts w:ascii="Times New Roman;serif" w:hAnsi="Times New Roman;serif"/>
          <w:b w:val="false"/>
          <w:sz w:val="20"/>
          <w:u w:val="single"/>
        </w:rPr>
        <w:t>Refinanced Debt</w:t>
      </w:r>
      <w:r>
        <w:rPr>
          <w:rFonts w:ascii="Times New Roman" w:hAnsi="Times New Roman"/>
          <w:sz w:val="20"/>
        </w:rPr>
        <w:t xml:space="preserve">” </w:t>
      </w:r>
      <w:r>
        <w:rPr>
          <w:rFonts w:ascii="Times New Roman;serif" w:hAnsi="Times New Roman;serif"/>
          <w:b w:val="false"/>
          <w:sz w:val="20"/>
        </w:rPr>
        <w:t>has the meaning assigned to such term in the definition of “Credit Agreement Refinancing Indebtedness.”</w:t>
      </w:r>
    </w:p>
    <w:p>
      <w:pPr>
        <w:pStyle w:val="TextBody"/>
        <w:bidi w:val="0"/>
        <w:spacing w:before="240" w:after="0"/>
        <w:jc w:val="both"/>
        <w:rPr/>
      </w:pPr>
      <w:r>
        <w:rPr/>
        <w:t>“</w:t>
      </w:r>
      <w:r>
        <w:rPr>
          <w:rFonts w:ascii="Times New Roman;serif" w:hAnsi="Times New Roman;serif"/>
          <w:b w:val="false"/>
          <w:sz w:val="20"/>
          <w:u w:val="single"/>
        </w:rPr>
        <w:t>Refinancing Amendment</w:t>
      </w:r>
      <w:r>
        <w:rPr>
          <w:rFonts w:ascii="Times New Roman" w:hAnsi="Times New Roman"/>
          <w:sz w:val="20"/>
        </w:rPr>
        <w:t xml:space="preserve">” </w:t>
      </w:r>
      <w:r>
        <w:rPr>
          <w:rFonts w:ascii="Times New Roman;serif" w:hAnsi="Times New Roman;serif"/>
          <w:b w:val="false"/>
          <w:sz w:val="20"/>
        </w:rPr>
        <w:t xml:space="preserve">means an amendment to this Agreement executed by each of (a) the Borrower and Holdings, (b) the Administrative Agent and (c) each Additional Lender and Lender that agrees to provide all or any portion of the Credit Agreement Refinancing Indebtedness being incurred pursuant thereto, in accordance with </w:t>
      </w:r>
      <w:r>
        <w:rPr>
          <w:rFonts w:ascii="Times New Roman;serif" w:hAnsi="Times New Roman;serif"/>
          <w:b w:val="false"/>
          <w:sz w:val="20"/>
          <w:u w:val="single"/>
        </w:rPr>
        <w:t>Section 2.21</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Register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9.04(b)(iv)</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Registered Equivalent Notes</w:t>
      </w:r>
      <w:r>
        <w:rPr>
          <w:rFonts w:ascii="Times New Roman" w:hAnsi="Times New Roman"/>
          <w:sz w:val="20"/>
        </w:rPr>
        <w:t xml:space="preserve">” </w:t>
      </w:r>
      <w:r>
        <w:rPr>
          <w:rFonts w:ascii="Times New Roman;serif" w:hAnsi="Times New Roman;serif"/>
          <w:b w:val="false"/>
          <w:sz w:val="20"/>
        </w:rPr>
        <w:t>means, with respect to any notes originally issued in a Rule 144A or other private placement transaction under the Securities Act of 1933, substantially identical notes (having substantially the same Guarantees) issued in a dollar-for-dollar exchange therefor pursuant to an exchange offer registered with the SEC.</w:t>
      </w:r>
    </w:p>
    <w:p>
      <w:pPr>
        <w:pStyle w:val="TextBody"/>
        <w:bidi w:val="0"/>
        <w:spacing w:before="240" w:after="0"/>
        <w:jc w:val="both"/>
        <w:rPr/>
      </w:pPr>
      <w:r>
        <w:rPr/>
        <w:t>“</w:t>
      </w:r>
      <w:r>
        <w:rPr>
          <w:rFonts w:ascii="Times New Roman;serif" w:hAnsi="Times New Roman;serif"/>
          <w:b w:val="false"/>
          <w:sz w:val="20"/>
          <w:u w:val="single"/>
        </w:rPr>
        <w:t>Related Business Assets</w:t>
      </w:r>
      <w:r>
        <w:rPr>
          <w:rFonts w:ascii="Times New Roman" w:hAnsi="Times New Roman"/>
          <w:sz w:val="20"/>
        </w:rPr>
        <w:t xml:space="preserve">” </w:t>
      </w:r>
      <w:r>
        <w:rPr>
          <w:rFonts w:ascii="Times New Roman;serif" w:hAnsi="Times New Roman;serif"/>
          <w:b w:val="false"/>
          <w:sz w:val="20"/>
        </w:rPr>
        <w:t>means assets (other than cash or Permitted Investments) used or useful in a Similar Business (which may consist of securities of a Person, including the Equity Interests of any Subsidiary (other than the Borrower)).</w:t>
      </w:r>
    </w:p>
    <w:p>
      <w:pPr>
        <w:pStyle w:val="TextBody"/>
        <w:bidi w:val="0"/>
        <w:spacing w:before="240" w:after="0"/>
        <w:jc w:val="both"/>
        <w:rPr/>
      </w:pPr>
      <w:r>
        <w:rPr/>
        <w:t>“</w:t>
      </w:r>
      <w:r>
        <w:rPr>
          <w:rFonts w:ascii="Times New Roman;serif" w:hAnsi="Times New Roman;serif"/>
          <w:b w:val="false"/>
          <w:sz w:val="20"/>
          <w:u w:val="single"/>
        </w:rPr>
        <w:t>Related Parties</w:t>
      </w:r>
      <w:r>
        <w:rPr>
          <w:rFonts w:ascii="Times New Roman" w:hAnsi="Times New Roman"/>
          <w:sz w:val="20"/>
        </w:rPr>
        <w:t xml:space="preserve">” </w:t>
      </w:r>
      <w:r>
        <w:rPr>
          <w:rFonts w:ascii="Times New Roman;serif" w:hAnsi="Times New Roman;serif"/>
          <w:b w:val="false"/>
          <w:sz w:val="20"/>
        </w:rPr>
        <w:t>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pStyle w:val="TextBody"/>
        <w:bidi w:val="0"/>
        <w:spacing w:before="240" w:after="0"/>
        <w:jc w:val="both"/>
        <w:rPr/>
      </w:pPr>
      <w:r>
        <w:rPr/>
        <w:t>“</w:t>
      </w:r>
      <w:r>
        <w:rPr>
          <w:rFonts w:ascii="Times New Roman;serif" w:hAnsi="Times New Roman;serif"/>
          <w:b w:val="false"/>
          <w:sz w:val="20"/>
          <w:u w:val="single"/>
        </w:rPr>
        <w:t>Release</w:t>
      </w:r>
      <w:r>
        <w:rPr>
          <w:rFonts w:ascii="Times New Roman" w:hAnsi="Times New Roman"/>
          <w:sz w:val="20"/>
        </w:rPr>
        <w:t xml:space="preserve">” </w:t>
      </w:r>
      <w:r>
        <w:rPr>
          <w:rFonts w:ascii="Times New Roman;serif" w:hAnsi="Times New Roman;serif"/>
          <w:b w:val="false"/>
          <w:sz w:val="20"/>
        </w:rPr>
        <w:t>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pStyle w:val="TextBody"/>
        <w:bidi w:val="0"/>
        <w:spacing w:before="240" w:after="0"/>
        <w:jc w:val="both"/>
        <w:rPr/>
      </w:pPr>
      <w:r>
        <w:rPr/>
        <w:t>“</w:t>
      </w:r>
      <w:r>
        <w:rPr>
          <w:rFonts w:ascii="Times New Roman;serif" w:hAnsi="Times New Roman;serif"/>
          <w:b w:val="false"/>
          <w:sz w:val="20"/>
          <w:u w:val="single"/>
        </w:rPr>
        <w:t>Relevant Governmental Body</w:t>
      </w:r>
      <w:r>
        <w:rPr>
          <w:rFonts w:ascii="Times New Roman" w:hAnsi="Times New Roman"/>
          <w:sz w:val="20"/>
        </w:rPr>
        <w:t xml:space="preserve">” </w:t>
      </w:r>
      <w:r>
        <w:rPr>
          <w:rFonts w:ascii="Times New Roman;serif" w:hAnsi="Times New Roman;serif"/>
          <w:b w:val="false"/>
          <w:sz w:val="20"/>
        </w:rPr>
        <w:t xml:space="preserve">means the Federal Reserve Board and/or the Federal Reserve Bank of New York, or a committee officially endorsed or convened by the Federal Reserve Board and/or the Federal Reserve Bank of New York </w:t>
      </w:r>
      <w:r>
        <w:rPr>
          <w:rFonts w:ascii="Times New Roman;serif" w:hAnsi="Times New Roman;serif"/>
          <w:b w:val="false"/>
          <w:strike/>
          <w:sz w:val="20"/>
        </w:rPr>
        <w:t>for the purpose of recommending a benchmark rate to replace LIBOR in loan agreements similar</w:t>
      </w:r>
      <w:r>
        <w:rPr>
          <w:rFonts w:ascii="Times New Roman" w:hAnsi="Times New Roman"/>
          <w:sz w:val="20"/>
        </w:rPr>
        <w:t xml:space="preserve"> </w:t>
      </w:r>
      <w:r>
        <w:rPr>
          <w:rFonts w:ascii="Times New Roman;serif" w:hAnsi="Times New Roman;serif"/>
          <w:b w:val="false"/>
          <w:strike/>
          <w:sz w:val="20"/>
        </w:rPr>
        <w:t>to this Agreement</w:t>
      </w:r>
      <w:r>
        <w:rPr>
          <w:rFonts w:ascii="Times New Roman;serif" w:hAnsi="Times New Roman;serif"/>
          <w:b w:val="false"/>
          <w:sz w:val="20"/>
          <w:u w:val="single"/>
        </w:rPr>
        <w:t>or, in each case, any successor thereto</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w:t>
      </w:r>
      <w:r>
        <w:rPr>
          <w:rFonts w:ascii="Times New Roman;serif" w:hAnsi="Times New Roman;serif"/>
          <w:b w:val="false"/>
          <w:sz w:val="20"/>
          <w:u w:val="single"/>
        </w:rPr>
        <w:t>Removal Effective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Article VIII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Repricing Transaction</w:t>
      </w:r>
      <w:r>
        <w:rPr>
          <w:rFonts w:ascii="Times New Roman" w:hAnsi="Times New Roman"/>
          <w:sz w:val="20"/>
        </w:rPr>
        <w:t xml:space="preserve">” </w:t>
      </w:r>
      <w:r>
        <w:rPr>
          <w:rFonts w:ascii="Times New Roman;serif" w:hAnsi="Times New Roman;serif"/>
          <w:b w:val="false"/>
          <w:sz w:val="20"/>
        </w:rPr>
        <w:t>means (a) the incurrence by the Borrower of any Indebtedness, other than any Indebtedness incurred in connection with any transaction that would, if consummated, constitute an IPO, a Change in Control, a Material Acquisition or a Material Disposition, in the form of a dollar-denominated term B loan that is broadly marketed or syndicated to banks and other institutional investors (i) having an Effective Yield for the respective Type of such Indebtedness that is less than the Effective Yield for the Term Loans of the respective equivalent Type, and (ii) the proceeds of which are used to prepay (or, in the case of a conversion, deemed to prepay or replace), in whole or in part, outstanding principal of Term Loans or (b) any effective reduction in the Effective Yield for the Term Loans (e.g., by way of amendment, waiver or otherwise), except for a reduction in connection with any transaction that would, if consummated, constitute an IPO, a Change in Control, a Material Acquisition or a Material Disposition. Any determination by the Administrative Agent with respect to whether a Repricing Transaction shall have occurred shall be conclusive and binding on all Lenders holding the Term Loans.</w:t>
      </w:r>
    </w:p>
    <w:p>
      <w:pPr>
        <w:pStyle w:val="TextBody"/>
        <w:bidi w:val="0"/>
        <w:spacing w:before="240" w:after="0"/>
        <w:jc w:val="both"/>
        <w:rPr/>
      </w:pPr>
      <w:r>
        <w:rPr/>
        <w:t>“</w:t>
      </w:r>
      <w:r>
        <w:rPr>
          <w:rFonts w:ascii="Times New Roman;serif" w:hAnsi="Times New Roman;serif"/>
          <w:b w:val="false"/>
          <w:sz w:val="20"/>
          <w:u w:val="single"/>
        </w:rPr>
        <w:t>Required Additional Debt Terms</w:t>
      </w:r>
      <w:r>
        <w:rPr>
          <w:rFonts w:ascii="Times New Roman" w:hAnsi="Times New Roman"/>
          <w:sz w:val="20"/>
        </w:rPr>
        <w:t xml:space="preserve">” </w:t>
      </w:r>
      <w:r>
        <w:rPr>
          <w:rFonts w:ascii="Times New Roman;serif" w:hAnsi="Times New Roman;serif"/>
          <w:b w:val="false"/>
          <w:sz w:val="20"/>
        </w:rPr>
        <w:t xml:space="preserve">means with respect to any Indebtedness, (a) except with respect to Customary Bridge Loans and (other than with respect to Indebtedness incurred under </w:t>
      </w:r>
      <w:r>
        <w:rPr>
          <w:rFonts w:ascii="Times New Roman;serif" w:hAnsi="Times New Roman;serif"/>
          <w:b w:val="false"/>
          <w:sz w:val="20"/>
          <w:u w:val="single"/>
        </w:rPr>
        <w:t>Section 6.01(a)(xxviii)</w:t>
      </w:r>
      <w:r>
        <w:rPr>
          <w:rFonts w:ascii="Times New Roman;serif" w:hAnsi="Times New Roman;serif"/>
          <w:b w:val="false"/>
          <w:sz w:val="20"/>
        </w:rPr>
        <w:t xml:space="preserve">) except with respect to an amount equal to the Maturity Carveout Amount at such time, such Indebtedness does not mature earlier than the Latest Maturity Date, (b) such Indebtedness (other than Customary Bridge Loans) does not have mandatory redemption features (other than Customary Exceptions) that could result in redemptions of such Indebtedness prior to the Latest Maturity Date (it being understood that Holdings, the Borrower and the Restricted Subsidiaries shall be permitted to make any AHYDO “catch up” payments, if applicable), (c) such Indebtedness is not guaranteed by any entity that is not a Loan Party, (d) such Indebtedness that is secured (i) is not secured by any assets not securing the Secured Obligations, (ii) is subject to the relevant Intercreditor Agreement(s) and (iii) is subject to security agreements relating to such Indebtedness that are substantially the same as the Security Documents (with such differences as are reasonably satisfactory to the Administrative Agent and the Borrower)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(except for covenants or other provisions applicable only to periods after the Latest Maturity Date at such time) (it being understood that, to the extent that any financial maintenance covenant or any other covenant is added for the benefit of any Indebtedness, no consent shall be required by the Administrative Agent or any of the Lenders if such financial maintenance covenant or other covenant is either (i) also added for the benefit of any corresponding Loans remaining outstanding after the issuance or incurrence of any such Indebtedness in connection therewith or (ii) only applicable after the Latest Maturity Date at such time);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certificate of a Responsible Officer delivered to the Administrative Agent at least five Business Days prior to the incurrence of such Indebtedness, together with a reasonably detailed description of the material terms and conditions of such resulting Indebtedness or drafts of the documentation relating thereto, stating that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w:t>
      </w:r>
    </w:p>
    <w:p>
      <w:pPr>
        <w:pStyle w:val="TextBody"/>
        <w:bidi w:val="0"/>
        <w:spacing w:before="240" w:after="0"/>
        <w:jc w:val="left"/>
        <w:rPr/>
      </w:pPr>
      <w:r>
        <w:rPr/>
        <w:t>“</w:t>
      </w:r>
      <w:r>
        <w:rPr>
          <w:rFonts w:ascii="Times New Roman;serif" w:hAnsi="Times New Roman;serif"/>
          <w:b w:val="false"/>
          <w:sz w:val="20"/>
          <w:u w:val="single"/>
        </w:rPr>
        <w:t>Required Class Lenders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9.02(b)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Required Lenders</w:t>
      </w:r>
      <w:r>
        <w:rPr>
          <w:rFonts w:ascii="Times New Roman" w:hAnsi="Times New Roman"/>
          <w:sz w:val="20"/>
        </w:rPr>
        <w:t xml:space="preserve">” </w:t>
      </w:r>
      <w:r>
        <w:rPr>
          <w:rFonts w:ascii="Times New Roman;serif" w:hAnsi="Times New Roman;serif"/>
          <w:b w:val="false"/>
          <w:sz w:val="20"/>
        </w:rPr>
        <w:t xml:space="preserve">means, at any time, Lenders having Revolving Exposures, Term Loans and unused Commitments representing more than 50.0% of the aggregate Revolving Exposures, outstanding Term Loans and unused Commitments at such time;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the Revolving Exposures, Term Loans and unused Commitments of the Borrower or any Affiliate thereof (other than an Affiliated Debt Fund) and (b) whenever there are one or more Defaulting Lenders, the total outstanding Term Loans and Revolving Exposures of, and the unused Revolving Commitments of, each Defaulting Lender, shall, in each case of clauses (a) and (b), be excluded for purposes of making a determination of Required Lenders.</w:t>
      </w:r>
    </w:p>
    <w:p>
      <w:pPr>
        <w:pStyle w:val="TextBody"/>
        <w:bidi w:val="0"/>
        <w:spacing w:before="240" w:after="0"/>
        <w:jc w:val="both"/>
        <w:rPr/>
      </w:pPr>
      <w:r>
        <w:rPr/>
        <w:t>“</w:t>
      </w:r>
      <w:r>
        <w:rPr>
          <w:rFonts w:ascii="Times New Roman;serif" w:hAnsi="Times New Roman;serif"/>
          <w:b w:val="false"/>
          <w:sz w:val="20"/>
          <w:u w:val="single"/>
        </w:rPr>
        <w:t>Required Revolving Lenders</w:t>
      </w:r>
      <w:r>
        <w:rPr>
          <w:rFonts w:ascii="Times New Roman" w:hAnsi="Times New Roman"/>
          <w:sz w:val="20"/>
        </w:rPr>
        <w:t xml:space="preserve">” </w:t>
      </w:r>
      <w:r>
        <w:rPr>
          <w:rFonts w:ascii="Times New Roman;serif" w:hAnsi="Times New Roman;serif"/>
          <w:b w:val="false"/>
          <w:sz w:val="20"/>
        </w:rPr>
        <w:t xml:space="preserve">means, at any time, Revolving Lenders having Revolving Exposures and unused Revolving Commitments representing more than 50.0% of the aggregate Revolving Exposures and unused Revolving Commitments at such time;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the Revolving Exposures and unused Revolving Commitments of the Borrower or any Affiliate thereof and (b) whenever there are one or more Defaulting Lenders, the total outstanding Revolving Exposures of, and the unused Revolving Commitments of, each Defaulting Lender,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shall, in each case of clauses (a) and (b), be excluded for purposes of making a determination of Required Revolving Lenders.</w:t>
      </w:r>
    </w:p>
    <w:p>
      <w:pPr>
        <w:pStyle w:val="TextBody"/>
        <w:bidi w:val="0"/>
        <w:spacing w:before="240" w:after="0"/>
        <w:jc w:val="both"/>
        <w:rPr/>
      </w:pPr>
      <w:r>
        <w:rPr/>
        <w:t>“</w:t>
      </w:r>
      <w:r>
        <w:rPr>
          <w:rFonts w:ascii="Times New Roman;serif" w:hAnsi="Times New Roman;serif"/>
          <w:b w:val="false"/>
          <w:sz w:val="20"/>
          <w:u w:val="single"/>
        </w:rPr>
        <w:t>Required Term Loan Lenders</w:t>
      </w:r>
      <w:r>
        <w:rPr>
          <w:rFonts w:ascii="Times New Roman" w:hAnsi="Times New Roman"/>
          <w:sz w:val="20"/>
        </w:rPr>
        <w:t xml:space="preserve">” </w:t>
      </w:r>
      <w:r>
        <w:rPr>
          <w:rFonts w:ascii="Times New Roman;serif" w:hAnsi="Times New Roman;serif"/>
          <w:b w:val="false"/>
          <w:sz w:val="20"/>
        </w:rPr>
        <w:t xml:space="preserve">means, at any time, Lenders having Term Loans representing more than 50% of the aggregate outstanding Term Loans at such time;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the Term Loans of the Borrower or any Affiliate thereof (other than an Affiliated Debt Fund) and (b) whenever there are one or more Defaulting Lenders, the total outstanding Term Loans of each Defaulting Lender, shall, in each case of clauses (a) and (b), be excluded purposes of making a determination of Required Term Loan Lenders.</w:t>
      </w:r>
    </w:p>
    <w:p>
      <w:pPr>
        <w:pStyle w:val="TextBody"/>
        <w:bidi w:val="0"/>
        <w:spacing w:before="240" w:after="0"/>
        <w:jc w:val="both"/>
        <w:rPr/>
      </w:pPr>
      <w:r>
        <w:rPr/>
        <w:t>“</w:t>
      </w:r>
      <w:r>
        <w:rPr>
          <w:rFonts w:ascii="Times New Roman;serif" w:hAnsi="Times New Roman;serif"/>
          <w:b w:val="false"/>
          <w:sz w:val="20"/>
          <w:u w:val="single"/>
        </w:rPr>
        <w:t>Requirements of Law</w:t>
      </w:r>
      <w:r>
        <w:rPr>
          <w:rFonts w:ascii="Times New Roman" w:hAnsi="Times New Roman"/>
          <w:sz w:val="20"/>
        </w:rPr>
        <w:t xml:space="preserve">” </w:t>
      </w:r>
      <w:r>
        <w:rPr>
          <w:rFonts w:ascii="Times New Roman;serif" w:hAnsi="Times New Roman;serif"/>
          <w:b w:val="false"/>
          <w:sz w:val="20"/>
        </w:rPr>
        <w:t>means, with respect to any Person, any statutes, laws, treaties, rules, regulations, official administrative pronouncements, orders, decrees, writs, injunctions or determinations of any arbitrator or court or other Governmental Authority, in each case applicable to or binding upon such Person or any of its property or to which such Person or any of its property is subject.</w:t>
      </w:r>
    </w:p>
    <w:p>
      <w:pPr>
        <w:pStyle w:val="TextBody"/>
        <w:bidi w:val="0"/>
        <w:spacing w:before="240" w:after="0"/>
        <w:jc w:val="left"/>
        <w:rPr/>
      </w:pPr>
      <w:r>
        <w:rPr/>
        <w:t>“</w:t>
      </w:r>
      <w:r>
        <w:rPr>
          <w:rFonts w:ascii="Times New Roman;serif" w:hAnsi="Times New Roman;serif"/>
          <w:b w:val="false"/>
          <w:sz w:val="20"/>
          <w:u w:val="single"/>
        </w:rPr>
        <w:t>Resignation Effective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Article VIII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Responsible Officer</w:t>
      </w:r>
      <w:r>
        <w:rPr>
          <w:rFonts w:ascii="Times New Roman" w:hAnsi="Times New Roman"/>
          <w:sz w:val="20"/>
        </w:rPr>
        <w:t xml:space="preserve">” </w:t>
      </w:r>
      <w:r>
        <w:rPr>
          <w:rFonts w:ascii="Times New Roman;serif" w:hAnsi="Times New Roman;serif"/>
          <w:b w:val="false"/>
          <w:sz w:val="20"/>
        </w:rPr>
        <w:t xml:space="preserve">means the chief executive officer, chief marketing officer, chief financial officer, president, vice president, treasurer or assistant treasurer, secretary or assistant secretary or other similar officer, manager or a director of a Loan Party and with respect to certain limited liability companies, partnerships or other Loan Parties that do not have officers, any director, manager, sole member, managing member, general partner or other authorized signatory thereof and, solely for purposes of notices given pursuant to </w:t>
      </w:r>
      <w:r>
        <w:rPr>
          <w:rFonts w:ascii="Times New Roman;serif" w:hAnsi="Times New Roman;serif"/>
          <w:b w:val="false"/>
          <w:sz w:val="20"/>
          <w:u w:val="single"/>
        </w:rPr>
        <w:t>Article II</w:t>
      </w:r>
      <w:r>
        <w:rPr>
          <w:rFonts w:ascii="Times New Roman;serif" w:hAnsi="Times New Roman;serif"/>
          <w:b w:val="false"/>
          <w:sz w:val="20"/>
        </w:rPr>
        <w:t>, any other officer of the applicable Loan Party so designated by any of the foregoing officers in a notice to the Administrative Agent or any other officer or employee of the applicable Loan Party designated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240" w:after="0"/>
        <w:jc w:val="left"/>
        <w:rPr/>
      </w:pPr>
      <w:r>
        <w:rPr/>
        <w:t>“</w:t>
      </w:r>
      <w:r>
        <w:rPr>
          <w:rFonts w:ascii="Times New Roman;serif" w:hAnsi="Times New Roman;serif"/>
          <w:b w:val="false"/>
          <w:sz w:val="20"/>
          <w:u w:val="single"/>
        </w:rPr>
        <w:t>Restricted Debt Payment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6.08(b)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Restricted Payment</w:t>
      </w:r>
      <w:r>
        <w:rPr>
          <w:rFonts w:ascii="Times New Roman" w:hAnsi="Times New Roman"/>
          <w:sz w:val="20"/>
        </w:rPr>
        <w:t xml:space="preserve">” </w:t>
      </w:r>
      <w:r>
        <w:rPr>
          <w:rFonts w:ascii="Times New Roman;serif" w:hAnsi="Times New Roman;serif"/>
          <w:b w:val="false"/>
          <w:sz w:val="20"/>
        </w:rPr>
        <w:t>means any dividend or other distribution (whether in cash, securities or other property) with respect to any Equity Interests in Holdings, the Borrower or any other Restricted Subsidiary, or any payment (whether in cash, securities or other property), including any sinking fund or similar deposit, on account of the purchase, redemption, retirement, acquisition, cancellation or termination of any Equity Interests in Holdings, the Borrower or any other Restricted Subsidiary or any option, warrant or other right to acquire any such Equity Interests.</w:t>
      </w:r>
    </w:p>
    <w:p>
      <w:pPr>
        <w:pStyle w:val="TextBody"/>
        <w:bidi w:val="0"/>
        <w:spacing w:before="240" w:after="0"/>
        <w:jc w:val="left"/>
        <w:rPr/>
      </w:pPr>
      <w:r>
        <w:rPr/>
        <w:t>“</w:t>
      </w:r>
      <w:r>
        <w:rPr>
          <w:rFonts w:ascii="Times New Roman;serif" w:hAnsi="Times New Roman;serif"/>
          <w:b w:val="false"/>
          <w:sz w:val="20"/>
          <w:u w:val="single"/>
        </w:rPr>
        <w:t>Restricted Subsidiary</w:t>
      </w:r>
      <w:r>
        <w:rPr>
          <w:rFonts w:ascii="Times New Roman" w:hAnsi="Times New Roman"/>
          <w:sz w:val="20"/>
        </w:rPr>
        <w:t xml:space="preserve">” </w:t>
      </w:r>
      <w:r>
        <w:rPr>
          <w:rFonts w:ascii="Times New Roman;serif" w:hAnsi="Times New Roman;serif"/>
          <w:b w:val="false"/>
          <w:sz w:val="20"/>
        </w:rPr>
        <w:t>means any Subsidiary other than an Unrestricted Subsidiary.</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Retained Declined Proceeds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2.11(e)</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Retained Asset Sale Proceeds</w:t>
      </w:r>
      <w:r>
        <w:rPr>
          <w:rFonts w:ascii="Times New Roman" w:hAnsi="Times New Roman"/>
          <w:sz w:val="20"/>
        </w:rPr>
        <w:t xml:space="preserve">” </w:t>
      </w:r>
      <w:r>
        <w:rPr>
          <w:rFonts w:ascii="Times New Roman;serif" w:hAnsi="Times New Roman;serif"/>
          <w:b w:val="false"/>
          <w:sz w:val="20"/>
        </w:rPr>
        <w:t xml:space="preserve">means that portion of Net Proceeds of a Prepayment Event pursuant to clause (a) of such definition not required to be applied to prepay the Loans pursuant to </w:t>
      </w:r>
      <w:r>
        <w:rPr>
          <w:rFonts w:ascii="Times New Roman;serif" w:hAnsi="Times New Roman;serif"/>
          <w:b w:val="false"/>
          <w:sz w:val="20"/>
          <w:u w:val="single"/>
        </w:rPr>
        <w:t>Section 2.11(c)</w:t>
      </w:r>
      <w:r>
        <w:rPr>
          <w:rFonts w:ascii="Times New Roman" w:hAnsi="Times New Roman"/>
          <w:sz w:val="20"/>
        </w:rPr>
        <w:t xml:space="preserve"> </w:t>
      </w:r>
      <w:r>
        <w:rPr>
          <w:rFonts w:ascii="Times New Roman;serif" w:hAnsi="Times New Roman;serif"/>
          <w:b w:val="false"/>
          <w:sz w:val="20"/>
        </w:rPr>
        <w:t>due to the Disposition/Debt Percentage being less than 100%.</w:t>
      </w:r>
    </w:p>
    <w:p>
      <w:pPr>
        <w:pStyle w:val="TextBody"/>
        <w:bidi w:val="0"/>
        <w:spacing w:before="240" w:after="0"/>
        <w:jc w:val="left"/>
        <w:rPr/>
      </w:pPr>
      <w:r>
        <w:rPr/>
        <w:t>“</w:t>
      </w:r>
      <w:r>
        <w:rPr>
          <w:rFonts w:ascii="Times New Roman;serif" w:hAnsi="Times New Roman;serif"/>
          <w:b w:val="false"/>
          <w:sz w:val="20"/>
          <w:u w:val="single"/>
        </w:rPr>
        <w:t>Revolving Acceleration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7.01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Revolving Availability Period</w:t>
      </w:r>
      <w:r>
        <w:rPr>
          <w:rFonts w:ascii="Times New Roman" w:hAnsi="Times New Roman"/>
          <w:sz w:val="20"/>
        </w:rPr>
        <w:t xml:space="preserve">” </w:t>
      </w:r>
      <w:r>
        <w:rPr>
          <w:rFonts w:ascii="Times New Roman;serif" w:hAnsi="Times New Roman;serif"/>
          <w:b w:val="false"/>
          <w:sz w:val="20"/>
        </w:rPr>
        <w:t>means the period from and including the Effective Date to but excluding the earlier of the Revolving Maturity Date and the date of termination of the Revolving Commitments.</w:t>
      </w:r>
    </w:p>
    <w:p>
      <w:pPr>
        <w:pStyle w:val="TextBody"/>
        <w:bidi w:val="0"/>
        <w:spacing w:before="240" w:after="0"/>
        <w:jc w:val="both"/>
        <w:rPr/>
      </w:pPr>
      <w:r>
        <w:rPr/>
        <w:t>“</w:t>
      </w:r>
      <w:r>
        <w:rPr>
          <w:rFonts w:ascii="Times New Roman;serif" w:hAnsi="Times New Roman;serif"/>
          <w:b w:val="false"/>
          <w:sz w:val="20"/>
          <w:u w:val="single"/>
        </w:rPr>
        <w:t>Revolving Commitment</w:t>
      </w:r>
      <w:r>
        <w:rPr>
          <w:rFonts w:ascii="Times New Roman" w:hAnsi="Times New Roman"/>
          <w:sz w:val="20"/>
        </w:rPr>
        <w:t xml:space="preserve">” </w:t>
      </w:r>
      <w:r>
        <w:rPr>
          <w:rFonts w:ascii="Times New Roman;serif" w:hAnsi="Times New Roman;serif"/>
          <w:b w:val="false"/>
          <w:sz w:val="20"/>
        </w:rPr>
        <w:t>means (a) prior to the Amendment No. 2 Effective Date, the Original Revolving Commitments, and (b) on and after the Amendment No. 2 Effective Date, the 2021 Revolving Commitments.</w:t>
      </w:r>
    </w:p>
    <w:p>
      <w:pPr>
        <w:pStyle w:val="TextBody"/>
        <w:bidi w:val="0"/>
        <w:spacing w:before="240" w:after="0"/>
        <w:jc w:val="both"/>
        <w:rPr/>
      </w:pPr>
      <w:r>
        <w:rPr/>
        <w:t>“</w:t>
      </w:r>
      <w:r>
        <w:rPr>
          <w:rFonts w:ascii="Times New Roman;serif" w:hAnsi="Times New Roman;serif"/>
          <w:b w:val="false"/>
          <w:sz w:val="20"/>
          <w:u w:val="single"/>
        </w:rPr>
        <w:t>Revolving Credit Facility</w:t>
      </w:r>
      <w:r>
        <w:rPr>
          <w:rFonts w:ascii="Times New Roman" w:hAnsi="Times New Roman"/>
          <w:sz w:val="20"/>
        </w:rPr>
        <w:t xml:space="preserve">” </w:t>
      </w:r>
      <w:r>
        <w:rPr>
          <w:rFonts w:ascii="Times New Roman;serif" w:hAnsi="Times New Roman;serif"/>
          <w:b w:val="false"/>
          <w:sz w:val="20"/>
        </w:rPr>
        <w:t>means the Revolving Commitments and the provisions herein related to the Revolving Loans and Letters of Credit.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Revolving Exposure</w:t>
      </w:r>
      <w:r>
        <w:rPr>
          <w:rFonts w:ascii="Times New Roman" w:hAnsi="Times New Roman"/>
          <w:sz w:val="20"/>
        </w:rPr>
        <w:t xml:space="preserve">” </w:t>
      </w:r>
      <w:r>
        <w:rPr>
          <w:rFonts w:ascii="Times New Roman;serif" w:hAnsi="Times New Roman;serif"/>
          <w:b w:val="false"/>
          <w:sz w:val="20"/>
        </w:rPr>
        <w:t>means, with respect to any Revolving Lender at any time, the sum of the Dollar Equivalent of the outstanding principal amount of such Revolving Lender’s Revolving Loans and its LC Exposure at such time.</w:t>
      </w:r>
    </w:p>
    <w:p>
      <w:pPr>
        <w:pStyle w:val="TextBody"/>
        <w:bidi w:val="0"/>
        <w:spacing w:before="240" w:after="0"/>
        <w:jc w:val="both"/>
        <w:rPr/>
      </w:pPr>
      <w:r>
        <w:rPr/>
        <w:t>“</w:t>
      </w:r>
      <w:r>
        <w:rPr>
          <w:rFonts w:ascii="Times New Roman;serif" w:hAnsi="Times New Roman;serif"/>
          <w:b w:val="false"/>
          <w:sz w:val="20"/>
          <w:u w:val="single"/>
        </w:rPr>
        <w:t>Revolving Lender</w:t>
      </w:r>
      <w:r>
        <w:rPr>
          <w:rFonts w:ascii="Times New Roman" w:hAnsi="Times New Roman"/>
          <w:sz w:val="20"/>
        </w:rPr>
        <w:t xml:space="preserve">” </w:t>
      </w:r>
      <w:r>
        <w:rPr>
          <w:rFonts w:ascii="Times New Roman;serif" w:hAnsi="Times New Roman;serif"/>
          <w:b w:val="false"/>
          <w:sz w:val="20"/>
        </w:rPr>
        <w:t>means a Lender with a Revolving Commitment or, if the Revolving Commitments have terminated or expired, a Lender with Revolving Exposure.</w:t>
      </w:r>
    </w:p>
    <w:p>
      <w:pPr>
        <w:pStyle w:val="TextBody"/>
        <w:bidi w:val="0"/>
        <w:spacing w:before="240" w:after="0"/>
        <w:jc w:val="left"/>
        <w:rPr/>
      </w:pPr>
      <w:r>
        <w:rPr/>
        <w:t>“</w:t>
      </w:r>
      <w:r>
        <w:rPr>
          <w:rFonts w:ascii="Times New Roman;serif" w:hAnsi="Times New Roman;serif"/>
          <w:b w:val="false"/>
          <w:sz w:val="20"/>
          <w:u w:val="single"/>
        </w:rPr>
        <w:t>Revolving Loan</w:t>
      </w:r>
      <w:r>
        <w:rPr>
          <w:rFonts w:ascii="Times New Roman" w:hAnsi="Times New Roman"/>
          <w:sz w:val="20"/>
        </w:rPr>
        <w:t xml:space="preserve">” </w:t>
      </w:r>
      <w:r>
        <w:rPr>
          <w:rFonts w:ascii="Times New Roman;serif" w:hAnsi="Times New Roman;serif"/>
          <w:b w:val="false"/>
          <w:sz w:val="20"/>
        </w:rPr>
        <w:t xml:space="preserve">means a Loan made pursuant to clause (b) of </w:t>
      </w:r>
      <w:r>
        <w:rPr>
          <w:rFonts w:ascii="Times New Roman;serif" w:hAnsi="Times New Roman;serif"/>
          <w:b w:val="false"/>
          <w:sz w:val="20"/>
          <w:u w:val="single"/>
        </w:rPr>
        <w:t>Section 2.01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Revolving Maturity Date</w:t>
      </w:r>
      <w:r>
        <w:rPr>
          <w:rFonts w:ascii="Times New Roman" w:hAnsi="Times New Roman"/>
          <w:sz w:val="20"/>
        </w:rPr>
        <w:t xml:space="preserve">” </w:t>
      </w:r>
      <w:r>
        <w:rPr>
          <w:rFonts w:ascii="Times New Roman;serif" w:hAnsi="Times New Roman;serif"/>
          <w:b w:val="false"/>
          <w:sz w:val="20"/>
        </w:rPr>
        <w:t>means (a) prior to the Amendment No. 2 Effective Date, January 31, 2025, and (b) on and after the Amendment No. 2 Effective Date, July 31, 2026 (or, in each case, with respect to any Revolving Lender that has extended its Revolving Commitment pursuant to a Permitted Amendment, the extended maturity date, set forth in any such Loan Modification Agreement).</w:t>
      </w:r>
    </w:p>
    <w:p>
      <w:pPr>
        <w:pStyle w:val="TextBody"/>
        <w:bidi w:val="0"/>
        <w:spacing w:before="240" w:after="0"/>
        <w:jc w:val="both"/>
        <w:rPr/>
      </w:pPr>
      <w:r>
        <w:rPr/>
        <w:t>“</w:t>
      </w:r>
      <w:r>
        <w:rPr>
          <w:rFonts w:ascii="Times New Roman;serif" w:hAnsi="Times New Roman;serif"/>
          <w:b w:val="false"/>
          <w:sz w:val="20"/>
          <w:u w:val="single"/>
        </w:rPr>
        <w:t>Rollover Amendment No. 1 Term Lender</w:t>
      </w:r>
      <w:r>
        <w:rPr>
          <w:rFonts w:ascii="Times New Roman" w:hAnsi="Times New Roman"/>
          <w:sz w:val="20"/>
        </w:rPr>
        <w:t xml:space="preserve">” </w:t>
      </w:r>
      <w:r>
        <w:rPr>
          <w:rFonts w:ascii="Times New Roman;serif" w:hAnsi="Times New Roman;serif"/>
          <w:b w:val="false"/>
          <w:sz w:val="20"/>
        </w:rPr>
        <w:t>means each Term Lender with a Term Loan outstanding on the Amendment No. 1 Effective Date that has consented to exchange such Term Loan into a Term B-1 Loan, and that has been allocated such Term B-1 Loan by the Administrative Agent.</w:t>
      </w:r>
    </w:p>
    <w:p>
      <w:pPr>
        <w:pStyle w:val="TextBody"/>
        <w:bidi w:val="0"/>
        <w:spacing w:before="240" w:after="0"/>
        <w:jc w:val="left"/>
        <w:rPr/>
      </w:pPr>
      <w:r>
        <w:rPr/>
        <w:t>“</w:t>
      </w:r>
      <w:r>
        <w:rPr>
          <w:rFonts w:ascii="Times New Roman;serif" w:hAnsi="Times New Roman;serif"/>
          <w:b w:val="false"/>
          <w:sz w:val="20"/>
          <w:u w:val="single"/>
        </w:rPr>
        <w:t>Run Rate Benefits</w:t>
      </w:r>
      <w:r>
        <w:rPr>
          <w:rFonts w:ascii="Times New Roman" w:hAnsi="Times New Roman"/>
          <w:sz w:val="20"/>
        </w:rPr>
        <w:t xml:space="preserve">” </w:t>
      </w:r>
      <w:r>
        <w:rPr>
          <w:rFonts w:ascii="Times New Roman;serif" w:hAnsi="Times New Roman;serif"/>
          <w:b w:val="false"/>
          <w:sz w:val="20"/>
        </w:rPr>
        <w:t>has the meaning assigned to such term in the definition of “Consolidated EBITDA.”</w:t>
      </w:r>
    </w:p>
    <w:p>
      <w:pPr>
        <w:pStyle w:val="TextBody"/>
        <w:bidi w:val="0"/>
        <w:spacing w:before="240" w:after="0"/>
        <w:jc w:val="left"/>
        <w:rPr/>
      </w:pPr>
      <w:r>
        <w:rPr/>
        <w:t>“</w:t>
      </w:r>
      <w:r>
        <w:rPr>
          <w:rFonts w:ascii="Times New Roman;serif" w:hAnsi="Times New Roman;serif"/>
          <w:b w:val="false"/>
          <w:sz w:val="20"/>
          <w:u w:val="single"/>
        </w:rPr>
        <w:t>S&amp;P</w:t>
      </w:r>
      <w:r>
        <w:rPr>
          <w:rFonts w:ascii="Times New Roman" w:hAnsi="Times New Roman"/>
          <w:sz w:val="20"/>
        </w:rPr>
        <w:t xml:space="preserve">” </w:t>
      </w:r>
      <w:r>
        <w:rPr>
          <w:rFonts w:ascii="Times New Roman;serif" w:hAnsi="Times New Roman;serif"/>
          <w:b w:val="false"/>
          <w:sz w:val="20"/>
        </w:rPr>
        <w:t>means S&amp;P Global Ratings and any successor to its rating agency business.</w:t>
      </w:r>
    </w:p>
    <w:p>
      <w:pPr>
        <w:pStyle w:val="TextBody"/>
        <w:bidi w:val="0"/>
        <w:spacing w:before="240" w:after="0"/>
        <w:jc w:val="both"/>
        <w:rPr/>
      </w:pPr>
      <w:r>
        <w:rPr/>
        <w:t>“</w:t>
      </w:r>
      <w:r>
        <w:rPr>
          <w:rFonts w:ascii="Times New Roman;serif" w:hAnsi="Times New Roman;serif"/>
          <w:b w:val="false"/>
          <w:sz w:val="20"/>
          <w:u w:val="single"/>
        </w:rPr>
        <w:t>Sale Leaseback</w:t>
      </w:r>
      <w:r>
        <w:rPr>
          <w:rFonts w:ascii="Times New Roman" w:hAnsi="Times New Roman"/>
          <w:sz w:val="20"/>
        </w:rPr>
        <w:t xml:space="preserve">” </w:t>
      </w:r>
      <w:r>
        <w:rPr>
          <w:rFonts w:ascii="Times New Roman;serif" w:hAnsi="Times New Roman;serif"/>
          <w:b w:val="false"/>
          <w:sz w:val="20"/>
        </w:rPr>
        <w:t>means any transaction or series of related transactions pursuant to which Holdings, the Borrower or any other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pStyle w:val="TextBody"/>
        <w:bidi w:val="0"/>
        <w:spacing w:before="240" w:after="0"/>
        <w:jc w:val="both"/>
        <w:rPr/>
      </w:pPr>
      <w:r>
        <w:rPr/>
        <w:t>“</w:t>
      </w:r>
      <w:r>
        <w:rPr>
          <w:rFonts w:ascii="Times New Roman;serif" w:hAnsi="Times New Roman;serif"/>
          <w:b w:val="false"/>
          <w:sz w:val="20"/>
          <w:u w:val="single"/>
        </w:rPr>
        <w:t>Sanctions</w:t>
      </w:r>
      <w:r>
        <w:rPr>
          <w:rFonts w:ascii="Times New Roman" w:hAnsi="Times New Roman"/>
          <w:sz w:val="20"/>
        </w:rPr>
        <w:t xml:space="preserve">” </w:t>
      </w:r>
      <w:r>
        <w:rPr>
          <w:rFonts w:ascii="Times New Roman;serif" w:hAnsi="Times New Roman;serif"/>
          <w:b w:val="false"/>
          <w:sz w:val="20"/>
        </w:rPr>
        <w:t>means economic sanctions administered or enforced by the United States Government (including without limitation, sanctions enforced by OFAC), the United Nations Security Council, the European Union or Her Majesty’s Treasury.</w:t>
      </w:r>
    </w:p>
    <w:p>
      <w:pPr>
        <w:pStyle w:val="TextBody"/>
        <w:bidi w:val="0"/>
        <w:spacing w:before="240" w:after="0"/>
        <w:jc w:val="both"/>
        <w:rPr/>
      </w:pPr>
      <w:r>
        <w:rPr/>
        <w:t>“</w:t>
      </w:r>
      <w:r>
        <w:rPr>
          <w:rFonts w:ascii="Times New Roman;serif" w:hAnsi="Times New Roman;serif"/>
          <w:b w:val="false"/>
          <w:sz w:val="20"/>
          <w:u w:val="single"/>
        </w:rPr>
        <w:t>SEC</w:t>
      </w:r>
      <w:r>
        <w:rPr>
          <w:rFonts w:ascii="Times New Roman" w:hAnsi="Times New Roman"/>
          <w:sz w:val="20"/>
        </w:rPr>
        <w:t xml:space="preserve">” </w:t>
      </w:r>
      <w:r>
        <w:rPr>
          <w:rFonts w:ascii="Times New Roman;serif" w:hAnsi="Times New Roman;serif"/>
          <w:b w:val="false"/>
          <w:sz w:val="20"/>
        </w:rPr>
        <w:t>means the Securities and Exchange Commission or any Governmental Authority succeeding to any of its principal functions.</w:t>
      </w:r>
    </w:p>
    <w:p>
      <w:pPr>
        <w:pStyle w:val="TextBody"/>
        <w:bidi w:val="0"/>
        <w:spacing w:before="240" w:after="0"/>
        <w:jc w:val="both"/>
        <w:rPr/>
      </w:pPr>
      <w:r>
        <w:rPr/>
        <w:t>“</w:t>
      </w:r>
      <w:r>
        <w:rPr>
          <w:rFonts w:ascii="Times New Roman;serif" w:hAnsi="Times New Roman;serif"/>
          <w:b w:val="false"/>
          <w:sz w:val="20"/>
          <w:u w:val="single"/>
        </w:rPr>
        <w:t>Second Lien Credit Agreement</w:t>
      </w:r>
      <w:r>
        <w:rPr>
          <w:rFonts w:ascii="Times New Roman" w:hAnsi="Times New Roman"/>
          <w:sz w:val="20"/>
        </w:rPr>
        <w:t xml:space="preserve">” </w:t>
      </w:r>
      <w:r>
        <w:rPr>
          <w:rFonts w:ascii="Times New Roman;serif" w:hAnsi="Times New Roman;serif"/>
          <w:b w:val="false"/>
          <w:sz w:val="20"/>
        </w:rPr>
        <w:t>means the Second Lien Credit Agreement, dated as of the Effective Date, among Holdings, the Borrower, the lenders party thereto and JPMorgan Chase Bank, N.A., as administrative agent and collateral agent.</w:t>
      </w:r>
    </w:p>
    <w:p>
      <w:pPr>
        <w:pStyle w:val="TextBody"/>
        <w:bidi w:val="0"/>
        <w:spacing w:before="240" w:after="0"/>
        <w:jc w:val="both"/>
        <w:rPr/>
      </w:pPr>
      <w:r>
        <w:rPr/>
        <w:t>“</w:t>
      </w:r>
      <w:r>
        <w:rPr>
          <w:rFonts w:ascii="Times New Roman;serif" w:hAnsi="Times New Roman;serif"/>
          <w:b w:val="false"/>
          <w:sz w:val="20"/>
          <w:u w:val="single"/>
        </w:rPr>
        <w:t>Second Lien Credit Documents</w:t>
      </w:r>
      <w:r>
        <w:rPr>
          <w:rFonts w:ascii="Times New Roman" w:hAnsi="Times New Roman"/>
          <w:sz w:val="20"/>
        </w:rPr>
        <w:t xml:space="preserve">” </w:t>
      </w:r>
      <w:r>
        <w:rPr>
          <w:rFonts w:ascii="Times New Roman;serif" w:hAnsi="Times New Roman;serif"/>
          <w:b w:val="false"/>
          <w:sz w:val="20"/>
        </w:rPr>
        <w:t>means the Second Lien Credit Agreement and the other “Credit Documents” (as defined in the Second Lien Credit Agreement).</w:t>
      </w:r>
    </w:p>
    <w:p>
      <w:pPr>
        <w:pStyle w:val="TextBody"/>
        <w:bidi w:val="0"/>
        <w:spacing w:before="240" w:after="0"/>
        <w:jc w:val="both"/>
        <w:rPr/>
      </w:pPr>
      <w:r>
        <w:rPr/>
        <w:t>“</w:t>
      </w:r>
      <w:r>
        <w:rPr>
          <w:rFonts w:ascii="Times New Roman;serif" w:hAnsi="Times New Roman;serif"/>
          <w:b w:val="false"/>
          <w:sz w:val="20"/>
          <w:u w:val="single"/>
        </w:rPr>
        <w:t>Second Lien Incremental Base Amount</w:t>
      </w:r>
      <w:r>
        <w:rPr>
          <w:rFonts w:ascii="Times New Roman" w:hAnsi="Times New Roman"/>
          <w:sz w:val="20"/>
        </w:rPr>
        <w:t xml:space="preserve">” </w:t>
      </w:r>
      <w:r>
        <w:rPr>
          <w:rFonts w:ascii="Times New Roman;serif" w:hAnsi="Times New Roman;serif"/>
          <w:b w:val="false"/>
          <w:sz w:val="20"/>
        </w:rPr>
        <w:t>means the amount of Second Lien Incremental Facilities and Second Lien Incremental Equivalent Debt that may be incurred pursuant to clause (a) of the definition of “Incremental Cap” as defined in the Second Lien Credit Agreement.</w:t>
      </w:r>
    </w:p>
    <w:p>
      <w:pPr>
        <w:pStyle w:val="TextBody"/>
        <w:bidi w:val="0"/>
        <w:spacing w:before="240" w:after="0"/>
        <w:jc w:val="both"/>
        <w:rPr/>
      </w:pPr>
      <w:r>
        <w:rPr/>
        <w:t>“</w:t>
      </w:r>
      <w:r>
        <w:rPr>
          <w:rFonts w:ascii="Times New Roman;serif" w:hAnsi="Times New Roman;serif"/>
          <w:b w:val="false"/>
          <w:sz w:val="20"/>
          <w:u w:val="single"/>
        </w:rPr>
        <w:t>Second Lien Incremental Equivalent Debt</w:t>
      </w:r>
      <w:r>
        <w:rPr>
          <w:rFonts w:ascii="Times New Roman" w:hAnsi="Times New Roman"/>
          <w:sz w:val="20"/>
        </w:rPr>
        <w:t xml:space="preserve">” </w:t>
      </w:r>
      <w:r>
        <w:rPr>
          <w:rFonts w:ascii="Times New Roman;serif" w:hAnsi="Times New Roman;serif"/>
          <w:b w:val="false"/>
          <w:sz w:val="20"/>
        </w:rPr>
        <w:t>means “Incremental Equivalent Debt” as defined in the Second Lien Credit Agreement.</w:t>
      </w:r>
    </w:p>
    <w:p>
      <w:pPr>
        <w:pStyle w:val="TextBody"/>
        <w:bidi w:val="0"/>
        <w:spacing w:before="240" w:after="0"/>
        <w:jc w:val="both"/>
        <w:rPr/>
      </w:pPr>
      <w:r>
        <w:rPr/>
        <w:t>“</w:t>
      </w:r>
      <w:r>
        <w:rPr>
          <w:rFonts w:ascii="Times New Roman;serif" w:hAnsi="Times New Roman;serif"/>
          <w:b w:val="false"/>
          <w:sz w:val="20"/>
          <w:u w:val="single"/>
        </w:rPr>
        <w:t>Second Lien Incremental Facilities</w:t>
      </w:r>
      <w:r>
        <w:rPr>
          <w:rFonts w:ascii="Times New Roman" w:hAnsi="Times New Roman"/>
          <w:sz w:val="20"/>
        </w:rPr>
        <w:t xml:space="preserve">” </w:t>
      </w:r>
      <w:r>
        <w:rPr>
          <w:rFonts w:ascii="Times New Roman;serif" w:hAnsi="Times New Roman;serif"/>
          <w:b w:val="false"/>
          <w:sz w:val="20"/>
        </w:rPr>
        <w:t>means “Incremental Facilities” as defined in the Second Lien Credit Agreement.</w:t>
      </w:r>
    </w:p>
    <w:p>
      <w:pPr>
        <w:pStyle w:val="TextBody"/>
        <w:bidi w:val="0"/>
        <w:spacing w:before="240" w:after="0"/>
        <w:jc w:val="both"/>
        <w:rPr/>
      </w:pPr>
      <w:r>
        <w:rPr/>
        <w:t>“</w:t>
      </w:r>
      <w:r>
        <w:rPr>
          <w:rFonts w:ascii="Times New Roman;serif" w:hAnsi="Times New Roman;serif"/>
          <w:b w:val="false"/>
          <w:sz w:val="20"/>
          <w:u w:val="single"/>
        </w:rPr>
        <w:t>Second Lien Maturity Carveout Permitted Holdings Debt</w:t>
      </w:r>
      <w:r>
        <w:rPr>
          <w:rFonts w:ascii="Times New Roman" w:hAnsi="Times New Roman"/>
          <w:sz w:val="20"/>
        </w:rPr>
        <w:t xml:space="preserve">” </w:t>
      </w:r>
      <w:r>
        <w:rPr>
          <w:rFonts w:ascii="Times New Roman;serif" w:hAnsi="Times New Roman;serif"/>
          <w:b w:val="false"/>
          <w:sz w:val="20"/>
        </w:rPr>
        <w:t>means “Maturity Carveout Permitted Holdings Debt” as defined in the Second Lien Credit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Second Lien Maturity Carveout Refinancing Debt</w:t>
      </w:r>
      <w:r>
        <w:rPr>
          <w:rFonts w:ascii="Times New Roman" w:hAnsi="Times New Roman"/>
          <w:sz w:val="20"/>
        </w:rPr>
        <w:t xml:space="preserve">” </w:t>
      </w:r>
      <w:r>
        <w:rPr>
          <w:rFonts w:ascii="Times New Roman;serif" w:hAnsi="Times New Roman;serif"/>
          <w:b w:val="false"/>
          <w:sz w:val="20"/>
        </w:rPr>
        <w:t>means “Maturity Carveout Refinancing Debt” as defined in the Second Lien Credit Agreement.</w:t>
      </w:r>
    </w:p>
    <w:p>
      <w:pPr>
        <w:pStyle w:val="TextBody"/>
        <w:bidi w:val="0"/>
        <w:spacing w:before="240" w:after="0"/>
        <w:jc w:val="both"/>
        <w:rPr/>
      </w:pPr>
      <w:r>
        <w:rPr/>
        <w:t>“</w:t>
      </w:r>
      <w:r>
        <w:rPr>
          <w:rFonts w:ascii="Times New Roman;serif" w:hAnsi="Times New Roman;serif"/>
          <w:b w:val="false"/>
          <w:sz w:val="20"/>
          <w:u w:val="single"/>
        </w:rPr>
        <w:t>Secured Cash Management Obligations</w:t>
      </w:r>
      <w:r>
        <w:rPr>
          <w:rFonts w:ascii="Times New Roman" w:hAnsi="Times New Roman"/>
          <w:sz w:val="20"/>
        </w:rPr>
        <w:t xml:space="preserve">” </w:t>
      </w:r>
      <w:r>
        <w:rPr>
          <w:rFonts w:ascii="Times New Roman;serif" w:hAnsi="Times New Roman;serif"/>
          <w:b w:val="false"/>
          <w:sz w:val="20"/>
        </w:rPr>
        <w:t>means the due and punctual payment and performance of all obligations of Holdings, the Borrower and the Restricted Subsidiaries in respect of any overdraft, reimbursement and related liabilities arising from treasury, depository, cash pooling arrangements and cash management services, corporate credit and purchasing cards and related programs, letters of credit or any automated clearing house transfers of funds (collectively, “</w:t>
      </w:r>
      <w:r>
        <w:rPr>
          <w:rFonts w:ascii="Times New Roman;serif" w:hAnsi="Times New Roman;serif"/>
          <w:b w:val="false"/>
          <w:sz w:val="20"/>
          <w:u w:val="single"/>
        </w:rPr>
        <w:t>Cash Management Services</w:t>
      </w:r>
      <w:r>
        <w:rPr>
          <w:rFonts w:ascii="Times New Roman" w:hAnsi="Times New Roman"/>
          <w:sz w:val="20"/>
        </w:rPr>
        <w:t>”</w:t>
      </w:r>
      <w:r>
        <w:rPr>
          <w:rFonts w:ascii="Times New Roman;serif" w:hAnsi="Times New Roman;serif"/>
          <w:b w:val="false"/>
          <w:sz w:val="20"/>
        </w:rPr>
        <w:t xml:space="preserve">) provided to Holdings, the Borrower or any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any other Person identified by the Borrower to the Administrative Agent providing Cash Management Services in the form of letters of credit to Holdings, the Borrower or any Subsidiary; it being understood that each such provider of such Cash Management Services to Holdings, the Borrower or any Subsidiary shall be deemed (i) to appoint the Administrative Agent and the Collateral Agent as its agents under the applicable Loan Documents and (ii) to agree to be bound by the provisions of </w:t>
      </w:r>
      <w:r>
        <w:rPr>
          <w:rFonts w:ascii="Times New Roman;serif" w:hAnsi="Times New Roman;serif"/>
          <w:b w:val="false"/>
          <w:sz w:val="20"/>
          <w:u w:val="single"/>
        </w:rPr>
        <w:t>Article VIII</w:t>
      </w:r>
      <w:r>
        <w:rPr>
          <w:rFonts w:ascii="Times New Roman;serif" w:hAnsi="Times New Roman;serif"/>
          <w:b w:val="false"/>
          <w:sz w:val="20"/>
        </w:rPr>
        <w:t xml:space="preserve">, </w:t>
      </w:r>
      <w:r>
        <w:rPr>
          <w:rFonts w:ascii="Times New Roman;serif" w:hAnsi="Times New Roman;serif"/>
          <w:b w:val="false"/>
          <w:sz w:val="20"/>
          <w:u w:val="single"/>
        </w:rPr>
        <w:t>Section 9.03</w:t>
      </w:r>
      <w:r>
        <w:rPr>
          <w:rFonts w:ascii="Times New Roman;serif" w:hAnsi="Times New Roman;serif"/>
          <w:b w:val="false"/>
          <w:sz w:val="20"/>
        </w:rPr>
        <w:t xml:space="preserve">, </w:t>
      </w:r>
      <w:r>
        <w:rPr>
          <w:rFonts w:ascii="Times New Roman;serif" w:hAnsi="Times New Roman;serif"/>
          <w:b w:val="false"/>
          <w:sz w:val="20"/>
          <w:u w:val="single"/>
        </w:rPr>
        <w:t>Section 9.09</w:t>
      </w:r>
      <w:r>
        <w:rPr>
          <w:rFonts w:ascii="Times New Roman" w:hAnsi="Times New Roman"/>
          <w:sz w:val="20"/>
        </w:rPr>
        <w:t xml:space="preserve"> </w:t>
      </w:r>
      <w:r>
        <w:rPr>
          <w:rFonts w:ascii="Times New Roman;serif" w:hAnsi="Times New Roman;serif"/>
          <w:b w:val="false"/>
          <w:sz w:val="20"/>
        </w:rPr>
        <w:t xml:space="preserve">and any applicable Intercreditor Agreement as if it were a Lender;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Dollar Equivalent of the aggregate face amount of letters of credit issued and outstanding constituting Cash Management Services shall not at any time exceed $5,000,000.</w:t>
      </w:r>
    </w:p>
    <w:p>
      <w:pPr>
        <w:pStyle w:val="TextBody"/>
        <w:bidi w:val="0"/>
        <w:spacing w:before="240" w:after="0"/>
        <w:jc w:val="left"/>
        <w:rPr/>
      </w:pPr>
      <w:r>
        <w:rPr/>
        <w:t>“</w:t>
      </w:r>
      <w:r>
        <w:rPr>
          <w:rFonts w:ascii="Times New Roman;serif" w:hAnsi="Times New Roman;serif"/>
          <w:b w:val="false"/>
          <w:sz w:val="20"/>
          <w:u w:val="single"/>
        </w:rPr>
        <w:t>Secured Leverage Ratio</w:t>
      </w:r>
      <w:r>
        <w:rPr>
          <w:rFonts w:ascii="Times New Roman" w:hAnsi="Times New Roman"/>
          <w:sz w:val="20"/>
        </w:rPr>
        <w:t xml:space="preserve">” </w:t>
      </w:r>
      <w:r>
        <w:rPr>
          <w:rFonts w:ascii="Times New Roman;serif" w:hAnsi="Times New Roman;serif"/>
          <w:b w:val="false"/>
          <w:sz w:val="20"/>
        </w:rPr>
        <w:t>means, on any date, the ratio of (a) Consolidated Secured Debt as of such date to (b) Consolidated EBITDA for the Test Period as of such date.</w:t>
      </w:r>
    </w:p>
    <w:p>
      <w:pPr>
        <w:pStyle w:val="TextBody"/>
        <w:bidi w:val="0"/>
        <w:spacing w:before="240" w:after="0"/>
        <w:jc w:val="both"/>
        <w:rPr/>
      </w:pPr>
      <w:r>
        <w:rPr/>
        <w:t>“</w:t>
      </w:r>
      <w:r>
        <w:rPr>
          <w:rFonts w:ascii="Times New Roman;serif" w:hAnsi="Times New Roman;serif"/>
          <w:b w:val="false"/>
          <w:sz w:val="20"/>
          <w:u w:val="single"/>
        </w:rPr>
        <w:t>Secured Obligations</w:t>
      </w:r>
      <w:r>
        <w:rPr>
          <w:rFonts w:ascii="Times New Roman" w:hAnsi="Times New Roman"/>
          <w:sz w:val="20"/>
        </w:rPr>
        <w:t xml:space="preserve">” </w:t>
      </w:r>
      <w:r>
        <w:rPr>
          <w:rFonts w:ascii="Times New Roman;serif" w:hAnsi="Times New Roman;serif"/>
          <w:b w:val="false"/>
          <w:sz w:val="20"/>
        </w:rPr>
        <w:t>means (a) the Loan Document Obligations, (b) the Secured Cash Management Obligations and (c) the Secured Swap Obligations (excluding with respect to any Loan Party, Excluded Swap Obligations of such Loan Party).</w:t>
      </w:r>
    </w:p>
    <w:p>
      <w:pPr>
        <w:pStyle w:val="TextBody"/>
        <w:bidi w:val="0"/>
        <w:spacing w:before="240" w:after="0"/>
        <w:jc w:val="left"/>
        <w:rPr/>
      </w:pPr>
      <w:r>
        <w:rPr/>
        <w:t>“</w:t>
      </w:r>
      <w:r>
        <w:rPr>
          <w:rFonts w:ascii="Times New Roman;serif" w:hAnsi="Times New Roman;serif"/>
          <w:b w:val="false"/>
          <w:sz w:val="20"/>
          <w:u w:val="single"/>
        </w:rPr>
        <w:t>Secured Parties</w:t>
      </w:r>
      <w:r>
        <w:rPr>
          <w:rFonts w:ascii="Times New Roman" w:hAnsi="Times New Roman"/>
          <w:sz w:val="20"/>
        </w:rPr>
        <w:t xml:space="preserve">” </w:t>
      </w:r>
      <w:r>
        <w:rPr>
          <w:rFonts w:ascii="Times New Roman;serif" w:hAnsi="Times New Roman;serif"/>
          <w:b w:val="false"/>
          <w:sz w:val="20"/>
        </w:rPr>
        <w:t>means (a) each Lender and Issuing Bank, (b) the Administrative Agent and the Collateral Agent, (c) each Joint Bookrunner, (d) each Person to whom any Secured Cash Management Obligations are owed, (e) each counterparty to any Swap Agreement the obligations under which constitute Secured Swap Obligations and (f) the permitted successors and assigns of each of the foregoing.</w:t>
      </w:r>
    </w:p>
    <w:p>
      <w:pPr>
        <w:pStyle w:val="TextBody"/>
        <w:bidi w:val="0"/>
        <w:spacing w:before="240" w:after="0"/>
        <w:jc w:val="both"/>
        <w:rPr/>
      </w:pPr>
      <w:r>
        <w:rPr/>
        <w:t>“</w:t>
      </w:r>
      <w:r>
        <w:rPr>
          <w:rFonts w:ascii="Times New Roman;serif" w:hAnsi="Times New Roman;serif"/>
          <w:b w:val="false"/>
          <w:sz w:val="20"/>
          <w:u w:val="single"/>
        </w:rPr>
        <w:t>Secured Swap Obligations</w:t>
      </w:r>
      <w:r>
        <w:rPr>
          <w:rFonts w:ascii="Times New Roman" w:hAnsi="Times New Roman"/>
          <w:sz w:val="20"/>
        </w:rPr>
        <w:t xml:space="preserve">” </w:t>
      </w:r>
      <w:r>
        <w:rPr>
          <w:rFonts w:ascii="Times New Roman;serif" w:hAnsi="Times New Roman;serif"/>
          <w:b w:val="false"/>
          <w:sz w:val="20"/>
        </w:rPr>
        <w:t>means all obligations of Holdings, the Borrower and the Restricted Subsidiaries under each Swap Agreement that (a) is with a counterparty that is the Administrative Agent or any of its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pStyle w:val="TextBody"/>
        <w:bidi w:val="0"/>
        <w:spacing w:before="240" w:after="0"/>
        <w:jc w:val="both"/>
        <w:rPr/>
      </w:pPr>
      <w:r>
        <w:rPr/>
        <w:t>“</w:t>
      </w:r>
      <w:r>
        <w:rPr>
          <w:rFonts w:ascii="Times New Roman;serif" w:hAnsi="Times New Roman;serif"/>
          <w:b w:val="false"/>
          <w:sz w:val="20"/>
          <w:u w:val="single"/>
        </w:rPr>
        <w:t>Security Documents</w:t>
      </w:r>
      <w:r>
        <w:rPr>
          <w:rFonts w:ascii="Times New Roman" w:hAnsi="Times New Roman"/>
          <w:sz w:val="20"/>
        </w:rPr>
        <w:t xml:space="preserve">” </w:t>
      </w:r>
      <w:r>
        <w:rPr>
          <w:rFonts w:ascii="Times New Roman;serif" w:hAnsi="Times New Roman;serif"/>
          <w:b w:val="false"/>
          <w:sz w:val="20"/>
        </w:rPr>
        <w:t xml:space="preserve">means the Collateral Agreement, the Mortgages and each other security agreement or pledge agreement executed and delivered pursuant to the Collateral and Guarantee Requirement, </w:t>
      </w:r>
      <w:r>
        <w:rPr>
          <w:rFonts w:ascii="Times New Roman;serif" w:hAnsi="Times New Roman;serif"/>
          <w:b w:val="false"/>
          <w:sz w:val="20"/>
          <w:u w:val="single"/>
        </w:rPr>
        <w:t>Section 4.01(f)</w:t>
      </w:r>
      <w:r>
        <w:rPr>
          <w:rFonts w:ascii="Times New Roman;serif" w:hAnsi="Times New Roman;serif"/>
          <w:b w:val="false"/>
          <w:sz w:val="20"/>
        </w:rPr>
        <w:t xml:space="preserve">, </w:t>
      </w:r>
      <w:r>
        <w:rPr>
          <w:rFonts w:ascii="Times New Roman;serif" w:hAnsi="Times New Roman;serif"/>
          <w:b w:val="false"/>
          <w:sz w:val="20"/>
          <w:u w:val="single"/>
        </w:rPr>
        <w:t>Section 5.11</w:t>
      </w:r>
      <w:r>
        <w:rPr>
          <w:rFonts w:ascii="Times New Roman;serif" w:hAnsi="Times New Roman;serif"/>
          <w:b w:val="false"/>
          <w:sz w:val="20"/>
        </w:rPr>
        <w:t xml:space="preserve">, </w:t>
      </w:r>
      <w:r>
        <w:rPr>
          <w:rFonts w:ascii="Times New Roman;serif" w:hAnsi="Times New Roman;serif"/>
          <w:b w:val="false"/>
          <w:sz w:val="20"/>
          <w:u w:val="single"/>
        </w:rPr>
        <w:t>Section 5.12</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5.14</w:t>
      </w:r>
      <w:r>
        <w:rPr>
          <w:rFonts w:ascii="Times New Roman" w:hAnsi="Times New Roman"/>
          <w:sz w:val="20"/>
        </w:rPr>
        <w:t xml:space="preserve"> </w:t>
      </w:r>
      <w:r>
        <w:rPr>
          <w:rFonts w:ascii="Times New Roman;serif" w:hAnsi="Times New Roman;serif"/>
          <w:b w:val="false"/>
          <w:sz w:val="20"/>
        </w:rPr>
        <w:t>to secure any of the Secured Obligations.</w:t>
      </w:r>
    </w:p>
    <w:p>
      <w:pPr>
        <w:pStyle w:val="TextBody"/>
        <w:bidi w:val="0"/>
        <w:spacing w:before="240" w:after="0"/>
        <w:jc w:val="both"/>
        <w:rPr/>
      </w:pPr>
      <w:r>
        <w:rPr/>
        <w:t>“</w:t>
      </w:r>
      <w:r>
        <w:rPr>
          <w:rFonts w:ascii="Times New Roman;serif" w:hAnsi="Times New Roman;serif"/>
          <w:b w:val="false"/>
          <w:sz w:val="20"/>
          <w:u w:val="single"/>
        </w:rPr>
        <w:t>Senior Representative</w:t>
      </w:r>
      <w:r>
        <w:rPr>
          <w:rFonts w:ascii="Times New Roman" w:hAnsi="Times New Roman"/>
          <w:sz w:val="20"/>
        </w:rPr>
        <w:t xml:space="preserve">” </w:t>
      </w:r>
      <w:r>
        <w:rPr>
          <w:rFonts w:ascii="Times New Roman;serif" w:hAnsi="Times New Roman;serif"/>
          <w:b w:val="false"/>
          <w:sz w:val="20"/>
        </w:rPr>
        <w:t>means, with respect to any series of Permitted First Priority Refinancing Debt, Permitted Second Priority Refinancing Debt or other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240" w:after="0"/>
        <w:jc w:val="both"/>
        <w:rPr/>
      </w:pPr>
      <w:r>
        <w:rPr/>
        <w:t>“</w:t>
      </w:r>
      <w:r>
        <w:rPr>
          <w:rFonts w:ascii="Times New Roman;serif" w:hAnsi="Times New Roman;serif"/>
          <w:b w:val="false"/>
          <w:sz w:val="20"/>
          <w:u w:val="single"/>
        </w:rPr>
        <w:t>Significant Subsidiary</w:t>
      </w:r>
      <w:r>
        <w:rPr>
          <w:rFonts w:ascii="Times New Roman" w:hAnsi="Times New Roman"/>
          <w:sz w:val="20"/>
        </w:rPr>
        <w:t xml:space="preserve">” </w:t>
      </w:r>
      <w:r>
        <w:rPr>
          <w:rFonts w:ascii="Times New Roman;serif" w:hAnsi="Times New Roman;serif"/>
          <w:b w:val="false"/>
          <w:sz w:val="20"/>
        </w:rPr>
        <w:t xml:space="preserve">means any Restricted Subsidiary that, or any group of Restricted Subsidiaries that, taken together, as of the last day of the fiscal quarter of the Borrower most recently ended for which financial statements are available, had revenues or total assets for such quarter in excess of 10.0% of the consolidated revenues or total assets, as applicable, of the Borrower for such quarter;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solely for purposes of </w:t>
      </w:r>
      <w:r>
        <w:rPr>
          <w:rFonts w:ascii="Times New Roman;serif" w:hAnsi="Times New Roman;serif"/>
          <w:b w:val="false"/>
          <w:sz w:val="20"/>
          <w:u w:val="single"/>
        </w:rPr>
        <w:t>Sections 7.01(h)</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(i)</w:t>
      </w:r>
      <w:r>
        <w:rPr>
          <w:rFonts w:ascii="Times New Roman;serif" w:hAnsi="Times New Roman;serif"/>
          <w:b w:val="false"/>
          <w:sz w:val="20"/>
        </w:rPr>
        <w:t>, each Restricted Subsidiary forming part of such group is subject to an Event of Default under one or more of such Sections.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Similar Business</w:t>
      </w:r>
      <w:r>
        <w:rPr>
          <w:rFonts w:ascii="Times New Roman" w:hAnsi="Times New Roman"/>
          <w:sz w:val="20"/>
        </w:rPr>
        <w:t xml:space="preserve">” </w:t>
      </w:r>
      <w:r>
        <w:rPr>
          <w:rFonts w:ascii="Times New Roman;serif" w:hAnsi="Times New Roman;serif"/>
          <w:b w:val="false"/>
          <w:sz w:val="20"/>
        </w:rPr>
        <w:t>means any business conducted or proposed to be conducted by Holdings, the Borrower and the Restricted Subsidiaries on the Effective Date or any business that is similar, reasonably related, synergistic, incidental, or ancillary thereto.</w:t>
      </w:r>
    </w:p>
    <w:p>
      <w:pPr>
        <w:pStyle w:val="TextBody"/>
        <w:bidi w:val="0"/>
        <w:spacing w:before="240" w:after="0"/>
        <w:jc w:val="both"/>
        <w:rPr/>
      </w:pPr>
      <w:r>
        <w:rPr/>
        <w:t>“</w:t>
      </w:r>
      <w:r>
        <w:rPr>
          <w:rFonts w:ascii="Times New Roman;serif" w:hAnsi="Times New Roman;serif"/>
          <w:b w:val="false"/>
          <w:sz w:val="20"/>
          <w:u w:val="single"/>
        </w:rPr>
        <w:t>SLP Fund</w:t>
      </w:r>
      <w:r>
        <w:rPr>
          <w:rFonts w:ascii="Times New Roman" w:hAnsi="Times New Roman"/>
          <w:sz w:val="20"/>
        </w:rPr>
        <w:t xml:space="preserve">” </w:t>
      </w:r>
      <w:r>
        <w:rPr>
          <w:rFonts w:ascii="Times New Roman;serif" w:hAnsi="Times New Roman;serif"/>
          <w:b w:val="false"/>
          <w:sz w:val="20"/>
        </w:rPr>
        <w:t>means the collective reference to Silver Lake Partners V, L.P. and any of its parallel funds, feeder funds, alternative investment vehicles, co-investment entities, and, in each case, its or their respective predecessor and/or successor funds, vehicles and/or entities.</w:t>
      </w:r>
    </w:p>
    <w:p>
      <w:pPr>
        <w:pStyle w:val="TextBody"/>
        <w:bidi w:val="0"/>
        <w:spacing w:before="240" w:after="0"/>
        <w:jc w:val="both"/>
        <w:rPr/>
      </w:pPr>
      <w:r>
        <w:rPr/>
        <w:t>“</w:t>
      </w:r>
      <w:r>
        <w:rPr>
          <w:rFonts w:ascii="Times New Roman;serif" w:hAnsi="Times New Roman;serif"/>
          <w:b w:val="false"/>
          <w:sz w:val="20"/>
          <w:u w:val="single"/>
        </w:rPr>
        <w:t>SOFR</w:t>
      </w:r>
      <w:r>
        <w:rPr>
          <w:rFonts w:ascii="Times New Roman" w:hAnsi="Times New Roman"/>
          <w:sz w:val="20"/>
        </w:rPr>
        <w:t xml:space="preserve">” </w:t>
      </w:r>
      <w:r>
        <w:rPr>
          <w:rFonts w:ascii="Times New Roman;serif" w:hAnsi="Times New Roman;serif"/>
          <w:b w:val="false"/>
          <w:sz w:val="20"/>
        </w:rPr>
        <w:t>means,</w:t>
      </w:r>
      <w:r>
        <w:rPr>
          <w:rFonts w:ascii="Times New Roman" w:hAnsi="Times New Roman"/>
          <w:strike/>
          <w:sz w:val="20"/>
        </w:rPr>
        <w:t xml:space="preserve"> </w:t>
      </w:r>
      <w:r>
        <w:rPr>
          <w:rFonts w:ascii="Times New Roman;serif" w:hAnsi="Times New Roman;serif"/>
          <w:b w:val="false"/>
          <w:strike/>
          <w:sz w:val="20"/>
        </w:rPr>
        <w:t>with respect to any day, the secured overnight financing rate published for such day</w:t>
      </w:r>
      <w:r>
        <w:rPr>
          <w:rFonts w:ascii="Times New Roman" w:hAnsi="Times New Roman"/>
          <w:sz w:val="20"/>
          <w:u w:val="single"/>
        </w:rPr>
        <w:t xml:space="preserve"> </w:t>
      </w:r>
      <w:r>
        <w:rPr>
          <w:rFonts w:ascii="Times New Roman;serif" w:hAnsi="Times New Roman;serif"/>
          <w:b w:val="false"/>
          <w:sz w:val="20"/>
          <w:u w:val="single"/>
        </w:rPr>
        <w:t>the</w:t>
      </w:r>
      <w:r>
        <w:rPr>
          <w:rFonts w:ascii="Times New Roman" w:hAnsi="Times New Roman"/>
          <w:sz w:val="20"/>
        </w:rPr>
        <w:t xml:space="preserve"> </w:t>
      </w:r>
      <w:r>
        <w:rPr>
          <w:rFonts w:ascii="Times New Roman;serif" w:hAnsi="Times New Roman;serif"/>
          <w:b w:val="false"/>
          <w:sz w:val="20"/>
          <w:u w:val="single"/>
        </w:rPr>
        <w:t>Secured Overnight Financing Rate as administered</w:t>
      </w:r>
      <w:r>
        <w:rPr>
          <w:rFonts w:ascii="Times New Roman" w:hAnsi="Times New Roman"/>
          <w:sz w:val="20"/>
        </w:rPr>
        <w:t xml:space="preserve"> </w:t>
      </w:r>
      <w:r>
        <w:rPr>
          <w:rFonts w:ascii="Times New Roman;serif" w:hAnsi="Times New Roman;serif"/>
          <w:b w:val="false"/>
          <w:sz w:val="20"/>
        </w:rPr>
        <w:t>by the Federal Reserve Bank of New York,</w:t>
      </w:r>
      <w:r>
        <w:rPr>
          <w:rFonts w:ascii="Times New Roman" w:hAnsi="Times New Roman"/>
          <w:strike/>
          <w:sz w:val="20"/>
        </w:rPr>
        <w:t xml:space="preserve"> </w:t>
      </w:r>
      <w:r>
        <w:rPr>
          <w:rFonts w:ascii="Times New Roman;serif" w:hAnsi="Times New Roman;serif"/>
          <w:b w:val="false"/>
          <w:strike/>
          <w:sz w:val="20"/>
        </w:rPr>
        <w:t>as the administrator</w:t>
      </w:r>
      <w:r>
        <w:rPr>
          <w:rFonts w:ascii="Times New Roman" w:hAnsi="Times New Roman"/>
          <w:sz w:val="20"/>
        </w:rPr>
        <w:t xml:space="preserve"> </w:t>
      </w:r>
      <w:r>
        <w:rPr>
          <w:rFonts w:ascii="Times New Roman;serif" w:hAnsi="Times New Roman;serif"/>
          <w:b w:val="false"/>
          <w:strike/>
          <w:sz w:val="20"/>
        </w:rPr>
        <w:t>of the benchmark</w:t>
      </w:r>
      <w:r>
        <w:rPr>
          <w:rFonts w:ascii="Times New Roman" w:hAnsi="Times New Roman"/>
          <w:sz w:val="20"/>
        </w:rPr>
        <w:t xml:space="preserve"> </w:t>
      </w:r>
      <w:r>
        <w:rPr>
          <w:rFonts w:ascii="Times New Roman;serif" w:hAnsi="Times New Roman;serif"/>
          <w:b w:val="false"/>
          <w:sz w:val="20"/>
        </w:rPr>
        <w:t>(or a successor administrator)</w:t>
      </w:r>
      <w:r>
        <w:rPr>
          <w:rFonts w:ascii="Times New Roman" w:hAnsi="Times New Roman"/>
          <w:strike/>
          <w:sz w:val="20"/>
        </w:rPr>
        <w:t xml:space="preserve"> </w:t>
      </w:r>
      <w:r>
        <w:rPr>
          <w:rFonts w:ascii="Times New Roman;serif" w:hAnsi="Times New Roman;serif"/>
          <w:b w:val="false"/>
          <w:strike/>
          <w:sz w:val="20"/>
        </w:rPr>
        <w:t>on the Federal Reserve Bank of New York’s website (or any</w:t>
      </w:r>
      <w:r>
        <w:rPr>
          <w:rFonts w:ascii="Times New Roman" w:hAnsi="Times New Roman"/>
          <w:sz w:val="20"/>
        </w:rPr>
        <w:t xml:space="preserve"> </w:t>
      </w:r>
      <w:r>
        <w:rPr>
          <w:rFonts w:ascii="Times New Roman;serif" w:hAnsi="Times New Roman;serif"/>
          <w:b w:val="false"/>
          <w:strike/>
          <w:sz w:val="20"/>
        </w:rPr>
        <w:t>successor source) and, in each case, that has been selected or recommended by the Relevant Governmental</w:t>
      </w:r>
      <w:r>
        <w:rPr>
          <w:rFonts w:ascii="Times New Roman" w:hAnsi="Times New Roman"/>
          <w:sz w:val="20"/>
        </w:rPr>
        <w:t xml:space="preserve"> </w:t>
      </w:r>
      <w:r>
        <w:rPr>
          <w:rFonts w:ascii="Times New Roman;serif" w:hAnsi="Times New Roman;serif"/>
          <w:b w:val="false"/>
          <w:strike/>
          <w:sz w:val="20"/>
        </w:rPr>
        <w:t>Body.</w:t>
      </w:r>
      <w:r>
        <w:rPr>
          <w:rFonts w:ascii="Times New Roman" w:hAnsi="Times New Roman"/>
          <w:strike/>
          <w:sz w:val="20"/>
        </w:rPr>
        <w:t>“</w:t>
      </w:r>
      <w:r>
        <w:rPr>
          <w:rFonts w:ascii="Times New Roman;serif" w:hAnsi="Times New Roman;serif"/>
          <w:b w:val="false"/>
          <w:strike/>
          <w:sz w:val="20"/>
          <w:u w:val="single"/>
        </w:rPr>
        <w:t>SOFR-Based Rate</w:t>
      </w:r>
      <w:r>
        <w:rPr>
          <w:rFonts w:ascii="Times New Roman" w:hAnsi="Times New Roman"/>
          <w:strike/>
          <w:sz w:val="20"/>
        </w:rPr>
        <w:t xml:space="preserve">” </w:t>
      </w:r>
      <w:r>
        <w:rPr>
          <w:rFonts w:ascii="Times New Roman;serif" w:hAnsi="Times New Roman;serif"/>
          <w:b w:val="false"/>
          <w:strike/>
          <w:sz w:val="20"/>
        </w:rPr>
        <w:t>means SOFR or Term SOFR.</w:t>
      </w:r>
    </w:p>
    <w:p>
      <w:pPr>
        <w:pStyle w:val="TextBody"/>
        <w:bidi w:val="0"/>
        <w:spacing w:before="240" w:after="0"/>
        <w:jc w:val="both"/>
        <w:rPr/>
      </w:pPr>
      <w:r>
        <w:rPr/>
        <w:t>“</w:t>
      </w:r>
      <w:r>
        <w:rPr>
          <w:rFonts w:ascii="Times New Roman;serif" w:hAnsi="Times New Roman;serif"/>
          <w:b w:val="false"/>
          <w:sz w:val="20"/>
          <w:u w:val="single"/>
        </w:rPr>
        <w:t>Sold Entity or Business</w:t>
      </w:r>
      <w:r>
        <w:rPr>
          <w:rFonts w:ascii="Times New Roman" w:hAnsi="Times New Roman"/>
          <w:sz w:val="20"/>
        </w:rPr>
        <w:t xml:space="preserve">” </w:t>
      </w:r>
      <w:r>
        <w:rPr>
          <w:rFonts w:ascii="Times New Roman;serif" w:hAnsi="Times New Roman;serif"/>
          <w:b w:val="false"/>
          <w:sz w:val="20"/>
        </w:rPr>
        <w:t>has the meaning assigned to such term in the definition of “Consolidated EBITDA.”</w:t>
      </w:r>
    </w:p>
    <w:p>
      <w:pPr>
        <w:pStyle w:val="TextBody"/>
        <w:bidi w:val="0"/>
        <w:spacing w:before="240" w:after="0"/>
        <w:jc w:val="left"/>
        <w:rPr/>
      </w:pPr>
      <w:r>
        <w:rPr/>
        <w:t>“</w:t>
      </w:r>
      <w:r>
        <w:rPr>
          <w:rFonts w:ascii="Times New Roman;serif" w:hAnsi="Times New Roman;serif"/>
          <w:b w:val="false"/>
          <w:sz w:val="20"/>
          <w:u w:val="single"/>
        </w:rPr>
        <w:t>Solicited Discount Proration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Solicited Discounted Prepayment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2.11(a)(ii)(D)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Solicited Discounted Prepayment Notice</w:t>
      </w:r>
      <w:r>
        <w:rPr>
          <w:rFonts w:ascii="Times New Roman" w:hAnsi="Times New Roman"/>
          <w:sz w:val="20"/>
        </w:rPr>
        <w:t xml:space="preserve">” </w:t>
      </w:r>
      <w:r>
        <w:rPr>
          <w:rFonts w:ascii="Times New Roman;serif" w:hAnsi="Times New Roman;serif"/>
          <w:b w:val="false"/>
          <w:sz w:val="20"/>
        </w:rPr>
        <w:t xml:space="preserve">means an irrevocable written notice of a Borrower Solicitation of Discounted Prepayment Offers made pursuant to </w:t>
      </w:r>
      <w:r>
        <w:rPr>
          <w:rFonts w:ascii="Times New Roman;serif" w:hAnsi="Times New Roman;serif"/>
          <w:b w:val="false"/>
          <w:sz w:val="20"/>
          <w:u w:val="single"/>
        </w:rPr>
        <w:t>Section 2.11(a)(ii)(D)</w:t>
      </w:r>
      <w:r>
        <w:rPr>
          <w:rFonts w:ascii="Times New Roman" w:hAnsi="Times New Roman"/>
          <w:sz w:val="20"/>
        </w:rPr>
        <w:t xml:space="preserve"> </w:t>
      </w:r>
      <w:r>
        <w:rPr>
          <w:rFonts w:ascii="Times New Roman;serif" w:hAnsi="Times New Roman;serif"/>
          <w:b w:val="false"/>
          <w:sz w:val="20"/>
        </w:rPr>
        <w:t xml:space="preserve">substantially in the form of </w:t>
      </w:r>
      <w:r>
        <w:rPr>
          <w:rFonts w:ascii="Times New Roman;serif" w:hAnsi="Times New Roman;serif"/>
          <w:b w:val="false"/>
          <w:sz w:val="20"/>
          <w:u w:val="single"/>
        </w:rPr>
        <w:t>Exhibit M</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Solicited Discounted Prepayment Offer</w:t>
      </w:r>
      <w:r>
        <w:rPr>
          <w:rFonts w:ascii="Times New Roman" w:hAnsi="Times New Roman"/>
          <w:sz w:val="20"/>
        </w:rPr>
        <w:t xml:space="preserve">” </w:t>
      </w:r>
      <w:r>
        <w:rPr>
          <w:rFonts w:ascii="Times New Roman;serif" w:hAnsi="Times New Roman;serif"/>
          <w:b w:val="false"/>
          <w:sz w:val="20"/>
        </w:rPr>
        <w:t xml:space="preserve">means the irrevocable written offer by each Lender, substantially in the form of </w:t>
      </w:r>
      <w:r>
        <w:rPr>
          <w:rFonts w:ascii="Times New Roman;serif" w:hAnsi="Times New Roman;serif"/>
          <w:b w:val="false"/>
          <w:sz w:val="20"/>
          <w:u w:val="single"/>
        </w:rPr>
        <w:t>Exhibit N</w:t>
      </w:r>
      <w:r>
        <w:rPr>
          <w:rFonts w:ascii="Times New Roman;serif" w:hAnsi="Times New Roman;serif"/>
          <w:b w:val="false"/>
          <w:sz w:val="20"/>
        </w:rPr>
        <w:t>, submitted following the Administrative Agent’s receipt of a Solicited Discounted Prepayment Notice.</w:t>
      </w:r>
    </w:p>
    <w:p>
      <w:pPr>
        <w:pStyle w:val="TextBody"/>
        <w:bidi w:val="0"/>
        <w:spacing w:before="240" w:after="0"/>
        <w:jc w:val="both"/>
        <w:rPr/>
      </w:pPr>
      <w:r>
        <w:rPr/>
        <w:t>“</w:t>
      </w:r>
      <w:r>
        <w:rPr>
          <w:rFonts w:ascii="Times New Roman;serif" w:hAnsi="Times New Roman;serif"/>
          <w:b w:val="false"/>
          <w:sz w:val="20"/>
          <w:u w:val="single"/>
        </w:rPr>
        <w:t>Solicited Discounted Prepayment Response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2.11(a)(ii)(D)</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Solvent</w:t>
      </w:r>
      <w:r>
        <w:rPr>
          <w:rFonts w:ascii="Times New Roman" w:hAnsi="Times New Roman"/>
          <w:sz w:val="20"/>
        </w:rPr>
        <w:t xml:space="preserve">” </w:t>
      </w:r>
      <w:r>
        <w:rPr>
          <w:rFonts w:ascii="Times New Roman;serif" w:hAnsi="Times New Roman;serif"/>
          <w:b w:val="false"/>
          <w:sz w:val="20"/>
        </w:rPr>
        <w:t>means (a) the Fair Value of the assets of the Borrower and its Subsidiaries on a consolidated basis taken as a whole exceeds their Liabilities, (b) the Present Fair Saleable Value of the assets of the Borrower and its Subsidiaries on a consolidated basis taken as a whole exceeds their Liabilities, (c) the Borrower and its Subsidiaries on a consolidated basis taken as a whole after consummation of the Transactions is a going concern and has sufficient capital to reasonably ensure that it will continue to be a going concern for the period from the date hereof through the Latest Maturity Date taking into account the nature of, and the needs and anticipated needs for capital of, the particular business or businesses conducted or to be conducted by the Borrower and its Subsidiaries on a consolidated basis as reflected in the projected financial statements and in light of the anticipated credit capacity and (d) for the period from the date hereof through the Latest Maturity Date, the Borrower and its Subsidiaries on a consolidated basis taken as a whole will have sufficient assets and cash flow to pay their Liabilities as those liabilities mature or (in the case of contingent Liabilities) otherwise become payable, in light of business conducted or anticipated to be conducted by the Borrower and its Subsidiaries as reflected in the projected financial statements and in light of the anticipated credit capacity.</w:t>
      </w:r>
    </w:p>
    <w:p>
      <w:pPr>
        <w:pStyle w:val="TextBody"/>
        <w:bidi w:val="0"/>
        <w:spacing w:before="240" w:after="0"/>
        <w:jc w:val="both"/>
        <w:rPr/>
      </w:pPr>
      <w:r>
        <w:rPr/>
        <w:t>“</w:t>
      </w:r>
      <w:r>
        <w:rPr>
          <w:rFonts w:ascii="Times New Roman;serif" w:hAnsi="Times New Roman;serif"/>
          <w:b w:val="false"/>
          <w:sz w:val="20"/>
          <w:u w:val="single"/>
        </w:rPr>
        <w:t>Special Purpose Entity</w:t>
      </w:r>
      <w:r>
        <w:rPr>
          <w:rFonts w:ascii="Times New Roman" w:hAnsi="Times New Roman"/>
          <w:sz w:val="20"/>
        </w:rPr>
        <w:t xml:space="preserve">” </w:t>
      </w:r>
      <w:r>
        <w:rPr>
          <w:rFonts w:ascii="Times New Roman;serif" w:hAnsi="Times New Roman;serif"/>
          <w:b w:val="false"/>
          <w:sz w:val="20"/>
        </w:rPr>
        <w:t>means a direct or indirect subsidiary of Holdings, whose organizational documents contain restrictions on its purpose and activities and impose requirements intended to preserve its separateness from Holdings and/or one or more Subsidiaries of Holdings.</w:t>
      </w:r>
    </w:p>
    <w:p>
      <w:pPr>
        <w:pStyle w:val="TextBody"/>
        <w:bidi w:val="0"/>
        <w:spacing w:before="240" w:after="0"/>
        <w:jc w:val="both"/>
        <w:rPr/>
      </w:pPr>
      <w:r>
        <w:rPr/>
        <w:t>“</w:t>
      </w:r>
      <w:r>
        <w:rPr>
          <w:rFonts w:ascii="Times New Roman;serif" w:hAnsi="Times New Roman;serif"/>
          <w:b w:val="false"/>
          <w:sz w:val="20"/>
          <w:u w:val="single"/>
        </w:rPr>
        <w:t>Specified Acquisition Agreement Representations</w:t>
      </w:r>
      <w:r>
        <w:rPr>
          <w:rFonts w:ascii="Times New Roman" w:hAnsi="Times New Roman"/>
          <w:sz w:val="20"/>
        </w:rPr>
        <w:t xml:space="preserve">” </w:t>
      </w:r>
      <w:r>
        <w:rPr>
          <w:rFonts w:ascii="Times New Roman;serif" w:hAnsi="Times New Roman;serif"/>
          <w:b w:val="false"/>
          <w:sz w:val="20"/>
        </w:rPr>
        <w:t>means the representations and warranties made by, or with respect to, the Target and its subsidiaries in the Acquisition Agreement as are material to the interests of the Lenders, but only to the extent that Holdings (or its Affiliates) has the right (taking into account applicable cure provisions) to terminate its obligations under the Acquisition Agreement or to decline to consummate the Acquisition (in each case, in accordance with the terms of the Acquisition Agreement) as a result of a breach of such representations and warranties in the Acquisition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w:t>
      </w:r>
      <w:r>
        <w:rPr>
          <w:rFonts w:ascii="Times New Roman;serif" w:hAnsi="Times New Roman;serif"/>
          <w:b w:val="false"/>
          <w:sz w:val="20"/>
          <w:u w:val="single"/>
        </w:rPr>
        <w:t>Specified Discount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2.11(a)(ii)(B)</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Specified Discount Prepayment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2.11(a)(ii)(B)</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Specified Discount Prepayment Notice</w:t>
      </w:r>
      <w:r>
        <w:rPr>
          <w:rFonts w:ascii="Times New Roman" w:hAnsi="Times New Roman"/>
          <w:sz w:val="20"/>
        </w:rPr>
        <w:t xml:space="preserve">” </w:t>
      </w:r>
      <w:r>
        <w:rPr>
          <w:rFonts w:ascii="Times New Roman;serif" w:hAnsi="Times New Roman;serif"/>
          <w:b w:val="false"/>
          <w:sz w:val="20"/>
        </w:rPr>
        <w:t xml:space="preserve">means an irrevocable written notice of a Borrower Offer of Specified Discount Prepayment made pursuant to </w:t>
      </w:r>
      <w:r>
        <w:rPr>
          <w:rFonts w:ascii="Times New Roman;serif" w:hAnsi="Times New Roman;serif"/>
          <w:b w:val="false"/>
          <w:sz w:val="20"/>
          <w:u w:val="single"/>
        </w:rPr>
        <w:t>Section 2.11(a)(ii)(B)</w:t>
      </w:r>
      <w:r>
        <w:rPr>
          <w:rFonts w:ascii="Times New Roman" w:hAnsi="Times New Roman"/>
          <w:sz w:val="20"/>
        </w:rPr>
        <w:t xml:space="preserve"> </w:t>
      </w:r>
      <w:r>
        <w:rPr>
          <w:rFonts w:ascii="Times New Roman;serif" w:hAnsi="Times New Roman;serif"/>
          <w:b w:val="false"/>
          <w:sz w:val="20"/>
        </w:rPr>
        <w:t xml:space="preserve">substantially in the form of </w:t>
      </w:r>
      <w:r>
        <w:rPr>
          <w:rFonts w:ascii="Times New Roman;serif" w:hAnsi="Times New Roman;serif"/>
          <w:b w:val="false"/>
          <w:sz w:val="20"/>
          <w:u w:val="single"/>
        </w:rPr>
        <w:t>Exhibit 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Specified Discount Prepayment Response</w:t>
      </w:r>
      <w:r>
        <w:rPr>
          <w:rFonts w:ascii="Times New Roman" w:hAnsi="Times New Roman"/>
          <w:sz w:val="20"/>
        </w:rPr>
        <w:t xml:space="preserve">” </w:t>
      </w:r>
      <w:r>
        <w:rPr>
          <w:rFonts w:ascii="Times New Roman;serif" w:hAnsi="Times New Roman;serif"/>
          <w:b w:val="false"/>
          <w:sz w:val="20"/>
        </w:rPr>
        <w:t xml:space="preserve">means the irrevocable written response by each Lender, substantially in the form of </w:t>
      </w:r>
      <w:r>
        <w:rPr>
          <w:rFonts w:ascii="Times New Roman;serif" w:hAnsi="Times New Roman;serif"/>
          <w:b w:val="false"/>
          <w:sz w:val="20"/>
          <w:u w:val="single"/>
        </w:rPr>
        <w:t>Exhibit J</w:t>
      </w:r>
      <w:r>
        <w:rPr>
          <w:rFonts w:ascii="Times New Roman;serif" w:hAnsi="Times New Roman;serif"/>
          <w:b w:val="false"/>
          <w:sz w:val="20"/>
        </w:rPr>
        <w:t>, to a Specified Discount Prepayment Notice.</w:t>
      </w:r>
    </w:p>
    <w:p>
      <w:pPr>
        <w:pStyle w:val="TextBody"/>
        <w:bidi w:val="0"/>
        <w:spacing w:before="240" w:after="0"/>
        <w:jc w:val="both"/>
        <w:rPr/>
      </w:pPr>
      <w:r>
        <w:rPr/>
        <w:t>“</w:t>
      </w:r>
      <w:r>
        <w:rPr>
          <w:rFonts w:ascii="Times New Roman;serif" w:hAnsi="Times New Roman;serif"/>
          <w:b w:val="false"/>
          <w:sz w:val="20"/>
          <w:u w:val="single"/>
        </w:rPr>
        <w:t>Specified Discount Prepayment Response Date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2.11(a)(ii)(B)</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Specified Discount Proration</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2.11(a)(ii)(B)</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Specified Incremental Term Loans</w:t>
      </w:r>
      <w:r>
        <w:rPr>
          <w:rFonts w:ascii="Times New Roman" w:hAnsi="Times New Roman"/>
          <w:sz w:val="20"/>
        </w:rPr>
        <w:t xml:space="preserve">” </w:t>
      </w:r>
      <w:r>
        <w:rPr>
          <w:rFonts w:ascii="Times New Roman;serif" w:hAnsi="Times New Roman;serif"/>
          <w:b w:val="false"/>
          <w:sz w:val="20"/>
        </w:rPr>
        <w:t xml:space="preserve">means, at any date of determination, an amount equal to (a) the greater of (i) $130,000,000 and (ii) 100% of Consolidated EBITDA for the Test Period then last ended </w:t>
      </w:r>
      <w:r>
        <w:rPr>
          <w:rFonts w:ascii="Times New Roman;serif" w:hAnsi="Times New Roman;serif"/>
          <w:b w:val="false"/>
          <w:sz w:val="20"/>
          <w:u w:val="single"/>
        </w:rPr>
        <w:t>minus</w:t>
      </w:r>
      <w:r>
        <w:rPr>
          <w:rFonts w:ascii="Times New Roman" w:hAnsi="Times New Roman"/>
          <w:sz w:val="20"/>
        </w:rPr>
        <w:t xml:space="preserve"> </w:t>
      </w:r>
      <w:r>
        <w:rPr>
          <w:rFonts w:ascii="Times New Roman;serif" w:hAnsi="Times New Roman;serif"/>
          <w:b w:val="false"/>
          <w:sz w:val="20"/>
        </w:rPr>
        <w:t>(b) the aggregate principal amount of Incremental Term Loans and/or Incremental Equivalent Debt designated by the Borrower in its sole discretion as Specified Incremental Term Loans that is outstanding at such time (less the aggregate principal amount of Second Lien Incremental Facilities and Second Lien Incremental Equivalent Debt that is designated under the definition of “Specified Incremental Term Loans” as defined in the Second Lien Credit Agreement).</w:t>
      </w:r>
    </w:p>
    <w:p>
      <w:pPr>
        <w:pStyle w:val="TextBody"/>
        <w:bidi w:val="0"/>
        <w:spacing w:before="240" w:after="0"/>
        <w:jc w:val="both"/>
        <w:rPr/>
      </w:pPr>
      <w:r>
        <w:rPr/>
        <w:t>“</w:t>
      </w:r>
      <w:r>
        <w:rPr>
          <w:rFonts w:ascii="Times New Roman;serif" w:hAnsi="Times New Roman;serif"/>
          <w:b w:val="false"/>
          <w:sz w:val="20"/>
          <w:u w:val="single"/>
        </w:rPr>
        <w:t>Specified Representations</w:t>
      </w:r>
      <w:r>
        <w:rPr>
          <w:rFonts w:ascii="Times New Roman" w:hAnsi="Times New Roman"/>
          <w:sz w:val="20"/>
        </w:rPr>
        <w:t xml:space="preserve">” </w:t>
      </w:r>
      <w:r>
        <w:rPr>
          <w:rFonts w:ascii="Times New Roman;serif" w:hAnsi="Times New Roman;serif"/>
          <w:b w:val="false"/>
          <w:sz w:val="20"/>
        </w:rPr>
        <w:t xml:space="preserve">means the representations and warranties of Holdings, the Target, the Borrower and the Guarantors set forth in </w:t>
      </w:r>
      <w:r>
        <w:rPr>
          <w:rFonts w:ascii="Times New Roman;serif" w:hAnsi="Times New Roman;serif"/>
          <w:b w:val="false"/>
          <w:sz w:val="20"/>
          <w:u w:val="single"/>
        </w:rPr>
        <w:t>Section 3.01</w:t>
      </w:r>
      <w:r>
        <w:rPr>
          <w:rFonts w:ascii="Times New Roman" w:hAnsi="Times New Roman"/>
          <w:sz w:val="20"/>
        </w:rPr>
        <w:t xml:space="preserve"> </w:t>
      </w:r>
      <w:r>
        <w:rPr>
          <w:rFonts w:ascii="Times New Roman;serif" w:hAnsi="Times New Roman;serif"/>
          <w:b w:val="false"/>
          <w:sz w:val="20"/>
        </w:rPr>
        <w:t xml:space="preserve">(with respect to the Borrower and the Guarantors), </w:t>
      </w:r>
      <w:r>
        <w:rPr>
          <w:rFonts w:ascii="Times New Roman;serif" w:hAnsi="Times New Roman;serif"/>
          <w:b w:val="false"/>
          <w:sz w:val="20"/>
          <w:u w:val="single"/>
        </w:rPr>
        <w:t xml:space="preserve">Section 3.02 </w:t>
      </w:r>
      <w:r>
        <w:rPr>
          <w:rFonts w:ascii="Times New Roman;serif" w:hAnsi="Times New Roman;serif"/>
          <w:b w:val="false"/>
          <w:sz w:val="20"/>
        </w:rPr>
        <w:t xml:space="preserve">(with respect to the entering into, borrowing under, guaranteeing under, and performance of the Loan Documents and the granting of Liens in the Collateral), </w:t>
      </w:r>
      <w:r>
        <w:rPr>
          <w:rFonts w:ascii="Times New Roman;serif" w:hAnsi="Times New Roman;serif"/>
          <w:b w:val="false"/>
          <w:sz w:val="20"/>
          <w:u w:val="single"/>
        </w:rPr>
        <w:t>Section 3.03(b)(i)</w:t>
      </w:r>
      <w:r>
        <w:rPr>
          <w:rFonts w:ascii="Times New Roman" w:hAnsi="Times New Roman"/>
          <w:sz w:val="20"/>
        </w:rPr>
        <w:t xml:space="preserve"> </w:t>
      </w:r>
      <w:r>
        <w:rPr>
          <w:rFonts w:ascii="Times New Roman;serif" w:hAnsi="Times New Roman;serif"/>
          <w:b w:val="false"/>
          <w:sz w:val="20"/>
        </w:rPr>
        <w:t xml:space="preserve">(with respect to the incurrence of the Loans, the provision of the Guarantee, the granting of Liens in the Collateral and the entering into of the Loan Documents), </w:t>
      </w:r>
      <w:r>
        <w:rPr>
          <w:rFonts w:ascii="Times New Roman;serif" w:hAnsi="Times New Roman;serif"/>
          <w:b w:val="false"/>
          <w:sz w:val="20"/>
          <w:u w:val="single"/>
        </w:rPr>
        <w:t>Section 3.08</w:t>
      </w:r>
      <w:r>
        <w:rPr>
          <w:rFonts w:ascii="Times New Roman;serif" w:hAnsi="Times New Roman;serif"/>
          <w:b w:val="false"/>
          <w:sz w:val="20"/>
        </w:rPr>
        <w:t xml:space="preserve">, </w:t>
      </w:r>
      <w:r>
        <w:rPr>
          <w:rFonts w:ascii="Times New Roman;serif" w:hAnsi="Times New Roman;serif"/>
          <w:b w:val="false"/>
          <w:sz w:val="20"/>
          <w:u w:val="single"/>
        </w:rPr>
        <w:t>Section 3.14</w:t>
      </w:r>
      <w:r>
        <w:rPr>
          <w:rFonts w:ascii="Times New Roman;serif" w:hAnsi="Times New Roman;serif"/>
          <w:b w:val="false"/>
          <w:sz w:val="20"/>
        </w:rPr>
        <w:t xml:space="preserve">, </w:t>
      </w:r>
      <w:r>
        <w:rPr>
          <w:rFonts w:ascii="Times New Roman;serif" w:hAnsi="Times New Roman;serif"/>
          <w:b w:val="false"/>
          <w:sz w:val="20"/>
          <w:u w:val="single"/>
        </w:rPr>
        <w:t>Section 3.16</w:t>
      </w:r>
      <w:r>
        <w:rPr>
          <w:rFonts w:ascii="Times New Roman;serif" w:hAnsi="Times New Roman;serif"/>
          <w:b w:val="false"/>
          <w:sz w:val="20"/>
        </w:rPr>
        <w:t xml:space="preserve">, </w:t>
      </w:r>
      <w:r>
        <w:rPr>
          <w:rFonts w:ascii="Times New Roman;serif" w:hAnsi="Times New Roman;serif"/>
          <w:b w:val="false"/>
          <w:sz w:val="20"/>
          <w:u w:val="single"/>
        </w:rPr>
        <w:t>Section 3.18(a)</w:t>
      </w:r>
      <w:r>
        <w:rPr>
          <w:rFonts w:ascii="Times New Roman;serif" w:hAnsi="Times New Roman;serif"/>
          <w:b w:val="false"/>
          <w:sz w:val="20"/>
        </w:rPr>
        <w:t xml:space="preserve">, </w:t>
      </w:r>
      <w:r>
        <w:rPr>
          <w:rFonts w:ascii="Times New Roman;serif" w:hAnsi="Times New Roman;serif"/>
          <w:b w:val="false"/>
          <w:sz w:val="20"/>
          <w:u w:val="single"/>
        </w:rPr>
        <w:t>Section 3.18(b)</w:t>
      </w:r>
      <w:r>
        <w:rPr>
          <w:rFonts w:ascii="Times New Roman" w:hAnsi="Times New Roman"/>
          <w:sz w:val="20"/>
        </w:rPr>
        <w:t xml:space="preserve"> </w:t>
      </w:r>
      <w:r>
        <w:rPr>
          <w:rFonts w:ascii="Times New Roman;serif" w:hAnsi="Times New Roman;serif"/>
          <w:b w:val="false"/>
          <w:sz w:val="20"/>
        </w:rPr>
        <w:t>and Section 3.02(c) of the Collateral Agreement.</w:t>
      </w:r>
    </w:p>
    <w:p>
      <w:pPr>
        <w:pStyle w:val="TextBody"/>
        <w:bidi w:val="0"/>
        <w:spacing w:before="240" w:after="0"/>
        <w:jc w:val="both"/>
        <w:rPr/>
      </w:pPr>
      <w:r>
        <w:rPr/>
        <w:t>“</w:t>
      </w:r>
      <w:r>
        <w:rPr>
          <w:rFonts w:ascii="Times New Roman;serif" w:hAnsi="Times New Roman;serif"/>
          <w:b w:val="false"/>
          <w:sz w:val="20"/>
          <w:u w:val="single"/>
        </w:rPr>
        <w:t>Specified Transaction</w:t>
      </w:r>
      <w:r>
        <w:rPr>
          <w:rFonts w:ascii="Times New Roman" w:hAnsi="Times New Roman"/>
          <w:sz w:val="20"/>
        </w:rPr>
        <w:t xml:space="preserve">” </w:t>
      </w:r>
      <w:r>
        <w:rPr>
          <w:rFonts w:ascii="Times New Roman;serif" w:hAnsi="Times New Roman;serif"/>
          <w:b w:val="false"/>
          <w:sz w:val="20"/>
        </w:rPr>
        <w:t>means, with respect to any period, any Investment, Disposition, incurrence or repayment of Indebtedness, Restricted Payment, subsidiary designation, New Project or other event that by the terms of the Loan Documents requires “Pro Forma Compliance” with a test or covenant hereunder or requires such test or covenant to be calculated on a “Pro Forma Basis.”</w:t>
      </w:r>
    </w:p>
    <w:p>
      <w:pPr>
        <w:pStyle w:val="TextBody"/>
        <w:bidi w:val="0"/>
        <w:spacing w:before="240" w:after="0"/>
        <w:jc w:val="both"/>
        <w:rPr/>
      </w:pPr>
      <w:r>
        <w:rPr/>
        <w:t>“</w:t>
      </w:r>
      <w:r>
        <w:rPr>
          <w:rFonts w:ascii="Times New Roman;serif" w:hAnsi="Times New Roman;serif"/>
          <w:b w:val="false"/>
          <w:sz w:val="20"/>
          <w:u w:val="single"/>
        </w:rPr>
        <w:t>Sponsor</w:t>
      </w:r>
      <w:r>
        <w:rPr>
          <w:rFonts w:ascii="Times New Roman" w:hAnsi="Times New Roman"/>
          <w:sz w:val="20"/>
        </w:rPr>
        <w:t xml:space="preserve">” </w:t>
      </w:r>
      <w:r>
        <w:rPr>
          <w:rFonts w:ascii="Times New Roman;serif" w:hAnsi="Times New Roman;serif"/>
          <w:b w:val="false"/>
          <w:sz w:val="20"/>
        </w:rPr>
        <w:t>means Silver Lake Partners V, L.P., its Affiliates and any funds, partnerships, co-investment entities and other investment vehicles managed, advised or controlled thereby or by one or more directors thereof or under common control therewith (other than Holdings, the Borrower and its Subsidiaries or any portfolio company of any of the foregoing).</w:t>
      </w:r>
    </w:p>
    <w:p>
      <w:pPr>
        <w:pStyle w:val="TextBody"/>
        <w:bidi w:val="0"/>
        <w:spacing w:before="240" w:after="0"/>
        <w:jc w:val="both"/>
        <w:rPr/>
      </w:pPr>
      <w:r>
        <w:rPr/>
        <w:t>“</w:t>
      </w:r>
      <w:r>
        <w:rPr>
          <w:rFonts w:ascii="Times New Roman;serif" w:hAnsi="Times New Roman;serif"/>
          <w:b w:val="false"/>
          <w:sz w:val="20"/>
          <w:u w:val="single"/>
        </w:rPr>
        <w:t>Spot Rate</w:t>
      </w:r>
      <w:r>
        <w:rPr>
          <w:rFonts w:ascii="Times New Roman" w:hAnsi="Times New Roman"/>
          <w:sz w:val="20"/>
        </w:rPr>
        <w:t xml:space="preserve">” </w:t>
      </w:r>
      <w:r>
        <w:rPr>
          <w:rFonts w:ascii="Times New Roman;serif" w:hAnsi="Times New Roman;serif"/>
          <w:b w:val="false"/>
          <w:sz w:val="20"/>
        </w:rPr>
        <w:t xml:space="preserve">for a currency means the rate determined by the Administrative Agent or Issuing Bank, as applicable, to be the rate quoted by the Person acting in such capacity as the spot rate for the purchase by such Person of such currency with another currency through its principal foreign exchange trading office at approximately 11:00 a.m. on the date one Business Day prior to the date as of which the foreign exchange computation is made;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the Administrative Agent or Issuing Bank may obtain such spot rate from another financial institution designated by the Administrative Agent or Issuing Bank if the Person acting in such capacity does not have as of the date of determination a spot buying rate for any such currency; and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an Issuing Bank may use such spot rate quoted on the date as of which the foreign exchange computation is made in the case of any Letter of Credit denominated in currency other than dollars.</w:t>
      </w:r>
    </w:p>
    <w:p>
      <w:pPr>
        <w:pStyle w:val="TextBody"/>
        <w:bidi w:val="0"/>
        <w:spacing w:before="240" w:after="0"/>
        <w:jc w:val="left"/>
        <w:rPr/>
      </w:pPr>
      <w:r>
        <w:rPr/>
        <w:t>“</w:t>
      </w:r>
      <w:r>
        <w:rPr>
          <w:rFonts w:ascii="Times New Roman;serif" w:hAnsi="Times New Roman;serif"/>
          <w:b w:val="false"/>
          <w:sz w:val="20"/>
          <w:u w:val="single"/>
        </w:rPr>
        <w:t>SPV</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9.04(e)</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Standstill Period</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7.01(d)</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Starter Basket</w:t>
      </w:r>
      <w:r>
        <w:rPr>
          <w:rFonts w:ascii="Times New Roman" w:hAnsi="Times New Roman"/>
          <w:sz w:val="20"/>
        </w:rPr>
        <w:t xml:space="preserve">” </w:t>
      </w:r>
      <w:r>
        <w:rPr>
          <w:rFonts w:ascii="Times New Roman;serif" w:hAnsi="Times New Roman;serif"/>
          <w:b w:val="false"/>
          <w:sz w:val="20"/>
        </w:rPr>
        <w:t>has the meaning assigned to such term in the definition of “Available Amount.”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strike/>
        </w:rPr>
        <w:t>“</w:t>
      </w:r>
      <w:r>
        <w:rPr>
          <w:rFonts w:ascii="Times New Roman;serif" w:hAnsi="Times New Roman;serif"/>
          <w:b w:val="false"/>
          <w:strike/>
          <w:sz w:val="20"/>
          <w:u w:val="single"/>
        </w:rPr>
        <w:t>Statutory Reserve Rate</w:t>
      </w:r>
      <w:r>
        <w:rPr>
          <w:rFonts w:ascii="Times New Roman" w:hAnsi="Times New Roman"/>
          <w:strike/>
          <w:sz w:val="20"/>
        </w:rPr>
        <w:t xml:space="preserve">” </w:t>
      </w:r>
      <w:r>
        <w:rPr>
          <w:rFonts w:ascii="Times New Roman;serif" w:hAnsi="Times New Roman;serif"/>
          <w:b w:val="false"/>
          <w:strike/>
          <w:sz w:val="20"/>
        </w:rPr>
        <w:t>means, with respect to any currency, a fraction (expressed as a decimal), the</w:t>
      </w:r>
      <w:r>
        <w:rPr>
          <w:rFonts w:ascii="Times New Roman" w:hAnsi="Times New Roman"/>
          <w:sz w:val="20"/>
        </w:rPr>
        <w:t xml:space="preserve"> </w:t>
      </w:r>
      <w:r>
        <w:rPr>
          <w:rFonts w:ascii="Times New Roman;serif" w:hAnsi="Times New Roman;serif"/>
          <w:b w:val="false"/>
          <w:strike/>
          <w:sz w:val="20"/>
        </w:rPr>
        <w:t>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and if any Lender is required to comply with the requirements of The Bank of England and/or the Prudential Regulation Authority (or any authority that replaces any of the functions thereof) or the requirements of the European Central Bank. Eurocurrency Loans shall be deemed to be subject to such reserve, liquid asset or similar requirements without benefit of or credit for proration, exemptions or offsets that may be available from time to time to any Lender under Regulation D or any other applicable law, rule or regulation. The Statutory Reserve Rate shall be</w:t>
      </w:r>
      <w:r>
        <w:rPr>
          <w:rFonts w:ascii="Times New Roman" w:hAnsi="Times New Roman"/>
          <w:sz w:val="20"/>
        </w:rPr>
        <w:t xml:space="preserve"> </w:t>
      </w:r>
      <w:r>
        <w:rPr>
          <w:rFonts w:ascii="Times New Roman;serif" w:hAnsi="Times New Roman;serif"/>
          <w:b w:val="false"/>
          <w:strike/>
          <w:sz w:val="20"/>
        </w:rPr>
        <w:t>adjusted automatically on and as of the effective date of any change in any reserve percentage.</w:t>
      </w:r>
    </w:p>
    <w:p>
      <w:pPr>
        <w:pStyle w:val="TextBody"/>
        <w:bidi w:val="0"/>
        <w:spacing w:before="240" w:after="0"/>
        <w:jc w:val="left"/>
        <w:rPr/>
      </w:pPr>
      <w:r>
        <w:rPr/>
        <w:t>“</w:t>
      </w:r>
      <w:r>
        <w:rPr>
          <w:rFonts w:ascii="Times New Roman;serif" w:hAnsi="Times New Roman;serif"/>
          <w:b w:val="false"/>
          <w:sz w:val="20"/>
          <w:u w:val="single"/>
        </w:rPr>
        <w:t>Submitted Amount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Submitted Discount</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2.11(a)(ii)(C)</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subsidiary</w:t>
      </w:r>
      <w:r>
        <w:rPr>
          <w:rFonts w:ascii="Times New Roman" w:hAnsi="Times New Roman"/>
          <w:sz w:val="20"/>
        </w:rPr>
        <w:t xml:space="preserve">” </w:t>
      </w:r>
      <w:r>
        <w:rPr>
          <w:rFonts w:ascii="Times New Roman;serif" w:hAnsi="Times New Roman;serif"/>
          <w:b w:val="false"/>
          <w:sz w:val="20"/>
        </w:rPr>
        <w:t>means, with respect to any Person (the “</w:t>
      </w:r>
      <w:r>
        <w:rPr>
          <w:rFonts w:ascii="Times New Roman;serif" w:hAnsi="Times New Roman;serif"/>
          <w:b w:val="false"/>
          <w:sz w:val="20"/>
          <w:u w:val="single"/>
        </w:rPr>
        <w:t>parent</w:t>
      </w:r>
      <w:r>
        <w:rPr>
          <w:rFonts w:ascii="Times New Roman" w:hAnsi="Times New Roman"/>
          <w:sz w:val="20"/>
        </w:rPr>
        <w:t>”</w:t>
      </w:r>
      <w:r>
        <w:rPr>
          <w:rFonts w:ascii="Times New Roman;serif" w:hAnsi="Times New Roman;serif"/>
          <w:b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before="240" w:after="0"/>
        <w:jc w:val="left"/>
        <w:rPr/>
      </w:pPr>
      <w:r>
        <w:rPr/>
        <w:t>“</w:t>
      </w:r>
      <w:r>
        <w:rPr>
          <w:rFonts w:ascii="Times New Roman;serif" w:hAnsi="Times New Roman;serif"/>
          <w:b w:val="false"/>
          <w:sz w:val="20"/>
          <w:u w:val="single"/>
        </w:rPr>
        <w:t>Subsidiary</w:t>
      </w:r>
      <w:r>
        <w:rPr>
          <w:rFonts w:ascii="Times New Roman" w:hAnsi="Times New Roman"/>
          <w:sz w:val="20"/>
        </w:rPr>
        <w:t xml:space="preserve">” </w:t>
      </w:r>
      <w:r>
        <w:rPr>
          <w:rFonts w:ascii="Times New Roman;serif" w:hAnsi="Times New Roman;serif"/>
          <w:b w:val="false"/>
          <w:sz w:val="20"/>
        </w:rPr>
        <w:t>means any subsidiary of Holdings.</w:t>
      </w:r>
    </w:p>
    <w:p>
      <w:pPr>
        <w:pStyle w:val="TextBody"/>
        <w:bidi w:val="0"/>
        <w:spacing w:before="240" w:after="0"/>
        <w:jc w:val="both"/>
        <w:rPr/>
      </w:pPr>
      <w:r>
        <w:rPr/>
        <w:t>“</w:t>
      </w:r>
      <w:r>
        <w:rPr>
          <w:rFonts w:ascii="Times New Roman;serif" w:hAnsi="Times New Roman;serif"/>
          <w:b w:val="false"/>
          <w:sz w:val="20"/>
          <w:u w:val="single"/>
        </w:rPr>
        <w:t>Subsidiary Loan Party</w:t>
      </w:r>
      <w:r>
        <w:rPr>
          <w:rFonts w:ascii="Times New Roman" w:hAnsi="Times New Roman"/>
          <w:sz w:val="20"/>
        </w:rPr>
        <w:t xml:space="preserve">” </w:t>
      </w:r>
      <w:r>
        <w:rPr>
          <w:rFonts w:ascii="Times New Roman;serif" w:hAnsi="Times New Roman;serif"/>
          <w:b w:val="false"/>
          <w:sz w:val="20"/>
        </w:rPr>
        <w:t xml:space="preserve">means (a) each Subsidiary of Holdings that is a party to the Guarantee Agreement and (b) any other Domestic Subsidiary of Holdings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Times New Roman;serif" w:hAnsi="Times New Roman;serif"/>
          <w:b w:val="false"/>
          <w:sz w:val="20"/>
          <w:u w:val="single"/>
        </w:rPr>
        <w:t>Section 5.11</w:t>
      </w:r>
      <w:r>
        <w:rPr>
          <w:rFonts w:ascii="Times New Roman" w:hAnsi="Times New Roman"/>
          <w:sz w:val="20"/>
        </w:rPr>
        <w:t xml:space="preserve"> </w:t>
      </w:r>
      <w:r>
        <w:rPr>
          <w:rFonts w:ascii="Times New Roman;serif" w:hAnsi="Times New Roman;serif"/>
          <w:b w:val="false"/>
          <w:sz w:val="20"/>
        </w:rPr>
        <w:t xml:space="preserve">as if it were newly acquired and not an Excluded Subsidiary, in each case unless it ceases to be a Subsidiary Loan Party in accordance with this Agreement. Notwithstanding the foregoing, references to a Subsidiary Loan Party in </w:t>
      </w:r>
      <w:r>
        <w:rPr>
          <w:rFonts w:ascii="Times New Roman;serif" w:hAnsi="Times New Roman;serif"/>
          <w:b w:val="false"/>
          <w:sz w:val="20"/>
          <w:u w:val="single"/>
        </w:rPr>
        <w:t>Section 2.20</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Section 6.01</w:t>
      </w:r>
      <w:r>
        <w:rPr>
          <w:rFonts w:ascii="Times New Roman" w:hAnsi="Times New Roman"/>
          <w:sz w:val="20"/>
        </w:rPr>
        <w:t xml:space="preserve"> </w:t>
      </w:r>
      <w:r>
        <w:rPr>
          <w:rFonts w:ascii="Times New Roman;serif" w:hAnsi="Times New Roman;serif"/>
          <w:b w:val="false"/>
          <w:sz w:val="20"/>
        </w:rPr>
        <w:t>shall not include any subsidiary of Holdings that is not also a subsidiary of the Borrower.</w:t>
      </w:r>
    </w:p>
    <w:p>
      <w:pPr>
        <w:pStyle w:val="TextBody"/>
        <w:bidi w:val="0"/>
        <w:spacing w:before="240" w:after="0"/>
        <w:jc w:val="both"/>
        <w:rPr/>
      </w:pPr>
      <w:r>
        <w:rPr/>
        <w:t>“</w:t>
      </w:r>
      <w:r>
        <w:rPr>
          <w:rFonts w:ascii="Times New Roman;serif" w:hAnsi="Times New Roman;serif"/>
          <w:b w:val="false"/>
          <w:sz w:val="20"/>
          <w:u w:val="single"/>
        </w:rPr>
        <w:t>Successor Borrower</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6.03(d)</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Successor Holdings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6.03(e)</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both"/>
        <w:rPr/>
      </w:pPr>
      <w:r>
        <w:rPr/>
        <w:t>“</w:t>
      </w:r>
      <w:r>
        <w:rPr>
          <w:rFonts w:ascii="Times New Roman;serif" w:hAnsi="Times New Roman;serif"/>
          <w:b w:val="false"/>
          <w:sz w:val="20"/>
          <w:u w:val="single"/>
        </w:rPr>
        <w:t>Successor Rate” has the meaning assigned to such term in Section 2.14(b).</w:t>
      </w:r>
    </w:p>
    <w:p>
      <w:pPr>
        <w:pStyle w:val="TextBody"/>
        <w:bidi w:val="0"/>
        <w:spacing w:before="240" w:after="0"/>
        <w:jc w:val="left"/>
        <w:rPr/>
      </w:pPr>
      <w:r>
        <w:rPr/>
        <w:t>“</w:t>
      </w:r>
      <w:r>
        <w:rPr>
          <w:rFonts w:ascii="Times New Roman;serif" w:hAnsi="Times New Roman;serif"/>
          <w:b w:val="false"/>
          <w:sz w:val="20"/>
          <w:u w:val="single"/>
        </w:rPr>
        <w:t>Supported QFC</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9.21</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Swap</w:t>
      </w:r>
      <w:r>
        <w:rPr>
          <w:rFonts w:ascii="Times New Roman" w:hAnsi="Times New Roman"/>
          <w:sz w:val="20"/>
        </w:rPr>
        <w:t xml:space="preserve">” </w:t>
      </w:r>
      <w:r>
        <w:rPr>
          <w:rFonts w:ascii="Times New Roman;serif" w:hAnsi="Times New Roman;serif"/>
          <w:b w:val="false"/>
          <w:sz w:val="20"/>
        </w:rPr>
        <w:t>means any agreement, contract, or transaction that constitutes a “swap” within the meaning of section 1a(47) of the Commodity Exchange Act.</w:t>
      </w:r>
    </w:p>
    <w:p>
      <w:pPr>
        <w:pStyle w:val="TextBody"/>
        <w:bidi w:val="0"/>
        <w:spacing w:before="240" w:after="0"/>
        <w:jc w:val="both"/>
        <w:rPr/>
      </w:pPr>
      <w:r>
        <w:rPr/>
        <w:t>“</w:t>
      </w:r>
      <w:r>
        <w:rPr>
          <w:rFonts w:ascii="Times New Roman;serif" w:hAnsi="Times New Roman;serif"/>
          <w:b w:val="false"/>
          <w:sz w:val="20"/>
          <w:u w:val="single"/>
        </w:rPr>
        <w:t>Swap Agreement</w:t>
      </w:r>
      <w:r>
        <w:rPr>
          <w:rFonts w:ascii="Times New Roman" w:hAnsi="Times New Roman"/>
          <w:sz w:val="20"/>
        </w:rPr>
        <w:t xml:space="preserve">” </w:t>
      </w:r>
      <w:r>
        <w:rPr>
          <w:rFonts w:ascii="Times New Roman;serif" w:hAnsi="Times New Roman;serif"/>
          <w:b w:val="false"/>
          <w:sz w:val="20"/>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sz w:val="20"/>
          <w:u w:val="single"/>
        </w:rPr>
        <w:t>Master Agreement</w:t>
      </w:r>
      <w:r>
        <w:rPr>
          <w:rFonts w:ascii="Times New Roman" w:hAnsi="Times New Roman"/>
          <w:sz w:val="20"/>
        </w:rPr>
        <w:t>”</w:t>
      </w:r>
      <w:r>
        <w:rPr>
          <w:rFonts w:ascii="Times New Roman;serif" w:hAnsi="Times New Roman;serif"/>
          <w:b w:val="false"/>
          <w:sz w:val="20"/>
        </w:rPr>
        <w:t>), including any such obligations or liabilities under any Master Agreement.</w:t>
      </w:r>
    </w:p>
    <w:p>
      <w:pPr>
        <w:pStyle w:val="TextBody"/>
        <w:bidi w:val="0"/>
        <w:spacing w:before="240" w:after="0"/>
        <w:jc w:val="left"/>
        <w:rPr/>
      </w:pPr>
      <w:r>
        <w:rPr/>
        <w:t>“</w:t>
      </w:r>
      <w:r>
        <w:rPr>
          <w:rFonts w:ascii="Times New Roman;serif" w:hAnsi="Times New Roman;serif"/>
          <w:b w:val="false"/>
          <w:sz w:val="20"/>
          <w:u w:val="single"/>
        </w:rPr>
        <w:t>Swap Obligation</w:t>
      </w:r>
      <w:r>
        <w:rPr>
          <w:rFonts w:ascii="Times New Roman" w:hAnsi="Times New Roman"/>
          <w:sz w:val="20"/>
        </w:rPr>
        <w:t xml:space="preserve">” </w:t>
      </w:r>
      <w:r>
        <w:rPr>
          <w:rFonts w:ascii="Times New Roman;serif" w:hAnsi="Times New Roman;serif"/>
          <w:b w:val="false"/>
          <w:sz w:val="20"/>
        </w:rPr>
        <w:t>means, with respect to any Person, any obligation to pay or perform under any Swap.</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Syndication Agent</w:t>
      </w:r>
      <w:r>
        <w:rPr>
          <w:rFonts w:ascii="Times New Roman" w:hAnsi="Times New Roman"/>
          <w:sz w:val="20"/>
        </w:rPr>
        <w:t xml:space="preserve">” </w:t>
      </w:r>
      <w:r>
        <w:rPr>
          <w:rFonts w:ascii="Times New Roman;serif" w:hAnsi="Times New Roman;serif"/>
          <w:b w:val="false"/>
          <w:sz w:val="20"/>
        </w:rPr>
        <w:t>means Barclays Bank PLC.</w:t>
      </w:r>
    </w:p>
    <w:p>
      <w:pPr>
        <w:pStyle w:val="TextBody"/>
        <w:bidi w:val="0"/>
        <w:spacing w:before="240" w:after="0"/>
        <w:jc w:val="left"/>
        <w:rPr/>
      </w:pPr>
      <w:r>
        <w:rPr/>
        <w:t>“</w:t>
      </w:r>
      <w:r>
        <w:rPr>
          <w:rFonts w:ascii="Times New Roman;serif" w:hAnsi="Times New Roman;serif"/>
          <w:b w:val="false"/>
          <w:sz w:val="20"/>
          <w:u w:val="single"/>
        </w:rPr>
        <w:t>Target</w:t>
      </w:r>
      <w:r>
        <w:rPr>
          <w:rFonts w:ascii="Times New Roman" w:hAnsi="Times New Roman"/>
          <w:sz w:val="20"/>
        </w:rPr>
        <w:t xml:space="preserve">” </w:t>
      </w:r>
      <w:r>
        <w:rPr>
          <w:rFonts w:ascii="Times New Roman;serif" w:hAnsi="Times New Roman;serif"/>
          <w:b w:val="false"/>
          <w:sz w:val="20"/>
        </w:rPr>
        <w:t>has the meaning provided in the preamble hereto.</w:t>
      </w:r>
    </w:p>
    <w:p>
      <w:pPr>
        <w:pStyle w:val="TextBody"/>
        <w:bidi w:val="0"/>
        <w:spacing w:before="240" w:after="0"/>
        <w:jc w:val="left"/>
        <w:rPr/>
      </w:pPr>
      <w:r>
        <w:rPr/>
        <w:t>“</w:t>
      </w:r>
      <w:r>
        <w:rPr>
          <w:rFonts w:ascii="Times New Roman;serif" w:hAnsi="Times New Roman;serif"/>
          <w:b w:val="false"/>
          <w:sz w:val="20"/>
          <w:u w:val="single"/>
        </w:rPr>
        <w:t>Tax Group</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6.08(a)(xviii)</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Taxes</w:t>
      </w:r>
      <w:r>
        <w:rPr>
          <w:rFonts w:ascii="Times New Roman" w:hAnsi="Times New Roman"/>
          <w:sz w:val="20"/>
        </w:rPr>
        <w:t xml:space="preserve">” </w:t>
      </w:r>
      <w:r>
        <w:rPr>
          <w:rFonts w:ascii="Times New Roman;serif" w:hAnsi="Times New Roman;serif"/>
          <w:b w:val="false"/>
          <w:sz w:val="20"/>
        </w:rPr>
        <w:t>means any and all present or future taxes, levies, imposts, duties, deductions, charges, fees, assessments or withholdings (including backup withholdings) imposed by any Governmental Authority, including any interest, additions to tax and penalties applicable thereto.</w:t>
      </w:r>
    </w:p>
    <w:p>
      <w:pPr>
        <w:pStyle w:val="TextBody"/>
        <w:bidi w:val="0"/>
        <w:spacing w:before="240" w:after="0"/>
        <w:jc w:val="both"/>
        <w:rPr/>
      </w:pPr>
      <w:r>
        <w:rPr/>
        <w:t>“</w:t>
      </w:r>
      <w:r>
        <w:rPr>
          <w:rFonts w:ascii="Times New Roman;serif" w:hAnsi="Times New Roman;serif"/>
          <w:b w:val="false"/>
          <w:sz w:val="20"/>
          <w:u w:val="single"/>
        </w:rPr>
        <w:t>Term B-1 Loan Commitment</w:t>
      </w:r>
      <w:r>
        <w:rPr>
          <w:rFonts w:ascii="Times New Roman" w:hAnsi="Times New Roman"/>
          <w:sz w:val="20"/>
        </w:rPr>
        <w:t xml:space="preserve">” </w:t>
      </w:r>
      <w:r>
        <w:rPr>
          <w:rFonts w:ascii="Times New Roman;serif" w:hAnsi="Times New Roman;serif"/>
          <w:b w:val="false"/>
          <w:sz w:val="20"/>
        </w:rPr>
        <w:t>means, with respect to a Lender, the agreement of such Lender to exchange the entire principal amount of its Term Loans (or such lesser amount allocated to it by the Administrative Agent) for an equal principal amount of Term B-1 Loans on the Amendment No. 1 Effective Date.</w:t>
      </w:r>
    </w:p>
    <w:p>
      <w:pPr>
        <w:pStyle w:val="TextBody"/>
        <w:bidi w:val="0"/>
        <w:spacing w:before="240" w:after="0"/>
        <w:jc w:val="both"/>
        <w:rPr/>
      </w:pPr>
      <w:r>
        <w:rPr/>
        <w:t>“</w:t>
      </w:r>
      <w:r>
        <w:rPr>
          <w:rFonts w:ascii="Times New Roman;serif" w:hAnsi="Times New Roman;serif"/>
          <w:b w:val="false"/>
          <w:sz w:val="20"/>
          <w:u w:val="single"/>
        </w:rPr>
        <w:t>Term B-1 Lender</w:t>
      </w:r>
      <w:r>
        <w:rPr>
          <w:rFonts w:ascii="Times New Roman" w:hAnsi="Times New Roman"/>
          <w:sz w:val="20"/>
        </w:rPr>
        <w:t xml:space="preserve">” </w:t>
      </w:r>
      <w:r>
        <w:rPr>
          <w:rFonts w:ascii="Times New Roman;serif" w:hAnsi="Times New Roman;serif"/>
          <w:b w:val="false"/>
          <w:sz w:val="20"/>
        </w:rPr>
        <w:t>means a Lender with an outstanding Term B-1 Loan Commitment or an outstanding Term B-1 Loan.</w:t>
      </w:r>
    </w:p>
    <w:p>
      <w:pPr>
        <w:pStyle w:val="TextBody"/>
        <w:bidi w:val="0"/>
        <w:spacing w:before="240" w:after="0"/>
        <w:jc w:val="both"/>
        <w:rPr/>
      </w:pPr>
      <w:r>
        <w:rPr/>
        <w:t>“</w:t>
      </w:r>
      <w:r>
        <w:rPr>
          <w:rFonts w:ascii="Times New Roman;serif" w:hAnsi="Times New Roman;serif"/>
          <w:b w:val="false"/>
          <w:sz w:val="20"/>
          <w:u w:val="single"/>
        </w:rPr>
        <w:t>Term B-1 Loan</w:t>
      </w:r>
      <w:r>
        <w:rPr>
          <w:rFonts w:ascii="Times New Roman" w:hAnsi="Times New Roman"/>
          <w:sz w:val="20"/>
        </w:rPr>
        <w:t xml:space="preserve">” </w:t>
      </w:r>
      <w:r>
        <w:rPr>
          <w:rFonts w:ascii="Times New Roman;serif" w:hAnsi="Times New Roman;serif"/>
          <w:b w:val="false"/>
          <w:sz w:val="20"/>
        </w:rPr>
        <w:t>means an Additional Term B-1 Loan, a Loan that is deemed made pursuant to Section 2.02(d) hereof. As of the Amendment No. 1 Effective Date (prior, for the avoidance of doubt, to the incurrence by the Borrower of the First Additional Term Loans on the Amendment No. 1 Effective Date), the aggregate principal amount of the Term B-1 Loans is $666,650,000.</w:t>
      </w:r>
    </w:p>
    <w:p>
      <w:pPr>
        <w:pStyle w:val="TextBody"/>
        <w:bidi w:val="0"/>
        <w:spacing w:before="240" w:after="0"/>
        <w:jc w:val="both"/>
        <w:rPr/>
      </w:pPr>
      <w:r>
        <w:rPr/>
        <w:t>“</w:t>
      </w:r>
      <w:r>
        <w:rPr>
          <w:rFonts w:ascii="Times New Roman;serif" w:hAnsi="Times New Roman;serif"/>
          <w:b w:val="false"/>
          <w:sz w:val="20"/>
          <w:u w:val="single"/>
        </w:rPr>
        <w:t>Term Commitment</w:t>
      </w:r>
      <w:r>
        <w:rPr>
          <w:rFonts w:ascii="Times New Roman" w:hAnsi="Times New Roman"/>
          <w:sz w:val="20"/>
        </w:rPr>
        <w:t xml:space="preserve">” </w:t>
      </w:r>
      <w:r>
        <w:rPr>
          <w:rFonts w:ascii="Times New Roman;serif" w:hAnsi="Times New Roman;serif"/>
          <w:b w:val="false"/>
          <w:sz w:val="20"/>
        </w:rPr>
        <w:t>means (x) prior to the Amendment No. 1 Effective Date, the Initial Term Commitment and (y) on or after the Amendment No. 1 Effective Date, the Additional Term B-1 Commitment, the Term B-1 Loan Commitment and the First Additional Term Commitment.</w:t>
      </w:r>
    </w:p>
    <w:p>
      <w:pPr>
        <w:pStyle w:val="TextBody"/>
        <w:bidi w:val="0"/>
        <w:spacing w:before="240" w:after="0"/>
        <w:jc w:val="left"/>
        <w:rPr/>
      </w:pPr>
      <w:r>
        <w:rPr/>
        <w:t>“</w:t>
      </w:r>
      <w:r>
        <w:rPr>
          <w:rFonts w:ascii="Times New Roman;serif" w:hAnsi="Times New Roman;serif"/>
          <w:b w:val="false"/>
          <w:sz w:val="20"/>
          <w:u w:val="single"/>
        </w:rPr>
        <w:t>Term Facility</w:t>
      </w:r>
      <w:r>
        <w:rPr>
          <w:rFonts w:ascii="Times New Roman" w:hAnsi="Times New Roman"/>
          <w:sz w:val="20"/>
        </w:rPr>
        <w:t xml:space="preserve">” </w:t>
      </w:r>
      <w:r>
        <w:rPr>
          <w:rFonts w:ascii="Times New Roman;serif" w:hAnsi="Times New Roman;serif"/>
          <w:b w:val="false"/>
          <w:sz w:val="20"/>
        </w:rPr>
        <w:t>means the Term Loans and any Incremental Term Loans or any refinancing thereof.</w:t>
      </w:r>
    </w:p>
    <w:p>
      <w:pPr>
        <w:pStyle w:val="TextBody"/>
        <w:bidi w:val="0"/>
        <w:spacing w:before="240" w:after="0"/>
        <w:jc w:val="both"/>
        <w:rPr/>
      </w:pPr>
      <w:r>
        <w:rPr/>
        <w:t>“</w:t>
      </w:r>
      <w:r>
        <w:rPr>
          <w:rFonts w:ascii="Times New Roman;serif" w:hAnsi="Times New Roman;serif"/>
          <w:b w:val="false"/>
          <w:sz w:val="20"/>
          <w:u w:val="single"/>
        </w:rPr>
        <w:t>Term Lenders</w:t>
      </w:r>
      <w:r>
        <w:rPr>
          <w:rFonts w:ascii="Times New Roman" w:hAnsi="Times New Roman"/>
          <w:sz w:val="20"/>
        </w:rPr>
        <w:t xml:space="preserve">” </w:t>
      </w:r>
      <w:r>
        <w:rPr>
          <w:rFonts w:ascii="Times New Roman;serif" w:hAnsi="Times New Roman;serif"/>
          <w:b w:val="false"/>
          <w:sz w:val="20"/>
        </w:rPr>
        <w:t xml:space="preserve">means the Persons listed on </w:t>
      </w:r>
      <w:r>
        <w:rPr>
          <w:rFonts w:ascii="Times New Roman;serif" w:hAnsi="Times New Roman;serif"/>
          <w:b w:val="false"/>
          <w:sz w:val="20"/>
          <w:u w:val="single"/>
        </w:rPr>
        <w:t>Schedule 2.01(a)</w:t>
      </w:r>
      <w:r>
        <w:rPr>
          <w:rFonts w:ascii="Times New Roman" w:hAnsi="Times New Roman"/>
          <w:sz w:val="20"/>
        </w:rPr>
        <w:t xml:space="preserve"> </w:t>
      </w:r>
      <w:r>
        <w:rPr>
          <w:rFonts w:ascii="Times New Roman;serif" w:hAnsi="Times New Roman;serif"/>
          <w:b w:val="false"/>
          <w:sz w:val="20"/>
        </w:rPr>
        <w:t>and any other Person that shall have become a party hereto pursuant to an Assignment and Assumption, an Incremental Facility Amendment in respect of any Term Loans, Loan Modification Agreement or a Refinancing Amendment in respect of any Term Loans, other than any such Person that ceases to be a party hereto pursuant to an Assignment and Assumption.</w:t>
      </w:r>
    </w:p>
    <w:p>
      <w:pPr>
        <w:pStyle w:val="TextBody"/>
        <w:bidi w:val="0"/>
        <w:spacing w:before="240" w:after="0"/>
        <w:jc w:val="left"/>
        <w:rPr/>
      </w:pPr>
      <w:r>
        <w:rPr/>
        <w:t>“</w:t>
      </w:r>
      <w:r>
        <w:rPr>
          <w:rFonts w:ascii="Times New Roman;serif" w:hAnsi="Times New Roman;serif"/>
          <w:b w:val="false"/>
          <w:sz w:val="20"/>
          <w:u w:val="single"/>
        </w:rPr>
        <w:t>Term Loans</w:t>
      </w:r>
      <w:r>
        <w:rPr>
          <w:rFonts w:ascii="Times New Roman" w:hAnsi="Times New Roman"/>
          <w:sz w:val="20"/>
        </w:rPr>
        <w:t xml:space="preserve">” </w:t>
      </w:r>
      <w:r>
        <w:rPr>
          <w:rFonts w:ascii="Times New Roman;serif" w:hAnsi="Times New Roman;serif"/>
          <w:b w:val="false"/>
          <w:sz w:val="20"/>
        </w:rPr>
        <w:t>means (a) the Term B-1 Loans and (b) the First Additional Term Loans.</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Term Maturity Date</w:t>
      </w:r>
      <w:r>
        <w:rPr>
          <w:rFonts w:ascii="Times New Roman" w:hAnsi="Times New Roman"/>
          <w:sz w:val="20"/>
        </w:rPr>
        <w:t xml:space="preserve">” </w:t>
      </w:r>
      <w:r>
        <w:rPr>
          <w:rFonts w:ascii="Times New Roman;serif" w:hAnsi="Times New Roman;serif"/>
          <w:b w:val="false"/>
          <w:sz w:val="20"/>
        </w:rPr>
        <w:t>means January 31, 2027.</w:t>
      </w:r>
    </w:p>
    <w:p>
      <w:pPr>
        <w:pStyle w:val="TextBody"/>
        <w:bidi w:val="0"/>
        <w:spacing w:before="240" w:after="0"/>
        <w:jc w:val="both"/>
        <w:rPr/>
      </w:pPr>
      <w:r>
        <w:rPr/>
        <w:t>“</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means</w:t>
      </w:r>
      <w:r>
        <w:rPr>
          <w:rFonts w:ascii="Times New Roman" w:hAnsi="Times New Roman"/>
          <w:strike/>
          <w:sz w:val="20"/>
        </w:rPr>
        <w:t xml:space="preserve"> </w:t>
      </w:r>
      <w:r>
        <w:rPr>
          <w:rFonts w:ascii="Times New Roman;serif" w:hAnsi="Times New Roman;serif"/>
          <w:b w:val="false"/>
          <w:strike/>
          <w:sz w:val="20"/>
        </w:rPr>
        <w:t>the forward-looking term rate for any period that is approximately (as reasonably</w:t>
      </w:r>
      <w:r>
        <w:rPr>
          <w:rFonts w:ascii="Times New Roman" w:hAnsi="Times New Roman"/>
          <w:sz w:val="20"/>
        </w:rPr>
        <w:t xml:space="preserve"> </w:t>
      </w:r>
      <w:r>
        <w:rPr>
          <w:rFonts w:ascii="Times New Roman;serif" w:hAnsi="Times New Roman;serif"/>
          <w:b w:val="false"/>
          <w:strike/>
          <w:sz w:val="20"/>
        </w:rPr>
        <w:t>determined by the Administrative Agent) as long as any of the Interest Period options set forth in the definition of</w:t>
      </w:r>
      <w:r>
        <w:rPr>
          <w:rFonts w:ascii="Times New Roman" w:hAnsi="Times New Roman"/>
          <w:sz w:val="20"/>
        </w:rPr>
        <w:t xml:space="preserve"> </w:t>
      </w:r>
      <w:r>
        <w:rPr>
          <w:rFonts w:ascii="Times New Roman" w:hAnsi="Times New Roman"/>
          <w:strike/>
          <w:sz w:val="20"/>
        </w:rPr>
        <w:t>“</w:t>
      </w:r>
      <w:r>
        <w:rPr>
          <w:rFonts w:ascii="Times New Roman;serif" w:hAnsi="Times New Roman;serif"/>
          <w:b w:val="false"/>
          <w:strike/>
          <w:sz w:val="20"/>
        </w:rPr>
        <w:t>Interest Period,” that is based on SOFR and that has been selected or recommended by the Relevant Governmental</w:t>
      </w:r>
      <w:r>
        <w:rPr>
          <w:rFonts w:ascii="Times New Roman" w:hAnsi="Times New Roman"/>
          <w:sz w:val="20"/>
        </w:rPr>
        <w:t xml:space="preserve"> </w:t>
      </w:r>
      <w:r>
        <w:rPr>
          <w:rFonts w:ascii="Times New Roman;serif" w:hAnsi="Times New Roman;serif"/>
          <w:b w:val="false"/>
          <w:strike/>
          <w:sz w:val="20"/>
        </w:rPr>
        <w:t>Body, in each case as published on an information service as selected by the Administrative Agent from time to time</w:t>
      </w:r>
      <w:r>
        <w:rPr>
          <w:rFonts w:ascii="Times New Roman" w:hAnsi="Times New Roman"/>
          <w:sz w:val="20"/>
        </w:rPr>
        <w:t xml:space="preserve"> </w:t>
      </w:r>
      <w:r>
        <w:rPr>
          <w:rFonts w:ascii="Times New Roman;serif" w:hAnsi="Times New Roman;serif"/>
          <w:b w:val="false"/>
          <w:strike/>
          <w:sz w:val="20"/>
        </w:rPr>
        <w:t>in its reasonable discretion.</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pPr>
      <w:r>
        <w:rPr>
          <w:rFonts w:ascii="Times New Roman;serif" w:hAnsi="Times New Roman;serif"/>
          <w:b w:val="false"/>
          <w:sz w:val="20"/>
          <w:u w:val="single"/>
        </w:rPr>
        <w:t>for any Interest Period with respect to a Term SOFR Loan, the rate per annum equal to the Term SOFR Reference Rate two U.S. Government Securities Business Days prior to the commencement of such Interest</w:t>
      </w:r>
      <w:r>
        <w:rPr/>
        <w:t xml:space="preserve"> </w:t>
      </w:r>
      <w:r>
        <w:rPr>
          <w:rFonts w:ascii="Times New Roman;serif" w:hAnsi="Times New Roman;serif"/>
          <w:b w:val="false"/>
          <w:sz w:val="20"/>
          <w:u w:val="single"/>
        </w:rPr>
        <w:t xml:space="preserve">Period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u w:val="single"/>
        </w:rPr>
        <w:t>with a term equivalent to such Interest Period; provided that if the rate is not published prior to 11:00 a.m. on</w:t>
      </w:r>
      <w:r>
        <w:rPr/>
        <w:t xml:space="preserve"> </w:t>
      </w:r>
      <w:r>
        <w:rPr>
          <w:rFonts w:ascii="Times New Roman;serif" w:hAnsi="Times New Roman;serif"/>
          <w:b w:val="false"/>
          <w:sz w:val="20"/>
          <w:u w:val="single"/>
        </w:rPr>
        <w:t>such determination date then Term SOFR means the Term SOFR Reference Rate on the first U.S. Government</w:t>
      </w:r>
      <w:r>
        <w:rPr/>
        <w:t xml:space="preserve"> </w:t>
      </w:r>
      <w:r>
        <w:rPr>
          <w:rFonts w:ascii="Times New Roman;serif" w:hAnsi="Times New Roman;serif"/>
          <w:b w:val="false"/>
          <w:sz w:val="20"/>
          <w:u w:val="single"/>
        </w:rPr>
        <w:t>Securities Business Day immediately prior thereto; and</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pPr>
      <w:r>
        <w:rPr>
          <w:rFonts w:ascii="Times New Roman;serif" w:hAnsi="Times New Roman;serif"/>
          <w:b w:val="false"/>
          <w:sz w:val="20"/>
          <w:u w:val="single"/>
        </w:rPr>
        <w:t>for any interest calculation with respect to an ABR Loan on any date, the rate per annum equal to the Term SOFR Reference Rate two U.S. Government Securities Business Days prior to such date with a term of one</w:t>
      </w:r>
      <w:r>
        <w:rPr/>
        <w:t xml:space="preserve"> </w:t>
      </w:r>
      <w:r>
        <w:rPr>
          <w:rFonts w:ascii="Times New Roman;serif" w:hAnsi="Times New Roman;serif"/>
          <w:b w:val="false"/>
          <w:sz w:val="20"/>
          <w:u w:val="single"/>
        </w:rPr>
        <w:t>month commencing that day; provided that if the rate is not published prior to 11:00 a.m. on such determination date</w:t>
      </w:r>
      <w:r>
        <w:rPr/>
        <w:t xml:space="preserve"> </w:t>
      </w:r>
      <w:r>
        <w:rPr>
          <w:rFonts w:ascii="Times New Roman;serif" w:hAnsi="Times New Roman;serif"/>
          <w:b w:val="false"/>
          <w:sz w:val="20"/>
          <w:u w:val="single"/>
        </w:rPr>
        <w:t>then Term SOFR means the Term SOFR Reference Rate on the first U.S. Government Securities Business Day</w:t>
      </w:r>
      <w:r>
        <w:rPr/>
        <w:t xml:space="preserve"> </w:t>
      </w:r>
      <w:r>
        <w:rPr>
          <w:rFonts w:ascii="Times New Roman;serif" w:hAnsi="Times New Roman;serif"/>
          <w:b w:val="false"/>
          <w:sz w:val="20"/>
          <w:u w:val="single"/>
        </w:rPr>
        <w:t>immediately prior thereto.</w:t>
      </w:r>
    </w:p>
    <w:p>
      <w:pPr>
        <w:pStyle w:val="TextBody"/>
        <w:bidi w:val="0"/>
        <w:spacing w:before="240" w:after="0"/>
        <w:jc w:val="left"/>
        <w:rPr>
          <w:u w:val="single"/>
        </w:rPr>
      </w:pPr>
      <w:r>
        <w:rPr>
          <w:u w:val="single"/>
        </w:rPr>
        <w:t>“</w:t>
      </w:r>
      <w:r>
        <w:rPr>
          <w:rFonts w:ascii="Times New Roman;serif" w:hAnsi="Times New Roman;serif"/>
          <w:b w:val="false"/>
          <w:sz w:val="20"/>
          <w:u w:val="single"/>
        </w:rPr>
        <w:t>Term SOFR Determination Day” has the meaning specified in the definition of “Term SOFR Reference Rate”.</w:t>
      </w:r>
    </w:p>
    <w:p>
      <w:pPr>
        <w:pStyle w:val="TextBody"/>
        <w:bidi w:val="0"/>
        <w:spacing w:before="240" w:after="0"/>
        <w:jc w:val="both"/>
        <w:rPr/>
      </w:pPr>
      <w:r>
        <w:rPr>
          <w:u w:val="single"/>
        </w:rPr>
        <w:t>“</w:t>
      </w:r>
      <w:r>
        <w:rPr>
          <w:rFonts w:ascii="Times New Roman;serif" w:hAnsi="Times New Roman;serif"/>
          <w:b w:val="false"/>
          <w:sz w:val="20"/>
          <w:u w:val="single"/>
        </w:rPr>
        <w:t>Term SOFR Reference Rate” means the forward-looking SOFR term rate administered by CME (or any</w:t>
      </w:r>
      <w:r>
        <w:rPr>
          <w:rFonts w:ascii="Times New Roman" w:hAnsi="Times New Roman"/>
          <w:sz w:val="20"/>
        </w:rPr>
        <w:t xml:space="preserve"> </w:t>
      </w:r>
      <w:r>
        <w:rPr>
          <w:rFonts w:ascii="Times New Roman;serif" w:hAnsi="Times New Roman;serif"/>
          <w:b w:val="false"/>
          <w:sz w:val="20"/>
          <w:u w:val="single"/>
        </w:rPr>
        <w:t>successor administrator satisfactory to the Administrative Agent) and published on the applicable Reuters screen</w:t>
      </w:r>
      <w:r>
        <w:rPr>
          <w:rFonts w:ascii="Times New Roman" w:hAnsi="Times New Roman"/>
          <w:sz w:val="20"/>
        </w:rPr>
        <w:t xml:space="preserve"> </w:t>
      </w:r>
      <w:r>
        <w:rPr>
          <w:rFonts w:ascii="Times New Roman;serif" w:hAnsi="Times New Roman;serif"/>
          <w:b w:val="false"/>
          <w:sz w:val="20"/>
          <w:u w:val="single"/>
        </w:rPr>
        <w:t>page (or such other commercially available source providing such quotations as may be designated by the</w:t>
      </w:r>
      <w:r>
        <w:rPr>
          <w:rFonts w:ascii="Times New Roman" w:hAnsi="Times New Roman"/>
          <w:sz w:val="20"/>
        </w:rPr>
        <w:t xml:space="preserve"> </w:t>
      </w:r>
      <w:r>
        <w:rPr>
          <w:rFonts w:ascii="Times New Roman;serif" w:hAnsi="Times New Roman;serif"/>
          <w:b w:val="false"/>
          <w:sz w:val="20"/>
          <w:u w:val="single"/>
        </w:rPr>
        <w:t>Administrative Agent from time to time).</w:t>
      </w:r>
    </w:p>
    <w:p>
      <w:pPr>
        <w:pStyle w:val="TextBody"/>
        <w:bidi w:val="0"/>
        <w:spacing w:before="240" w:after="0"/>
        <w:jc w:val="both"/>
        <w:rPr/>
      </w:pPr>
      <w:r>
        <w:rPr/>
        <w:t>“</w:t>
      </w:r>
      <w:r>
        <w:rPr>
          <w:rFonts w:ascii="Times New Roman;serif" w:hAnsi="Times New Roman;serif"/>
          <w:b w:val="false"/>
          <w:sz w:val="20"/>
          <w:u w:val="single"/>
        </w:rPr>
        <w:t>Termination Date</w:t>
      </w:r>
      <w:r>
        <w:rPr>
          <w:rFonts w:ascii="Times New Roman" w:hAnsi="Times New Roman"/>
          <w:sz w:val="20"/>
        </w:rPr>
        <w:t xml:space="preserve">” </w:t>
      </w:r>
      <w:r>
        <w:rPr>
          <w:rFonts w:ascii="Times New Roman;serif" w:hAnsi="Times New Roman;serif"/>
          <w:b w:val="false"/>
          <w:sz w:val="20"/>
        </w:rPr>
        <w:t>means the date on which (a) all Commitments shall have been terminated, (b) all Loan Document Obligations (other than in respect of contingent indemnification and contingent expense reimbursement claims not then due) have been paid in full and (c) all Letters of Credit (other than those that have been 100% Cash Collateralized) have been cancelled or have expired (without any drawing having been made thereunder that has not been rejected or honored) and all amounts drawn or paid thereunder have been reimbursed in full.</w:t>
      </w:r>
    </w:p>
    <w:p>
      <w:pPr>
        <w:pStyle w:val="TextBody"/>
        <w:bidi w:val="0"/>
        <w:spacing w:before="240" w:after="0"/>
        <w:jc w:val="both"/>
        <w:rPr/>
      </w:pPr>
      <w:r>
        <w:rPr/>
        <w:t>“</w:t>
      </w:r>
      <w:r>
        <w:rPr>
          <w:rFonts w:ascii="Times New Roman;serif" w:hAnsi="Times New Roman;serif"/>
          <w:b w:val="false"/>
          <w:sz w:val="20"/>
          <w:u w:val="single"/>
        </w:rPr>
        <w:t>Test Period</w:t>
      </w:r>
      <w:r>
        <w:rPr>
          <w:rFonts w:ascii="Times New Roman" w:hAnsi="Times New Roman"/>
          <w:sz w:val="20"/>
        </w:rPr>
        <w:t xml:space="preserve">” </w:t>
      </w:r>
      <w:r>
        <w:rPr>
          <w:rFonts w:ascii="Times New Roman;serif" w:hAnsi="Times New Roman;serif"/>
          <w:b w:val="false"/>
          <w:sz w:val="20"/>
        </w:rPr>
        <w:t xml:space="preserve">means, at any date of determination (a) for any determination under this Agreement (other than any determination of the Applicable Rate, the commitment fee under </w:t>
      </w:r>
      <w:r>
        <w:rPr>
          <w:rFonts w:ascii="Times New Roman;serif" w:hAnsi="Times New Roman;serif"/>
          <w:b w:val="false"/>
          <w:sz w:val="20"/>
          <w:u w:val="single"/>
        </w:rPr>
        <w:t>Section 2.12</w:t>
      </w:r>
      <w:r>
        <w:rPr>
          <w:rFonts w:ascii="Times New Roman" w:hAnsi="Times New Roman"/>
          <w:sz w:val="20"/>
        </w:rPr>
        <w:t xml:space="preserve"> </w:t>
      </w:r>
      <w:r>
        <w:rPr>
          <w:rFonts w:ascii="Times New Roman;serif" w:hAnsi="Times New Roman;serif"/>
          <w:b w:val="false"/>
          <w:sz w:val="20"/>
        </w:rPr>
        <w:t xml:space="preserve">and compliance with the Financial Performance Covenant), the most recently completed four consecutive fiscal quarters of the Borrower ending on or prior to such date for which financial statements are internally available and (b) for any determination the Applicable Rate, the commitment fee under </w:t>
      </w:r>
      <w:r>
        <w:rPr>
          <w:rFonts w:ascii="Times New Roman;serif" w:hAnsi="Times New Roman;serif"/>
          <w:b w:val="false"/>
          <w:sz w:val="20"/>
          <w:u w:val="single"/>
        </w:rPr>
        <w:t>Section 2.12</w:t>
      </w:r>
      <w:r>
        <w:rPr>
          <w:rFonts w:ascii="Times New Roman" w:hAnsi="Times New Roman"/>
          <w:sz w:val="20"/>
        </w:rPr>
        <w:t xml:space="preserve"> </w:t>
      </w:r>
      <w:r>
        <w:rPr>
          <w:rFonts w:ascii="Times New Roman;serif" w:hAnsi="Times New Roman;serif"/>
          <w:b w:val="false"/>
          <w:sz w:val="20"/>
        </w:rPr>
        <w:t xml:space="preserve">and compliance with the Financial Performance Covenant, the most recently completed four consecutive fiscal quarters of the Borrower ending on or prior to such date for which financial statements have been (or were required to have been) delivered pursuant to </w:t>
      </w:r>
      <w:r>
        <w:rPr>
          <w:rFonts w:ascii="Times New Roman;serif" w:hAnsi="Times New Roman;serif"/>
          <w:b w:val="false"/>
          <w:sz w:val="20"/>
          <w:u w:val="single"/>
        </w:rPr>
        <w:t>Section 5.01(a)</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5.01(b)</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prior to the first date after the Effective Date on which financial statements are internally available or have been delivered pursuant to </w:t>
      </w:r>
      <w:r>
        <w:rPr>
          <w:rFonts w:ascii="Times New Roman;serif" w:hAnsi="Times New Roman;serif"/>
          <w:b w:val="false"/>
          <w:sz w:val="20"/>
          <w:u w:val="single"/>
        </w:rPr>
        <w:t>Section 5.01(a)</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5.01(b)</w:t>
      </w:r>
      <w:r>
        <w:rPr>
          <w:rFonts w:ascii="Times New Roman;serif" w:hAnsi="Times New Roman;serif"/>
          <w:b w:val="false"/>
          <w:sz w:val="20"/>
        </w:rPr>
        <w:t>, as applicable, the Test Period in effect shall be the period of four consecutive fiscal quarters of the Borrower ended September 30, 2019.</w:t>
      </w:r>
    </w:p>
    <w:p>
      <w:pPr>
        <w:pStyle w:val="TextBody"/>
        <w:bidi w:val="0"/>
        <w:spacing w:before="240" w:after="0"/>
        <w:jc w:val="both"/>
        <w:rPr/>
      </w:pPr>
      <w:r>
        <w:rPr/>
        <w:t>“</w:t>
      </w:r>
      <w:r>
        <w:rPr>
          <w:rFonts w:ascii="Times New Roman;serif" w:hAnsi="Times New Roman;serif"/>
          <w:b w:val="false"/>
          <w:sz w:val="20"/>
          <w:u w:val="single"/>
        </w:rPr>
        <w:t>Total Leverage Ratio</w:t>
      </w:r>
      <w:r>
        <w:rPr>
          <w:rFonts w:ascii="Times New Roman" w:hAnsi="Times New Roman"/>
          <w:sz w:val="20"/>
        </w:rPr>
        <w:t xml:space="preserve">” </w:t>
      </w:r>
      <w:r>
        <w:rPr>
          <w:rFonts w:ascii="Times New Roman;serif" w:hAnsi="Times New Roman;serif"/>
          <w:b w:val="false"/>
          <w:sz w:val="20"/>
        </w:rPr>
        <w:t>means, on any date, the ratio of (a) Consolidated Net Debt as of such date to (b) Consolidated EBITDA for the Test Period as of such date.</w:t>
      </w:r>
    </w:p>
    <w:p>
      <w:pPr>
        <w:pStyle w:val="TextBody"/>
        <w:bidi w:val="0"/>
        <w:spacing w:before="240" w:after="0"/>
        <w:jc w:val="both"/>
        <w:rPr/>
      </w:pPr>
      <w:r>
        <w:rPr/>
        <w:t>“</w:t>
      </w:r>
      <w:r>
        <w:rPr>
          <w:rFonts w:ascii="Times New Roman;serif" w:hAnsi="Times New Roman;serif"/>
          <w:b w:val="false"/>
          <w:sz w:val="20"/>
          <w:u w:val="single"/>
        </w:rPr>
        <w:t>Transactions</w:t>
      </w:r>
      <w:r>
        <w:rPr>
          <w:rFonts w:ascii="Times New Roman" w:hAnsi="Times New Roman"/>
          <w:sz w:val="20"/>
        </w:rPr>
        <w:t xml:space="preserve">” </w:t>
      </w:r>
      <w:r>
        <w:rPr>
          <w:rFonts w:ascii="Times New Roman;serif" w:hAnsi="Times New Roman;serif"/>
          <w:b w:val="false"/>
          <w:sz w:val="20"/>
        </w:rPr>
        <w:t>means, collectively, (a) the Acquisition and the Merger, (b) the Effective Date Refinancing (c) the funding of the Term Loans on the Effective Date and the consummation of the other transactions contemplated by this Agreement, (d) the funding of the Second Lien Credit Agreement, (e) the Equity Contribution, (f) the consummation of any other transactions in connection with the foregoing (including in connection with the Acquisition Documents) and (g) the payment of the fees and expenses incurred in connection with any of the foregoing (including the Transaction Costs).</w:t>
      </w:r>
    </w:p>
    <w:p>
      <w:pPr>
        <w:pStyle w:val="TextBody"/>
        <w:bidi w:val="0"/>
        <w:spacing w:before="240" w:after="0"/>
        <w:jc w:val="both"/>
        <w:rPr/>
      </w:pPr>
      <w:r>
        <w:rPr/>
        <w:t>“</w:t>
      </w:r>
      <w:r>
        <w:rPr>
          <w:rFonts w:ascii="Times New Roman;serif" w:hAnsi="Times New Roman;serif"/>
          <w:b w:val="false"/>
          <w:sz w:val="20"/>
          <w:u w:val="single"/>
        </w:rPr>
        <w:t>Transaction Costs</w:t>
      </w:r>
      <w:r>
        <w:rPr>
          <w:rFonts w:ascii="Times New Roman" w:hAnsi="Times New Roman"/>
          <w:sz w:val="20"/>
        </w:rPr>
        <w:t xml:space="preserve">” </w:t>
      </w:r>
      <w:r>
        <w:rPr>
          <w:rFonts w:ascii="Times New Roman;serif" w:hAnsi="Times New Roman;serif"/>
          <w:b w:val="false"/>
          <w:sz w:val="20"/>
        </w:rPr>
        <w:t>means any fees or expenses incurred or paid by the Sponsor, the Management Investors, Merger Sub, Holdings, the Borrower, any Subsidiary or the Target or any of its subsidiaries in connection with the Transactions, this Agreement and the other Loan Documents and the transactions contemplated hereby and thereby.</w:t>
      </w:r>
    </w:p>
    <w:p>
      <w:pPr>
        <w:pStyle w:val="TextBody"/>
        <w:bidi w:val="0"/>
        <w:spacing w:before="240" w:after="0"/>
        <w:jc w:val="both"/>
        <w:rPr/>
      </w:pPr>
      <w:r>
        <w:rPr/>
        <w:t>“</w:t>
      </w:r>
      <w:r>
        <w:rPr>
          <w:rFonts w:ascii="Times New Roman;serif" w:hAnsi="Times New Roman;serif"/>
          <w:b w:val="false"/>
          <w:sz w:val="20"/>
          <w:u w:val="single"/>
        </w:rPr>
        <w:t>Type</w:t>
      </w:r>
      <w:r>
        <w:rPr>
          <w:rFonts w:ascii="Times New Roman;serif" w:hAnsi="Times New Roman;serif"/>
          <w:b w:val="false"/>
          <w:sz w:val="20"/>
        </w:rPr>
        <w:t xml:space="preserve">,” when used in reference to any Loan or Borrowing, refers to whether the rate of interest on such Loan, or on the Loans comprising such Borrowing, is determined by reference to </w:t>
      </w:r>
      <w:r>
        <w:rPr>
          <w:rFonts w:ascii="Times New Roman;serif" w:hAnsi="Times New Roman;serif"/>
          <w:b w:val="false"/>
          <w:strike/>
          <w:sz w:val="20"/>
        </w:rPr>
        <w:t>the</w:t>
      </w:r>
      <w:r>
        <w:rPr>
          <w:rFonts w:ascii="Times New Roman" w:hAnsi="Times New Roman"/>
          <w:sz w:val="20"/>
        </w:rPr>
        <w:t xml:space="preserve"> </w:t>
      </w:r>
      <w:r>
        <w:rPr>
          <w:rFonts w:ascii="Times New Roman;serif" w:hAnsi="Times New Roman;serif"/>
          <w:b w:val="false"/>
          <w:sz w:val="20"/>
        </w:rPr>
        <w:t xml:space="preserve">Adjusted </w:t>
      </w:r>
      <w:r>
        <w:rPr>
          <w:rFonts w:ascii="Times New Roman;serif" w:hAnsi="Times New Roman;serif"/>
          <w:b w:val="false"/>
          <w:strike/>
          <w:sz w:val="20"/>
        </w:rPr>
        <w:t>LIBO Rate</w:t>
      </w:r>
      <w:r>
        <w:rPr>
          <w:rFonts w:ascii="Times New Roman;serif" w:hAnsi="Times New Roman;serif"/>
          <w:b w:val="false"/>
          <w:sz w:val="20"/>
          <w:u w:val="single"/>
        </w:rPr>
        <w:t>Term</w:t>
      </w:r>
      <w:r>
        <w:rPr>
          <w:rFonts w:ascii="Times New Roman" w:hAnsi="Times New Roman"/>
          <w:sz w:val="20"/>
        </w:rPr>
        <w:t xml:space="preserve"> </w:t>
      </w:r>
      <w:r>
        <w:rPr>
          <w:rFonts w:ascii="Times New Roman;serif" w:hAnsi="Times New Roman;serif"/>
          <w:b w:val="false"/>
          <w:sz w:val="20"/>
          <w:u w:val="single"/>
        </w:rPr>
        <w:t>SOFR</w:t>
      </w:r>
      <w:r>
        <w:rPr>
          <w:rFonts w:ascii="Times New Roman" w:hAnsi="Times New Roman"/>
          <w:sz w:val="20"/>
        </w:rPr>
        <w:t xml:space="preserve"> </w:t>
      </w:r>
      <w:r>
        <w:rPr>
          <w:rFonts w:ascii="Times New Roman;serif" w:hAnsi="Times New Roman;serif"/>
          <w:b w:val="false"/>
          <w:sz w:val="20"/>
        </w:rPr>
        <w:t>or the Alternate Base Rate.</w:t>
      </w:r>
    </w:p>
    <w:p>
      <w:pPr>
        <w:pStyle w:val="TextBody"/>
        <w:bidi w:val="0"/>
        <w:spacing w:before="240" w:after="0"/>
        <w:jc w:val="both"/>
        <w:rPr/>
      </w:pPr>
      <w:r>
        <w:rPr/>
        <w:t>“</w:t>
      </w:r>
      <w:r>
        <w:rPr>
          <w:rFonts w:ascii="Times New Roman;serif" w:hAnsi="Times New Roman;serif"/>
          <w:b w:val="false"/>
          <w:sz w:val="20"/>
          <w:u w:val="single"/>
        </w:rPr>
        <w:t>UCC</w:t>
      </w:r>
      <w:r>
        <w:rPr>
          <w:rFonts w:ascii="Times New Roman" w:hAnsi="Times New Roman"/>
          <w:sz w:val="20"/>
        </w:rPr>
        <w:t xml:space="preserve">” </w:t>
      </w:r>
      <w:r>
        <w:rPr>
          <w:rFonts w:ascii="Times New Roman;serif" w:hAnsi="Times New Roman;serif"/>
          <w:b w:val="false"/>
          <w:sz w:val="20"/>
        </w:rPr>
        <w:t>or “</w:t>
      </w:r>
      <w:r>
        <w:rPr>
          <w:rFonts w:ascii="Times New Roman;serif" w:hAnsi="Times New Roman;serif"/>
          <w:b w:val="false"/>
          <w:sz w:val="20"/>
          <w:u w:val="single"/>
        </w:rPr>
        <w:t>Uniform Commercial Code</w:t>
      </w:r>
      <w:r>
        <w:rPr>
          <w:rFonts w:ascii="Times New Roman" w:hAnsi="Times New Roman"/>
          <w:sz w:val="20"/>
        </w:rPr>
        <w:t xml:space="preserve">” </w:t>
      </w:r>
      <w:r>
        <w:rPr>
          <w:rFonts w:ascii="Times New Roman;serif" w:hAnsi="Times New Roman;serif"/>
          <w:b w:val="false"/>
          <w:sz w:val="20"/>
        </w:rPr>
        <w:t xml:space="preserve">means the Uniform Commercial Code as in effect from time to time in the State of New York;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at any time, if by reason of mandatory provisions of law, any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pStyle w:val="TextBody"/>
        <w:bidi w:val="0"/>
        <w:spacing w:before="240" w:after="0"/>
        <w:jc w:val="both"/>
        <w:rPr/>
      </w:pPr>
      <w:r>
        <w:rPr/>
        <w:t>“</w:t>
      </w:r>
      <w:r>
        <w:rPr>
          <w:rFonts w:ascii="Times New Roman;serif" w:hAnsi="Times New Roman;serif"/>
          <w:b w:val="false"/>
          <w:sz w:val="20"/>
          <w:u w:val="single"/>
        </w:rPr>
        <w:t>UCP</w:t>
      </w:r>
      <w:r>
        <w:rPr>
          <w:rFonts w:ascii="Times New Roman" w:hAnsi="Times New Roman"/>
          <w:sz w:val="20"/>
        </w:rPr>
        <w:t xml:space="preserve">” </w:t>
      </w:r>
      <w:r>
        <w:rPr>
          <w:rFonts w:ascii="Times New Roman;serif" w:hAnsi="Times New Roman;serif"/>
          <w:b w:val="false"/>
          <w:sz w:val="20"/>
        </w:rPr>
        <w:t>means the Uniform Customs and Practice for Documentary Credits, International Chamber of Commerce (“</w:t>
      </w:r>
      <w:r>
        <w:rPr>
          <w:rFonts w:ascii="Times New Roman;serif" w:hAnsi="Times New Roman;serif"/>
          <w:b w:val="false"/>
          <w:sz w:val="20"/>
          <w:u w:val="single"/>
        </w:rPr>
        <w:t>ICC</w:t>
      </w:r>
      <w:r>
        <w:rPr>
          <w:rFonts w:ascii="Times New Roman" w:hAnsi="Times New Roman"/>
          <w:sz w:val="20"/>
        </w:rPr>
        <w:t>”</w:t>
      </w:r>
      <w:r>
        <w:rPr>
          <w:rFonts w:ascii="Times New Roman;serif" w:hAnsi="Times New Roman;serif"/>
          <w:b w:val="false"/>
          <w:sz w:val="20"/>
        </w:rPr>
        <w:t>) Publication No. 600 (or such later version as may be in effect at the time of issuance).</w:t>
      </w:r>
    </w:p>
    <w:p>
      <w:pPr>
        <w:pStyle w:val="TextBody"/>
        <w:bidi w:val="0"/>
        <w:spacing w:before="240" w:after="0"/>
        <w:jc w:val="left"/>
        <w:rPr/>
      </w:pPr>
      <w:r>
        <w:rPr/>
        <w:t>“</w:t>
      </w:r>
      <w:r>
        <w:rPr>
          <w:rFonts w:ascii="Times New Roman;serif" w:hAnsi="Times New Roman;serif"/>
          <w:b w:val="false"/>
          <w:sz w:val="20"/>
          <w:u w:val="single"/>
        </w:rPr>
        <w:t>Unaudited Financial Statements</w:t>
      </w:r>
      <w:r>
        <w:rPr>
          <w:rFonts w:ascii="Times New Roman" w:hAnsi="Times New Roman"/>
          <w:sz w:val="20"/>
        </w:rPr>
        <w:t xml:space="preserve">” </w:t>
      </w:r>
      <w:r>
        <w:rPr>
          <w:rFonts w:ascii="Times New Roman;serif" w:hAnsi="Times New Roman;serif"/>
          <w:b w:val="false"/>
          <w:sz w:val="20"/>
        </w:rPr>
        <w:t xml:space="preserve">means the financial statements referenced in </w:t>
      </w:r>
      <w:r>
        <w:rPr>
          <w:rFonts w:ascii="Times New Roman;serif" w:hAnsi="Times New Roman;serif"/>
          <w:b w:val="false"/>
          <w:sz w:val="20"/>
          <w:u w:val="single"/>
        </w:rPr>
        <w:t>Section 3.04(b)</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pPr>
      <w:r>
        <w:rPr/>
        <w:t>“</w:t>
      </w:r>
      <w:r>
        <w:rPr>
          <w:rFonts w:ascii="Times New Roman;serif" w:hAnsi="Times New Roman;serif"/>
          <w:b w:val="false"/>
          <w:sz w:val="20"/>
          <w:u w:val="single"/>
        </w:rPr>
        <w:t>Unrestricted Subsidiary</w:t>
      </w:r>
      <w:r>
        <w:rPr>
          <w:rFonts w:ascii="Times New Roman" w:hAnsi="Times New Roman"/>
          <w:sz w:val="20"/>
        </w:rPr>
        <w:t xml:space="preserve">” </w:t>
      </w:r>
      <w:r>
        <w:rPr>
          <w:rFonts w:ascii="Times New Roman;serif" w:hAnsi="Times New Roman;serif"/>
          <w:b w:val="false"/>
          <w:sz w:val="20"/>
        </w:rPr>
        <w:t xml:space="preserve">means (a) any Subsidiary (other than the Borrower) designated by Holdings or the Borrower as an Unrestricted Subsidiary pursuant to </w:t>
      </w:r>
      <w:r>
        <w:rPr>
          <w:rFonts w:ascii="Times New Roman;serif" w:hAnsi="Times New Roman;serif"/>
          <w:b w:val="false"/>
          <w:sz w:val="20"/>
          <w:u w:val="single"/>
        </w:rPr>
        <w:t>Section 5.15</w:t>
      </w:r>
      <w:r>
        <w:rPr>
          <w:rFonts w:ascii="Times New Roman" w:hAnsi="Times New Roman"/>
          <w:sz w:val="20"/>
        </w:rPr>
        <w:t xml:space="preserve"> </w:t>
      </w:r>
      <w:r>
        <w:rPr>
          <w:rFonts w:ascii="Times New Roman;serif" w:hAnsi="Times New Roman;serif"/>
          <w:b w:val="false"/>
          <w:sz w:val="20"/>
        </w:rPr>
        <w:t>subsequent to the Effective Date and (b) any Subsidiary of any such Unrestricted Subsidiary.</w:t>
      </w:r>
    </w:p>
    <w:p>
      <w:pPr>
        <w:pStyle w:val="TextBody"/>
        <w:bidi w:val="0"/>
        <w:spacing w:before="240" w:after="0"/>
        <w:jc w:val="both"/>
        <w:rPr/>
      </w:pPr>
      <w:r>
        <w:rPr/>
        <w:t>“</w:t>
      </w:r>
      <w:r>
        <w:rPr>
          <w:rFonts w:ascii="Times New Roman;serif" w:hAnsi="Times New Roman;serif"/>
          <w:b w:val="false"/>
          <w:sz w:val="20"/>
          <w:u w:val="single"/>
        </w:rPr>
        <w:t>USA Patriot Act</w:t>
      </w:r>
      <w:r>
        <w:rPr>
          <w:rFonts w:ascii="Times New Roman" w:hAnsi="Times New Roman"/>
          <w:sz w:val="20"/>
        </w:rPr>
        <w:t xml:space="preserve">” </w:t>
      </w:r>
      <w:r>
        <w:rPr>
          <w:rFonts w:ascii="Times New Roman;serif" w:hAnsi="Times New Roman;serif"/>
          <w:b w:val="false"/>
          <w:sz w:val="20"/>
        </w:rPr>
        <w:t>means the Uniting and Strengthening America by Providing Appropriate Tools Required to Intercept and Obstruct Terrorism Act of 2001, as amended from time to time.</w:t>
      </w:r>
    </w:p>
    <w:p>
      <w:pPr>
        <w:pStyle w:val="TextBody"/>
        <w:bidi w:val="0"/>
        <w:spacing w:before="240" w:after="0"/>
        <w:jc w:val="both"/>
        <w:rPr/>
      </w:pPr>
      <w:r>
        <w:rPr/>
        <w:t>“</w:t>
      </w:r>
      <w:r>
        <w:rPr>
          <w:rFonts w:ascii="Times New Roman;serif" w:hAnsi="Times New Roman;serif"/>
          <w:b w:val="false"/>
          <w:sz w:val="20"/>
          <w:u w:val="single"/>
        </w:rPr>
        <w:t>U.S. Government Securities Business Day” means any Business Day, except any Business Day on which</w:t>
      </w:r>
      <w:r>
        <w:rPr>
          <w:rFonts w:ascii="Times New Roman" w:hAnsi="Times New Roman"/>
          <w:sz w:val="20"/>
        </w:rPr>
        <w:t xml:space="preserve"> </w:t>
      </w:r>
      <w:r>
        <w:rPr>
          <w:rFonts w:ascii="Times New Roman;serif" w:hAnsi="Times New Roman;serif"/>
          <w:b w:val="false"/>
          <w:sz w:val="20"/>
          <w:u w:val="single"/>
        </w:rPr>
        <w:t>any of the Securities Industry and Financial Markets Association, the New York Stock Exchange or the Federal</w:t>
      </w:r>
      <w:r>
        <w:rPr>
          <w:rFonts w:ascii="Times New Roman" w:hAnsi="Times New Roman"/>
          <w:sz w:val="20"/>
        </w:rPr>
        <w:t xml:space="preserve"> </w:t>
      </w:r>
      <w:r>
        <w:rPr>
          <w:rFonts w:ascii="Times New Roman;serif" w:hAnsi="Times New Roman;serif"/>
          <w:b w:val="false"/>
          <w:sz w:val="20"/>
          <w:u w:val="single"/>
        </w:rPr>
        <w:t>Reserve Bank of New York is not open for business because such day is a legal holiday under the federal laws of the</w:t>
      </w:r>
      <w:r>
        <w:rPr>
          <w:rFonts w:ascii="Times New Roman" w:hAnsi="Times New Roman"/>
          <w:sz w:val="20"/>
        </w:rPr>
        <w:t xml:space="preserve"> </w:t>
      </w:r>
      <w:r>
        <w:rPr>
          <w:rFonts w:ascii="Times New Roman;serif" w:hAnsi="Times New Roman;serif"/>
          <w:b w:val="false"/>
          <w:sz w:val="20"/>
          <w:u w:val="single"/>
        </w:rPr>
        <w:t>United States or the laws of the State of New York, as applicable.</w:t>
      </w:r>
    </w:p>
    <w:p>
      <w:pPr>
        <w:pStyle w:val="TextBody"/>
        <w:bidi w:val="0"/>
        <w:spacing w:before="240" w:after="0"/>
        <w:jc w:val="left"/>
        <w:rPr/>
      </w:pPr>
      <w:r>
        <w:rPr/>
        <w:t>“</w:t>
      </w:r>
      <w:r>
        <w:rPr>
          <w:rFonts w:ascii="Times New Roman;serif" w:hAnsi="Times New Roman;serif"/>
          <w:b w:val="false"/>
          <w:sz w:val="20"/>
          <w:u w:val="single"/>
        </w:rPr>
        <w:t>U.S. Special Resolution Regimes</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9.21</w:t>
      </w:r>
      <w:r>
        <w:rPr>
          <w:rFonts w:ascii="Times New Roman;serif" w:hAnsi="Times New Roman;serif"/>
          <w:b w:val="false"/>
          <w:sz w:val="20"/>
        </w:rPr>
        <w:t>.</w:t>
      </w:r>
    </w:p>
    <w:p>
      <w:pPr>
        <w:pStyle w:val="TextBody"/>
        <w:bidi w:val="0"/>
        <w:spacing w:before="240" w:after="0"/>
        <w:jc w:val="left"/>
        <w:rPr/>
      </w:pPr>
      <w:r>
        <w:rPr/>
        <w:t>“</w:t>
      </w:r>
      <w:r>
        <w:rPr>
          <w:rFonts w:ascii="Times New Roman;serif" w:hAnsi="Times New Roman;serif"/>
          <w:b w:val="false"/>
          <w:sz w:val="20"/>
          <w:u w:val="single"/>
        </w:rPr>
        <w:t>U.S. Tax Compliance Certificate</w:t>
      </w:r>
      <w:r>
        <w:rPr>
          <w:rFonts w:ascii="Times New Roman" w:hAnsi="Times New Roman"/>
          <w:sz w:val="20"/>
        </w:rPr>
        <w:t xml:space="preserve">” </w:t>
      </w:r>
      <w:r>
        <w:rPr>
          <w:rFonts w:ascii="Times New Roman;serif" w:hAnsi="Times New Roman;serif"/>
          <w:b w:val="false"/>
          <w:sz w:val="20"/>
        </w:rPr>
        <w:t xml:space="preserve">has the meaning assigned to such term in </w:t>
      </w:r>
      <w:r>
        <w:rPr>
          <w:rFonts w:ascii="Times New Roman;serif" w:hAnsi="Times New Roman;serif"/>
          <w:b w:val="false"/>
          <w:sz w:val="20"/>
          <w:u w:val="single"/>
        </w:rPr>
        <w:t>Section 2.17(e)</w:t>
      </w:r>
      <w:r>
        <w:rPr>
          <w:rFonts w:ascii="Times New Roman;serif" w:hAnsi="Times New Roman;serif"/>
          <w:b w:val="false"/>
          <w:sz w:val="20"/>
        </w:rPr>
        <w:t>.</w:t>
      </w:r>
    </w:p>
    <w:p>
      <w:pPr>
        <w:pStyle w:val="TextBody"/>
        <w:bidi w:val="0"/>
        <w:spacing w:before="240" w:after="0"/>
        <w:jc w:val="both"/>
        <w:rPr/>
      </w:pPr>
      <w:r>
        <w:rPr/>
        <w:t>“</w:t>
      </w:r>
      <w:r>
        <w:rPr>
          <w:rFonts w:ascii="Times New Roman;serif" w:hAnsi="Times New Roman;serif"/>
          <w:b w:val="false"/>
          <w:sz w:val="20"/>
          <w:u w:val="single"/>
        </w:rPr>
        <w:t>Vehicles</w:t>
      </w:r>
      <w:r>
        <w:rPr>
          <w:rFonts w:ascii="Times New Roman" w:hAnsi="Times New Roman"/>
          <w:sz w:val="20"/>
        </w:rPr>
        <w:t xml:space="preserve">” </w:t>
      </w:r>
      <w:r>
        <w:rPr>
          <w:rFonts w:ascii="Times New Roman;serif" w:hAnsi="Times New Roman;serif"/>
          <w:b w:val="false"/>
          <w:sz w:val="20"/>
        </w:rPr>
        <w:t>means all railcars, cars, trucks, trailers, construction and earth moving equipment and other vehicles covered by a certificate of title law of any state and all tires and other appurtenances to any of the foregoing.</w:t>
      </w:r>
    </w:p>
    <w:p>
      <w:pPr>
        <w:pStyle w:val="TextBody"/>
        <w:bidi w:val="0"/>
        <w:spacing w:before="240" w:after="0"/>
        <w:jc w:val="both"/>
        <w:rPr/>
      </w:pPr>
      <w:r>
        <w:rPr/>
        <w:t>“</w:t>
      </w:r>
      <w:r>
        <w:rPr>
          <w:rFonts w:ascii="Times New Roman;serif" w:hAnsi="Times New Roman;serif"/>
          <w:b w:val="false"/>
          <w:sz w:val="20"/>
          <w:u w:val="single"/>
        </w:rPr>
        <w:t>Voting Equity Interests</w:t>
      </w:r>
      <w:r>
        <w:rPr>
          <w:rFonts w:ascii="Times New Roman" w:hAnsi="Times New Roman"/>
          <w:sz w:val="20"/>
        </w:rPr>
        <w:t xml:space="preserve">” </w:t>
      </w:r>
      <w:r>
        <w:rPr>
          <w:rFonts w:ascii="Times New Roman;serif" w:hAnsi="Times New Roman;serif"/>
          <w:b w:val="false"/>
          <w:sz w:val="20"/>
        </w:rPr>
        <w:t>means Equity Interests that are entitled to vote generally for the election of directors to the Board of Directors of the issuer thereof. Shares of preferred stock that have the right to elect one or more directors to the Board of Directors of the issuer thereof only upon the occurrence of a breach or default by such issuer thereunder shall not be considered Voting Equity Interests as long as the directors that may be elected to the Board of Directors of the issuer upon the occurrence of such a breach or default represent a minority of the aggregate voting power of all directors of Board of Directors of the issuer. The percentage of Voting Equity Interests of any issuer thereof beneficially owned by a Person shall be determined by reference to the percentage of the aggregate voting power of all Voting Equity Interests of such issuer that are represented by the Voting Equity Interests beneficially owned by such Person.</w:t>
      </w:r>
    </w:p>
    <w:p>
      <w:pPr>
        <w:pStyle w:val="TextBody"/>
        <w:bidi w:val="0"/>
        <w:spacing w:before="240" w:after="0"/>
        <w:jc w:val="both"/>
        <w:rPr/>
      </w:pPr>
      <w:r>
        <w:rPr/>
        <w:t>“</w:t>
      </w:r>
      <w:r>
        <w:rPr>
          <w:rFonts w:ascii="Times New Roman;serif" w:hAnsi="Times New Roman;serif"/>
          <w:b w:val="false"/>
          <w:sz w:val="20"/>
          <w:u w:val="single"/>
        </w:rPr>
        <w:t>Weighted Average Life to Maturity</w:t>
      </w:r>
      <w:r>
        <w:rPr>
          <w:rFonts w:ascii="Times New Roman" w:hAnsi="Times New Roman"/>
          <w:sz w:val="20"/>
        </w:rPr>
        <w:t xml:space="preserve">” </w:t>
      </w:r>
      <w:r>
        <w:rPr>
          <w:rFonts w:ascii="Times New Roman;serif" w:hAnsi="Times New Roman;serif"/>
          <w:b w:val="false"/>
          <w:sz w:val="20"/>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240" w:after="0"/>
        <w:jc w:val="both"/>
        <w:rPr/>
      </w:pPr>
      <w:r>
        <w:rPr/>
        <w:t>“</w:t>
      </w:r>
      <w:r>
        <w:rPr>
          <w:rFonts w:ascii="Times New Roman;serif" w:hAnsi="Times New Roman;serif"/>
          <w:b w:val="false"/>
          <w:sz w:val="20"/>
          <w:u w:val="single"/>
        </w:rPr>
        <w:t>wholly-owned subsidiary</w:t>
      </w:r>
      <w:r>
        <w:rPr>
          <w:rFonts w:ascii="Times New Roman" w:hAnsi="Times New Roman"/>
          <w:sz w:val="20"/>
        </w:rPr>
        <w:t xml:space="preserve">” </w:t>
      </w:r>
      <w:r>
        <w:rPr>
          <w:rFonts w:ascii="Times New Roman;serif" w:hAnsi="Times New Roman;serif"/>
          <w:b w:val="false"/>
          <w:sz w:val="20"/>
        </w:rPr>
        <w:t>means, with respect to any Person at any date, a subsidiary of such Person of which securities or other ownership interests representing 100% of the Equity Interests (other than (a) directors’ qualifying shares and (b) nominal shares issued to foreign nationals or other Persons to the extent required by applicable Requirements of Law) are, as of such date, owned, controlled or held by such Person or one or more wholly-owned subsidiaries of such Person or by such Person and one or more wholly-owned subsidiaries of such Person.</w:t>
      </w:r>
    </w:p>
    <w:p>
      <w:pPr>
        <w:pStyle w:val="TextBody"/>
        <w:bidi w:val="0"/>
        <w:spacing w:before="240" w:after="0"/>
        <w:jc w:val="both"/>
        <w:rPr/>
      </w:pPr>
      <w:r>
        <w:rPr/>
        <w:t>“</w:t>
      </w:r>
      <w:r>
        <w:rPr>
          <w:rFonts w:ascii="Times New Roman;serif" w:hAnsi="Times New Roman;serif"/>
          <w:b w:val="false"/>
          <w:sz w:val="20"/>
          <w:u w:val="single"/>
        </w:rPr>
        <w:t>Withdrawal Liability</w:t>
      </w:r>
      <w:r>
        <w:rPr>
          <w:rFonts w:ascii="Times New Roman" w:hAnsi="Times New Roman"/>
          <w:sz w:val="20"/>
        </w:rPr>
        <w:t xml:space="preserve">” </w:t>
      </w:r>
      <w:r>
        <w:rPr>
          <w:rFonts w:ascii="Times New Roman;serif" w:hAnsi="Times New Roman;serif"/>
          <w:b w:val="false"/>
          <w:sz w:val="20"/>
        </w:rPr>
        <w:t>means liability to a Multiemployer Plan as a result of a complete or partial withdrawal from such Multiemployer Plan, as such terms are defined in Part I of Subtitle E of Title IV of ERISA.</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r>
        <w:rPr>
          <w:rFonts w:ascii="Times New Roman;serif" w:hAnsi="Times New Roman;serif"/>
          <w:b w:val="false"/>
          <w:sz w:val="20"/>
          <w:u w:val="single"/>
        </w:rPr>
        <w:t>Write-Down and Conversion Powers</w:t>
      </w:r>
      <w:r>
        <w:rPr>
          <w:rFonts w:ascii="Times New Roman" w:hAnsi="Times New Roman"/>
          <w:sz w:val="20"/>
        </w:rPr>
        <w:t xml:space="preserve">” </w:t>
      </w:r>
      <w:r>
        <w:rPr>
          <w:rFonts w:ascii="Times New Roman;serif" w:hAnsi="Times New Roman;serif"/>
          <w:b w:val="false"/>
          <w:sz w:val="20"/>
        </w:rPr>
        <w:t>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1.02 </w:t>
      </w:r>
      <w:r>
        <w:rPr>
          <w:rFonts w:ascii="Times New Roman;serif" w:hAnsi="Times New Roman;serif"/>
          <w:b w:val="false"/>
          <w:sz w:val="20"/>
          <w:u w:val="single"/>
        </w:rPr>
        <w:t>Classification of Loans and Borrowings</w:t>
      </w:r>
      <w:r>
        <w:rPr>
          <w:rFonts w:ascii="Times New Roman;serif" w:hAnsi="Times New Roman;serif"/>
          <w:b w:val="false"/>
          <w:sz w:val="20"/>
        </w:rPr>
        <w:t>. For purposes of this Agreement, Loans and Borrowings may be classified and referred to by Class (e.g., a “Term Loan”) or by Type (e.g., a “</w:t>
      </w:r>
      <w:r>
        <w:rPr>
          <w:rFonts w:ascii="Times New Roman;serif" w:hAnsi="Times New Roman;serif"/>
          <w:b w:val="false"/>
          <w:strike/>
          <w:sz w:val="20"/>
        </w:rPr>
        <w:t>Eurocurrency</w:t>
      </w:r>
      <w:r>
        <w:rPr>
          <w:rFonts w:ascii="Times New Roman;serif" w:hAnsi="Times New Roman;serif"/>
          <w:b w:val="false"/>
          <w:sz w:val="20"/>
          <w:u w:val="single"/>
        </w:rPr>
        <w:t>Term</w:t>
      </w:r>
      <w:r>
        <w:rPr>
          <w:rFonts w:ascii="Times New Roman" w:hAnsi="Times New Roman"/>
          <w:sz w:val="20"/>
        </w:rPr>
        <w:t xml:space="preserve"> </w:t>
      </w:r>
      <w:r>
        <w:rPr>
          <w:rFonts w:ascii="Times New Roman;serif" w:hAnsi="Times New Roman;serif"/>
          <w:b w:val="false"/>
          <w:sz w:val="20"/>
          <w:u w:val="single"/>
        </w:rPr>
        <w:t>SOFR</w:t>
      </w:r>
      <w:r>
        <w:rPr>
          <w:rFonts w:ascii="Times New Roman" w:hAnsi="Times New Roman"/>
          <w:sz w:val="20"/>
        </w:rPr>
        <w:t xml:space="preserve"> </w:t>
      </w:r>
      <w:r>
        <w:rPr>
          <w:rFonts w:ascii="Times New Roman;serif" w:hAnsi="Times New Roman;serif"/>
          <w:b w:val="false"/>
          <w:sz w:val="20"/>
        </w:rPr>
        <w:t>Loan”) or by Class and Type (e.g.,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Term Loan”). Borrowings also may be classified and referred to by Class (e.g., a “Term Loan Borrowing”) or by Type (e.g.,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Borrowing”) or by Class and Type (e.g.,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Term Borrowing”).</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1.03 </w:t>
      </w:r>
      <w:r>
        <w:rPr>
          <w:rFonts w:ascii="Times New Roman;serif" w:hAnsi="Times New Roman;serif"/>
          <w:b w:val="false"/>
          <w:sz w:val="20"/>
          <w:u w:val="single"/>
        </w:rPr>
        <w:t>Terms Generally</w:t>
      </w:r>
      <w:r>
        <w:rPr>
          <w:rFonts w:ascii="Times New Roman;serif" w:hAnsi="Times New Roman;serif"/>
          <w:b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the word “or” shall be inclusive.</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1.04 </w:t>
      </w:r>
      <w:r>
        <w:rPr>
          <w:rFonts w:ascii="Times New Roman;serif" w:hAnsi="Times New Roman;serif"/>
          <w:b w:val="false"/>
          <w:sz w:val="20"/>
          <w:u w:val="single"/>
        </w:rPr>
        <w:t>Accounting Terms; GAAP; Certain Calculations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Notwithstanding anything to the contrary herein, for purposes of determining compliance with any test or utilization of any basket contained in this Agreement, Consolidated EBITDA, Consolidated Total Assets, the Total Leverage Ratio, the First Lien Leverage Ratio, the Secured Leverage Ratio and the Interest Coverage Ratio shall be calculated on a Pro Forma Basis to give effect to all Specified Transactions (including the Transactions) that have been made during the applicable period of measurement or subsequent to such period and prior to or simultaneously with the event for which the calculation is made and to the extent the proceeds of any new Indebtedness are to be used to repay other Indebtedness (including by repurchase, redemption, retirement, extinguishment, defeasance, discharge or pursuant to escrow or similar arrangements) no later than 60 days following the incurrence of such new Indebtedness, the Borrower shall be permitted to give Pro Forma Effect to such repayment of Indebtedness.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Where reference is made to “the Borrower and the Restricted Subsidiaries on a consolidated basis” or similar language, such consolidation shall not include any Subsidiaries of the Borrower other than the Restricted Subsidiaries.</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pPr>
      <w:r>
        <w:rPr>
          <w:rFonts w:ascii="Times New Roman;serif" w:hAnsi="Times New Roman;serif"/>
          <w:b w:val="false"/>
          <w:sz w:val="20"/>
        </w:rPr>
        <w:t>In the event that the Borrower elects to prepare its financial statements in accordance with IFRS and such election results in a change in the method of calculation of financial covenants, standards or terms (collectively, the “</w:t>
      </w:r>
      <w:r>
        <w:rPr>
          <w:rFonts w:ascii="Times New Roman;serif" w:hAnsi="Times New Roman;serif"/>
          <w:b w:val="false"/>
          <w:sz w:val="20"/>
          <w:u w:val="single"/>
        </w:rPr>
        <w:t>Accounting Changes</w:t>
      </w:r>
      <w:r>
        <w:rPr/>
        <w:t>”</w:t>
      </w:r>
      <w:r>
        <w:rPr>
          <w:rFonts w:ascii="Times New Roman;serif" w:hAnsi="Times New Roman;serif"/>
          <w:b w:val="false"/>
          <w:sz w:val="20"/>
        </w:rPr>
        <w:t xml:space="preserve">) in this Agreement, the Borrower and the Administrative Agent agree to enter into good faith negotiations in order to amend such provisions of this Agreement (including the levels applicable herein to any computation of the Total Leverage Ratio, the First Lien Leverage Ratio, the Secured Leverage Ratio and the Interest Coverage Ratio) so as to reflect equitably the Accounting Changes with the desired result that the criteria for evaluating the Borrower’s financial condition shall be substantially the same after such change as if such change had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pPr>
      <w:r>
        <w:rPr>
          <w:rFonts w:ascii="Times New Roman;serif" w:hAnsi="Times New Roman;serif"/>
          <w:b w:val="false"/>
          <w:sz w:val="20"/>
        </w:rPr>
        <w:t xml:space="preserve">For purposes of determining the permissibility of any action, change, transaction or event that requires a calculation of any financial ratio or test (including, without limitation, </w:t>
      </w:r>
      <w:r>
        <w:rPr>
          <w:rFonts w:ascii="Times New Roman;serif" w:hAnsi="Times New Roman;serif"/>
          <w:b w:val="false"/>
          <w:sz w:val="20"/>
          <w:u w:val="single"/>
        </w:rPr>
        <w:t>Section 6.10</w:t>
      </w:r>
      <w:r>
        <w:rPr>
          <w:rFonts w:ascii="Times New Roman;serif" w:hAnsi="Times New Roman;serif"/>
          <w:b w:val="false"/>
          <w:sz w:val="20"/>
        </w:rPr>
        <w:t xml:space="preserve">, any First Lien Leverage Ratio test, any Secured Leverage Ratio test, any Total Leverage Ratio test and/or any Interest Coverage Ratio test, the amount of Consolidated EBITDA and/or Consolidated Total Assets), such financial ratio or test shall be calculated at the time such action is taken (subject to </w:t>
      </w:r>
      <w:r>
        <w:rPr>
          <w:rFonts w:ascii="Times New Roman;serif" w:hAnsi="Times New Roman;serif"/>
          <w:b w:val="false"/>
          <w:sz w:val="20"/>
          <w:u w:val="single"/>
        </w:rPr>
        <w:t>Section 1.07</w:t>
      </w:r>
      <w:r>
        <w:rPr>
          <w:rFonts w:ascii="Times New Roman;serif" w:hAnsi="Times New Roman;serif"/>
          <w:b w:val="false"/>
          <w:sz w:val="20"/>
        </w:rPr>
        <w:t>),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0"/>
        <w:jc w:val="both"/>
        <w:rPr/>
      </w:pPr>
      <w:r>
        <w:rPr>
          <w:rFonts w:ascii="Times New Roman;serif" w:hAnsi="Times New Roman;serif"/>
          <w:b w:val="false"/>
          <w:sz w:val="20"/>
        </w:rPr>
        <w:t xml:space="preserve">Notwithstanding anything to the contrary herein, with respect to any amounts incurred or transactions entered into (or consummated) in reliance on a provision of this Agreement (including, without limitation, </w:t>
      </w:r>
      <w:r>
        <w:rPr>
          <w:rFonts w:ascii="Times New Roman;serif" w:hAnsi="Times New Roman;serif"/>
          <w:b w:val="false"/>
          <w:sz w:val="20"/>
          <w:u w:val="single"/>
        </w:rPr>
        <w:t>Section 6.01(a)(ii)</w:t>
      </w:r>
      <w:r>
        <w:rPr/>
        <w:t xml:space="preserve"> </w:t>
      </w:r>
      <w:r>
        <w:rPr>
          <w:rFonts w:ascii="Times New Roman;serif" w:hAnsi="Times New Roman;serif"/>
          <w:b w:val="false"/>
          <w:sz w:val="20"/>
        </w:rPr>
        <w:t xml:space="preserve">(as it relates to the incurrence of any “fixed” or similar amount of Second Lien Incremental Facilities or Second Lien Incremental Equivalent Debt)) that does not require compliance with a financial ratio or test (including, without limitation, </w:t>
      </w:r>
      <w:r>
        <w:rPr>
          <w:rFonts w:ascii="Times New Roman;serif" w:hAnsi="Times New Roman;serif"/>
          <w:b w:val="false"/>
          <w:sz w:val="20"/>
          <w:u w:val="single"/>
        </w:rPr>
        <w:t>Section 6.10</w:t>
      </w:r>
      <w:r>
        <w:rPr>
          <w:rFonts w:ascii="Times New Roman;serif" w:hAnsi="Times New Roman;serif"/>
          <w:b w:val="false"/>
          <w:sz w:val="20"/>
        </w:rPr>
        <w:t>, any First Lien Leverage Ratio test, any Secured Leverage Ratio test, any Total Leverage Ratio test and/or any Interest Coverage Ratio test) (any such amounts, the “</w:t>
      </w:r>
      <w:r>
        <w:rPr>
          <w:rFonts w:ascii="Times New Roman;serif" w:hAnsi="Times New Roman;serif"/>
          <w:b w:val="false"/>
          <w:sz w:val="20"/>
          <w:u w:val="single"/>
        </w:rPr>
        <w:t>Fixed Amounts</w:t>
      </w:r>
      <w:r>
        <w:rPr/>
        <w:t>”</w:t>
      </w:r>
      <w:r>
        <w:rPr>
          <w:rFonts w:ascii="Times New Roman;serif" w:hAnsi="Times New Roman;serif"/>
          <w:b w:val="false"/>
          <w:sz w:val="20"/>
        </w:rPr>
        <w:t xml:space="preserve">) substantially concurrently with any amounts incurred or transactions entered into (or consummated) in reliance on a provision of this Agreement that requires compliance with a financial ratio or test (including, without limitation, </w:t>
      </w:r>
      <w:r>
        <w:rPr>
          <w:rFonts w:ascii="Times New Roman;serif" w:hAnsi="Times New Roman;serif"/>
          <w:b w:val="false"/>
          <w:sz w:val="20"/>
          <w:u w:val="single"/>
        </w:rPr>
        <w:t>Section 6.10</w:t>
      </w:r>
      <w:r>
        <w:rPr>
          <w:rFonts w:ascii="Times New Roman;serif" w:hAnsi="Times New Roman;serif"/>
          <w:b w:val="false"/>
          <w:sz w:val="20"/>
        </w:rPr>
        <w:t>, any First Lien Leverage Ratio test, any Secured Leverage Ratio test, any Total Leverage Ratio test and/or any Interest Coverage Ratio test) (any such amounts, the “</w:t>
      </w:r>
      <w:r>
        <w:rPr>
          <w:rFonts w:ascii="Times New Roman;serif" w:hAnsi="Times New Roman;serif"/>
          <w:b w:val="false"/>
          <w:sz w:val="20"/>
          <w:u w:val="single"/>
        </w:rPr>
        <w:t>Incurrence-Based</w:t>
      </w:r>
      <w:r>
        <w:rPr/>
        <w:t xml:space="preserve"> </w:t>
      </w:r>
      <w:r>
        <w:rPr>
          <w:rFonts w:ascii="Times New Roman;serif" w:hAnsi="Times New Roman;serif"/>
          <w:b w:val="false"/>
          <w:sz w:val="20"/>
          <w:u w:val="single"/>
        </w:rPr>
        <w:t>Amounts</w:t>
      </w:r>
      <w:r>
        <w:rPr/>
        <w:t>”</w:t>
      </w:r>
      <w:r>
        <w:rPr>
          <w:rFonts w:ascii="Times New Roman;serif" w:hAnsi="Times New Roman;serif"/>
          <w:b w:val="false"/>
          <w:sz w:val="20"/>
        </w:rPr>
        <w:t>), it is understood and agreed that the Fixed Amounts shall be disregarded in the calculation of the financial ratio or test applicable to the Incurrence-Based Amounts.</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283"/>
        <w:jc w:val="both"/>
        <w:rPr/>
      </w:pPr>
      <w:r>
        <w:rPr>
          <w:rFonts w:ascii="Times New Roman;serif" w:hAnsi="Times New Roman;serif"/>
          <w:b w:val="false"/>
          <w:sz w:val="20"/>
        </w:rPr>
        <w:t xml:space="preserve">For the avoidance of doubt, in connection with the incurrence of any Indebtedness under </w:t>
      </w:r>
      <w:r>
        <w:rPr>
          <w:rFonts w:ascii="Times New Roman;serif" w:hAnsi="Times New Roman;serif"/>
          <w:b w:val="false"/>
          <w:sz w:val="20"/>
          <w:u w:val="single"/>
        </w:rPr>
        <w:t>Section 2.20</w:t>
      </w:r>
      <w:r>
        <w:rPr>
          <w:rFonts w:ascii="Times New Roman;serif" w:hAnsi="Times New Roman;serif"/>
          <w:b w:val="false"/>
          <w:sz w:val="20"/>
        </w:rPr>
        <w:t xml:space="preserve">, the definitions of Required Lenders, Required Revolving Lenders and Required Term Loan Lenders shall be calculated on a Pro Forma Basis in accordance with this </w:t>
      </w:r>
      <w:r>
        <w:rPr>
          <w:rFonts w:ascii="Times New Roman;serif" w:hAnsi="Times New Roman;serif"/>
          <w:b w:val="false"/>
          <w:sz w:val="20"/>
          <w:u w:val="single"/>
        </w:rPr>
        <w:t>Section 1.04</w:t>
      </w:r>
      <w:r>
        <w:rPr>
          <w:rFonts w:ascii="Times New Roman;serif" w:hAnsi="Times New Roman;serif"/>
          <w:b w:val="false"/>
          <w:sz w:val="20"/>
        </w:rPr>
        <w:t xml:space="preserve">, </w:t>
      </w:r>
      <w:r>
        <w:rPr>
          <w:rFonts w:ascii="Times New Roman;serif" w:hAnsi="Times New Roman;serif"/>
          <w:b w:val="false"/>
          <w:sz w:val="20"/>
          <w:u w:val="single"/>
        </w:rPr>
        <w:t>Section 2.20</w:t>
      </w:r>
      <w:r>
        <w:rPr/>
        <w:t xml:space="preserve"> </w:t>
      </w:r>
      <w:r>
        <w:rPr>
          <w:rFonts w:ascii="Times New Roman;serif" w:hAnsi="Times New Roman;serif"/>
          <w:b w:val="false"/>
          <w:sz w:val="20"/>
        </w:rPr>
        <w:t xml:space="preserve">and the definition of “Incremental Cap”;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waiver, amendment or modification obtained on such basis (i) will not become operative until substantially contemporaneously with the incurrence of such Indebtedness, (ii) is not required in order to avoid a covenant Default and (iii) does not affect the rights or duties under this Agreement of Lenders holding Loans or Commitments of any then outstanding Class but not the Lenders in respect of such Indebtedness to be incurred.</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1.05 </w:t>
      </w:r>
      <w:r>
        <w:rPr>
          <w:rFonts w:ascii="Times New Roman;serif" w:hAnsi="Times New Roman;serif"/>
          <w:b w:val="false"/>
          <w:sz w:val="20"/>
          <w:u w:val="single"/>
        </w:rPr>
        <w:t>Effectuation of Transactions</w:t>
      </w:r>
      <w:r>
        <w:rPr>
          <w:rFonts w:ascii="Times New Roman;serif" w:hAnsi="Times New Roman;serif"/>
          <w:b w:val="false"/>
          <w:sz w:val="20"/>
        </w:rPr>
        <w:t>. All references herein to Holdings, the Borrower and their subsidiaries shall be deemed to be references to such Persons, and all the representations and warranties of Holdings, the Borrower and the other Loan Parties contained in this Agreement and the other Loan Documents shall be deemed made, in each case, after giving effect to the Acquisition and the other Transactions to occur on the Effective Date, unless the context otherwise requires.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1.06 </w:t>
      </w:r>
      <w:r>
        <w:rPr>
          <w:rFonts w:ascii="Times New Roman;serif" w:hAnsi="Times New Roman;serif"/>
          <w:b w:val="false"/>
          <w:sz w:val="20"/>
          <w:u w:val="single"/>
        </w:rPr>
        <w:t>Currency Translation; Rates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pPr>
      <w:r>
        <w:rPr>
          <w:rFonts w:ascii="Times New Roman;serif" w:hAnsi="Times New Roman;serif"/>
          <w:b w:val="false"/>
          <w:sz w:val="20"/>
        </w:rPr>
        <w:t xml:space="preserve">Notwithstanding anything herein to the contrary, for purposes of any determination under </w:t>
      </w:r>
      <w:r>
        <w:rPr>
          <w:rFonts w:ascii="Times New Roman;serif" w:hAnsi="Times New Roman;serif"/>
          <w:b w:val="false"/>
          <w:sz w:val="20"/>
          <w:u w:val="single"/>
        </w:rPr>
        <w:t>Article V</w:t>
      </w:r>
      <w:r>
        <w:rPr>
          <w:rFonts w:ascii="Times New Roman;serif" w:hAnsi="Times New Roman;serif"/>
          <w:b w:val="false"/>
          <w:sz w:val="20"/>
        </w:rPr>
        <w:t xml:space="preserve">, </w:t>
      </w:r>
      <w:r>
        <w:rPr>
          <w:rFonts w:ascii="Times New Roman;serif" w:hAnsi="Times New Roman;serif"/>
          <w:b w:val="false"/>
          <w:sz w:val="20"/>
          <w:u w:val="single"/>
        </w:rPr>
        <w:t>Article VI</w:t>
      </w:r>
      <w:r>
        <w:rPr/>
        <w:t xml:space="preserve"> </w:t>
      </w:r>
      <w:r>
        <w:rPr>
          <w:rFonts w:ascii="Times New Roman;serif" w:hAnsi="Times New Roman;serif"/>
          <w:b w:val="false"/>
          <w:sz w:val="20"/>
        </w:rPr>
        <w:t xml:space="preserve">(other than </w:t>
      </w:r>
      <w:r>
        <w:rPr>
          <w:rFonts w:ascii="Times New Roman;serif" w:hAnsi="Times New Roman;serif"/>
          <w:b w:val="false"/>
          <w:sz w:val="20"/>
          <w:u w:val="single"/>
        </w:rPr>
        <w:t>Section 6.10</w:t>
      </w:r>
      <w:r>
        <w:rPr>
          <w:rFonts w:ascii="Times New Roman;serif" w:hAnsi="Times New Roman;serif"/>
          <w:b w:val="false"/>
          <w:sz w:val="20"/>
        </w:rPr>
        <w:t xml:space="preserve">) or </w:t>
      </w:r>
      <w:r>
        <w:rPr>
          <w:rFonts w:ascii="Times New Roman;serif" w:hAnsi="Times New Roman;serif"/>
          <w:b w:val="false"/>
          <w:sz w:val="20"/>
          <w:u w:val="single"/>
        </w:rPr>
        <w:t>Article VII</w:t>
      </w:r>
      <w:r>
        <w:rPr/>
        <w:t xml:space="preserve"> </w:t>
      </w:r>
      <w:r>
        <w:rPr>
          <w:rFonts w:ascii="Times New Roman;serif" w:hAnsi="Times New Roman;serif"/>
          <w:b w:val="false"/>
          <w:sz w:val="20"/>
        </w:rPr>
        <w:t xml:space="preserve">or any determination under any other provision of this Agreement expressly requiring the use of a current exchange rate, all amounts incurred, outstanding or proposed to be incurred or outstanding in currencies other than dollars shall be translated into dollars at the Spot Rate (rounded to the nearest currency unit, with 0.5 or more of a currency unit being rounded upward);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xml:space="preserve">, that for purposes of determining compliance with </w:t>
      </w:r>
      <w:r>
        <w:rPr>
          <w:rFonts w:ascii="Times New Roman;serif" w:hAnsi="Times New Roman;serif"/>
          <w:b w:val="false"/>
          <w:sz w:val="20"/>
          <w:u w:val="single"/>
        </w:rPr>
        <w:t>Article VI</w:t>
      </w:r>
      <w:r>
        <w:rPr/>
        <w:t xml:space="preserve"> </w:t>
      </w:r>
      <w:r>
        <w:rPr>
          <w:rFonts w:ascii="Times New Roman;serif" w:hAnsi="Times New Roman;serif"/>
          <w:b w:val="false"/>
          <w:sz w:val="20"/>
        </w:rPr>
        <w:t xml:space="preserve">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for the avoidance of doubt, the foregoing provisions of this </w:t>
      </w:r>
      <w:r>
        <w:rPr>
          <w:rFonts w:ascii="Times New Roman;serif" w:hAnsi="Times New Roman;serif"/>
          <w:b w:val="false"/>
          <w:sz w:val="20"/>
          <w:u w:val="single"/>
        </w:rPr>
        <w:t>Section 1.06</w:t>
      </w:r>
      <w:r>
        <w:rPr/>
        <w:t xml:space="preserve"> </w:t>
      </w:r>
      <w:r>
        <w:rPr>
          <w:rFonts w:ascii="Times New Roman;serif" w:hAnsi="Times New Roman;serif"/>
          <w:b w:val="false"/>
          <w:sz w:val="20"/>
        </w:rPr>
        <w:t xml:space="preserve">shall otherwise apply to such Sections, including with respect to determining whether any Indebtedness or Investment may be incurred or Disposition or Restricted Payment made at any time under such Sections. For purposes of any determination of Consolidated Total Debt or Consolidated EBITDA, amounts in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rPr>
        <w:t xml:space="preserve">currencies other than dollars shall be translated into dollars at the currency exchange rates used in preparing the most recently delivered financial statements pursuant to </w:t>
      </w:r>
      <w:r>
        <w:rPr>
          <w:rFonts w:ascii="Times New Roman;serif" w:hAnsi="Times New Roman;serif"/>
          <w:b w:val="false"/>
          <w:sz w:val="20"/>
          <w:u w:val="single"/>
        </w:rPr>
        <w:t>Section 5.01(a)</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(b)</w:t>
      </w:r>
      <w:r>
        <w:rPr>
          <w:rFonts w:ascii="Times New Roman;serif" w:hAnsi="Times New Roman;serif"/>
          <w:b w:val="false"/>
          <w:sz w:val="20"/>
        </w:rPr>
        <w:t>.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pPr>
      <w:r>
        <w:rPr>
          <w:rFonts w:ascii="Times New Roman;serif" w:hAnsi="Times New Roman;serif"/>
          <w:b w:val="false"/>
          <w:sz w:val="20"/>
        </w:rPr>
        <w:t>The Administrative Agent does not warrant, nor accept responsibility, nor shall the Administrative Agent have any liability with respect to the administration, submission or any other matter related to the rates in the definition of “</w:t>
      </w:r>
      <w:r>
        <w:rPr>
          <w:rFonts w:ascii="Times New Roman;serif" w:hAnsi="Times New Roman;serif"/>
          <w:b w:val="false"/>
          <w:strike/>
          <w:sz w:val="20"/>
        </w:rPr>
        <w:t>LIBO Rate</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or with respect to any </w:t>
      </w:r>
      <w:r>
        <w:rPr>
          <w:rFonts w:ascii="Times New Roman;serif" w:hAnsi="Times New Roman;serif"/>
          <w:b w:val="false"/>
          <w:strike/>
          <w:sz w:val="20"/>
        </w:rPr>
        <w:t>rate that is an alternative or replacement for</w:t>
      </w:r>
      <w:r>
        <w:rPr>
          <w:rFonts w:ascii="Times New Roman;serif" w:hAnsi="Times New Roman;serif"/>
          <w:b w:val="false"/>
          <w:sz w:val="20"/>
          <w:u w:val="single"/>
        </w:rPr>
        <w:t>comparable</w:t>
      </w:r>
      <w:r>
        <w:rPr/>
        <w:t xml:space="preserve"> </w:t>
      </w:r>
      <w:r>
        <w:rPr>
          <w:rFonts w:ascii="Times New Roman;serif" w:hAnsi="Times New Roman;serif"/>
          <w:b w:val="false"/>
          <w:sz w:val="20"/>
        </w:rPr>
        <w:t xml:space="preserve">or successor </w:t>
      </w:r>
      <w:r>
        <w:rPr>
          <w:rFonts w:ascii="Times New Roman;serif" w:hAnsi="Times New Roman;serif"/>
          <w:b w:val="false"/>
          <w:strike/>
          <w:sz w:val="20"/>
        </w:rPr>
        <w:t>to any of such</w:t>
      </w:r>
      <w:r>
        <w:rPr/>
        <w:t xml:space="preserve"> </w:t>
      </w:r>
      <w:r>
        <w:rPr>
          <w:rFonts w:ascii="Times New Roman;serif" w:hAnsi="Times New Roman;serif"/>
          <w:b w:val="false"/>
          <w:sz w:val="20"/>
        </w:rPr>
        <w:t xml:space="preserve">rate </w:t>
      </w:r>
      <w:r>
        <w:rPr>
          <w:rFonts w:ascii="Times New Roman;serif" w:hAnsi="Times New Roman;serif"/>
          <w:b w:val="false"/>
          <w:strike/>
          <w:sz w:val="20"/>
        </w:rPr>
        <w:t>(including, without limitation, any LIBOR Successor Rate)</w:t>
      </w:r>
      <w:r>
        <w:rPr>
          <w:rFonts w:ascii="Times New Roman;serif" w:hAnsi="Times New Roman;serif"/>
          <w:b w:val="false"/>
          <w:sz w:val="20"/>
          <w:u w:val="single"/>
        </w:rPr>
        <w:t>thereto,</w:t>
      </w:r>
      <w:r>
        <w:rPr/>
        <w:t xml:space="preserve"> </w:t>
      </w:r>
      <w:r>
        <w:rPr>
          <w:rFonts w:ascii="Times New Roman;serif" w:hAnsi="Times New Roman;serif"/>
          <w:b w:val="false"/>
          <w:sz w:val="20"/>
        </w:rPr>
        <w:t>or the effect of any of the foregoing,</w:t>
      </w:r>
      <w:r>
        <w:rPr>
          <w:strike/>
        </w:rPr>
        <w:t xml:space="preserve"> </w:t>
      </w:r>
      <w:r>
        <w:rPr>
          <w:rFonts w:ascii="Times New Roman;serif" w:hAnsi="Times New Roman;serif"/>
          <w:b w:val="false"/>
          <w:strike/>
          <w:sz w:val="20"/>
        </w:rPr>
        <w:t>or of any LIBOR Successor Rate Conforming Changes</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1.07 </w:t>
      </w:r>
      <w:r>
        <w:rPr>
          <w:rFonts w:ascii="Times New Roman;serif" w:hAnsi="Times New Roman;serif"/>
          <w:b w:val="false"/>
          <w:sz w:val="20"/>
          <w:u w:val="single"/>
        </w:rPr>
        <w:t>Limited Condition Transactions.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Notwithstanding anything in this Agreement or any other Loan Document to the contrary, for purposes of:</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0"/>
        <w:jc w:val="both"/>
        <w:rPr/>
      </w:pPr>
      <w:r>
        <w:rPr>
          <w:rFonts w:ascii="Times New Roman;serif" w:hAnsi="Times New Roman;serif"/>
          <w:b w:val="false"/>
          <w:sz w:val="20"/>
        </w:rPr>
        <w:t xml:space="preserve">determining compliance with any provision of this Agreement (other than </w:t>
      </w:r>
      <w:r>
        <w:rPr>
          <w:rFonts w:ascii="Times New Roman;serif" w:hAnsi="Times New Roman;serif"/>
          <w:b w:val="false"/>
          <w:sz w:val="20"/>
          <w:u w:val="single"/>
        </w:rPr>
        <w:t>Section 6.10</w:t>
      </w:r>
      <w:r>
        <w:rPr>
          <w:rFonts w:ascii="Times New Roman;serif" w:hAnsi="Times New Roman;serif"/>
          <w:b w:val="false"/>
          <w:sz w:val="20"/>
        </w:rPr>
        <w:t>) which requires the calculation of the Interest Coverage Ratio, the Total Leverage Ratio, the Secured Leverage Ratio or the First Lien Leverage Ratio;</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determining the accuracy of representations and warranties and/or whether a Default or Event of Default (or any subset of Defaults or Events of Default) shall have occurred and be continuing or would result from an action; or</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testing availability under baskets set forth in this Agreement (including baskets measured as a percentage of Consolidated EBITDA or Consolidated Total Assets or by reference to the Available Amount or the Available Equity Amount) (including the incurrence of any Incremental Facility);</w:t>
      </w:r>
    </w:p>
    <w:p>
      <w:pPr>
        <w:pStyle w:val="TextBody"/>
        <w:bidi w:val="0"/>
        <w:spacing w:before="240" w:after="0"/>
        <w:jc w:val="both"/>
        <w:rPr>
          <w:rFonts w:ascii="Times New Roman" w:hAnsi="Times New Roman"/>
          <w:sz w:val="20"/>
        </w:rPr>
      </w:pPr>
      <w:r>
        <w:rPr>
          <w:rFonts w:ascii="Times New Roman;serif" w:hAnsi="Times New Roman;serif"/>
          <w:b w:val="false"/>
          <w:sz w:val="20"/>
        </w:rPr>
        <w:t>in each case, in connection with a Limited Condition Transaction, at the option of the Borrower (the Borrower’s election to exercise such option in connection with any Limited Condition Transaction, an “</w:t>
      </w:r>
      <w:r>
        <w:rPr>
          <w:rFonts w:ascii="Times New Roman;serif" w:hAnsi="Times New Roman;serif"/>
          <w:b w:val="false"/>
          <w:sz w:val="20"/>
          <w:u w:val="single"/>
        </w:rPr>
        <w:t>LCT Election</w:t>
      </w:r>
      <w:r>
        <w:rPr>
          <w:rFonts w:ascii="Times New Roman" w:hAnsi="Times New Roman"/>
          <w:sz w:val="20"/>
        </w:rPr>
        <w:t>”</w:t>
      </w:r>
      <w:r>
        <w:rPr>
          <w:rFonts w:ascii="Times New Roman;serif" w:hAnsi="Times New Roman;serif"/>
          <w:b w:val="false"/>
          <w:sz w:val="20"/>
        </w:rPr>
        <w:t>), with such LCT Election to be made on or prior to (a) in the case of any Limited Condition Transaction described in clause (a) of the definition of “Limited Condition Transaction,” the date of execution of, at the option of the Borrower, the definitive agreement or a letter of intent related to such Limited Condition Transaction, or (b) with respect to any Limited Condition Transaction described in clause (b) or (c) of the definition of “Limited Condition Transaction,” the date of delivery of irrevocable notice with respect thereto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in each case, the Borrower may subsequently elect to rescind such LCT Election), and the date of determination of whether any such Limited Condition Transaction (including any Specified Transaction or other action in connection therewith) is permitted hereunder shall be deemed to be the date the definitive agreement or a letter of intent for such Limited Condition Transaction are entered into or the date of delivery of irrevocable notice with respect to such Limited Condition Transaction, as applicable (the “</w:t>
      </w:r>
      <w:r>
        <w:rPr>
          <w:rFonts w:ascii="Times New Roman;serif" w:hAnsi="Times New Roman;serif"/>
          <w:b w:val="false"/>
          <w:sz w:val="20"/>
          <w:u w:val="single"/>
        </w:rPr>
        <w:t>LCT Test Date</w:t>
      </w:r>
      <w:r>
        <w:rPr>
          <w:rFonts w:ascii="Times New Roman" w:hAnsi="Times New Roman"/>
          <w:sz w:val="20"/>
        </w:rPr>
        <w:t>”</w:t>
      </w:r>
      <w:r>
        <w:rPr>
          <w:rFonts w:ascii="Times New Roman;serif" w:hAnsi="Times New Roman;serif"/>
          <w:b w:val="false"/>
          <w:sz w:val="20"/>
        </w:rPr>
        <w:t>), and if, after giving Pro Forma Effect to the Limited Condition Transaction, the Specified Transactions and the other transactions to be entered into in connection therewith (including any incurrence of Indebtedness or Liens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w:t>
      </w:r>
    </w:p>
    <w:p>
      <w:pPr>
        <w:pStyle w:val="TextBody"/>
        <w:bidi w:val="0"/>
        <w:spacing w:before="240" w:after="0"/>
        <w:jc w:val="both"/>
        <w:rPr>
          <w:rFonts w:ascii="Times New Roman" w:hAnsi="Times New Roman"/>
          <w:sz w:val="20"/>
        </w:rPr>
      </w:pPr>
      <w:r>
        <w:rPr>
          <w:rFonts w:ascii="Times New Roman;serif" w:hAnsi="Times New Roman;serif"/>
          <w:b w:val="false"/>
          <w:sz w:val="20"/>
        </w:rPr>
        <w:t>For the avoidance of doubt, if the Borrower has made an LCT Election and any of the ratios or baskets for which compliance was determined or tested as of the LCT Test Date (including with respect to the incurrence of Indebtedness)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however, if any ratios improve or baskets increase as a result of such fluctuations, such improved ratios or increased baskets may be utilized. If the Borrower has made an LCT Election for any Limited Condition Transaction, then in connection with any subsequent calculation of the incurrence ratios subject to the LCT Election on or following the relevant LCT Test Date and prior to the earlier of (i) the date on which such Limited Condition Transaction is consummated or (ii) the date that the definitive agreement, letter of intent or notice, as applicable, for such Limited Condition Transaction is terminated or expires without consummation of such Limited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Condition Transaction, any such ratio or basket shall be calculated on a </w:t>
      </w:r>
      <w:r>
        <w:rPr>
          <w:rFonts w:ascii="Times New Roman;serif" w:hAnsi="Times New Roman;serif"/>
          <w:b w:val="false"/>
          <w:sz w:val="20"/>
          <w:u w:val="single"/>
        </w:rPr>
        <w:t>pro</w:t>
      </w:r>
      <w:r>
        <w:rPr>
          <w:rFonts w:ascii="Times New Roman" w:hAnsi="Times New Roman"/>
          <w:sz w:val="20"/>
        </w:rPr>
        <w:t xml:space="preserve"> </w:t>
      </w:r>
      <w:r>
        <w:rPr>
          <w:rFonts w:ascii="Times New Roman;serif" w:hAnsi="Times New Roman;serif"/>
          <w:b w:val="false"/>
          <w:sz w:val="20"/>
          <w:u w:val="single"/>
        </w:rPr>
        <w:t>forma</w:t>
      </w:r>
      <w:r>
        <w:rPr>
          <w:rFonts w:ascii="Times New Roman" w:hAnsi="Times New Roman"/>
          <w:sz w:val="20"/>
        </w:rPr>
        <w:t xml:space="preserve"> </w:t>
      </w:r>
      <w:r>
        <w:rPr>
          <w:rFonts w:ascii="Times New Roman;serif" w:hAnsi="Times New Roman;serif"/>
          <w:b w:val="false"/>
          <w:sz w:val="20"/>
        </w:rPr>
        <w:t>basis assuming such Limited Condition Transaction and other transactions in connection therewith (including any incurrence of Indebtedness or Liens and the use of proceeds thereof) have been consummated.</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1.08 </w:t>
      </w:r>
      <w:r>
        <w:rPr>
          <w:rFonts w:ascii="Times New Roman;serif" w:hAnsi="Times New Roman;serif"/>
          <w:b w:val="false"/>
          <w:sz w:val="20"/>
          <w:u w:val="single"/>
        </w:rPr>
        <w:t>Cashless Rollovers</w:t>
      </w:r>
      <w:r>
        <w:rPr>
          <w:rFonts w:ascii="Times New Roman;serif" w:hAnsi="Times New Roman;serif"/>
          <w:b w:val="false"/>
          <w:sz w:val="20"/>
        </w:rPr>
        <w:t>. Notwithstanding anything to the contrary contained in this Agreement or in any other Loan Document, to the extent that any Lender extends the maturity date of, or replaces, renews or refinances, any of its then-existing Loans with Incremental Revolving Loans, Other Revolving Loans, Incremental Term Loans, Other Term Loans or loans incurred under a new credit facility, in each case, to the extent such extension, replacement, renewal or refinancing is effected by means of a “cashless roll” by such Lender pursuant to settlement mechanisms approved by the Borrower, the Administrative Agent and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1.09 </w:t>
      </w:r>
      <w:r>
        <w:rPr>
          <w:rFonts w:ascii="Times New Roman;serif" w:hAnsi="Times New Roman;serif"/>
          <w:b w:val="false"/>
          <w:sz w:val="20"/>
          <w:u w:val="single"/>
        </w:rPr>
        <w:t>Letter of Credit Amounts</w:t>
      </w:r>
      <w:r>
        <w:rPr>
          <w:rFonts w:ascii="Times New Roman;serif" w:hAnsi="Times New Roman;serif"/>
          <w:b w:val="false"/>
          <w:sz w:val="20"/>
        </w:rPr>
        <w:t xml:space="preserve">. Unless otherwise specified herein, the amount of a Letter of Credit at any time shall be deemed to be the stated amount of such Letter of Credit in effect at such time;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with respect to any Letter of Credit that, by its terms or the terms of any other document, agreement and instrument entered into by applicable Issuing Bank and the Borrower (or any Subsidiary) or in favor of such Issuing Bank and relating to such Letter of Credit,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1.10 </w:t>
      </w:r>
      <w:r>
        <w:rPr>
          <w:rFonts w:ascii="Times New Roman;serif" w:hAnsi="Times New Roman;serif"/>
          <w:b w:val="false"/>
          <w:sz w:val="20"/>
          <w:u w:val="single"/>
        </w:rPr>
        <w:t>Times of Day</w:t>
      </w:r>
      <w:r>
        <w:rPr>
          <w:rFonts w:ascii="Times New Roman;serif" w:hAnsi="Times New Roman;serif"/>
          <w:b w:val="false"/>
          <w:sz w:val="20"/>
        </w:rPr>
        <w:t>. Unless otherwise specified, all references herein to times of day shall be references to Eastern time (daylight or standard, as applicable).</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1.11 </w:t>
      </w:r>
      <w:r>
        <w:rPr>
          <w:rFonts w:ascii="Times New Roman;serif" w:hAnsi="Times New Roman;serif"/>
          <w:b w:val="false"/>
          <w:sz w:val="20"/>
          <w:u w:val="single"/>
        </w:rPr>
        <w:t>Additional Alternative Currencies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pPr>
      <w:r>
        <w:rPr>
          <w:rFonts w:ascii="Times New Roman;serif" w:hAnsi="Times New Roman;serif"/>
          <w:b w:val="false"/>
          <w:sz w:val="20"/>
        </w:rPr>
        <w:t xml:space="preserve">The Borrower may from time to time request that Letters of Credit be issued in a currency other than dollars;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requested currency is an Eligible Currency. Such request shall be subject to the approval of the Administrative Agent and the applicable Issuing Banks. </w:t>
      </w:r>
      <w:r>
        <w:rPr>
          <w:rFonts w:ascii="Times New Roman;serif" w:hAnsi="Times New Roman;serif"/>
          <w:b w:val="false"/>
          <w:strike/>
          <w:sz w:val="20"/>
        </w:rPr>
        <w:t xml:space="preserve">(b) </w:t>
      </w:r>
      <w:r>
        <w:rPr>
          <w:rFonts w:ascii="Times New Roman;serif" w:hAnsi="Times New Roman;serif"/>
          <w:b w:val="false"/>
          <w:sz w:val="20"/>
        </w:rPr>
        <w:t>Any such request shall be made to the Administrative Agent not later than 11:00 a.m., twenty (20) Business Days prior to the date of the issuance, extension or increase of any Letter of Credit to be issued in such currency (or such other time or date as may be reasonably agreed by the Administrative Agent and the applicable Issuing Banks). The Administrative Agent shall promptly notify the applicable Issuing Banks thereof. The applicable Issuing Bank shall notify the Administrative Agent, not later than 11:00 a.m., ten (10) Business Days after receipt of such request whether it consents, in its sole discretion, to the issuance of Letters of Credit, as the case may be, in such requested currency.</w:t>
      </w:r>
      <w:r>
        <w:rPr>
          <w:rFonts w:ascii="Times New Roman;serif" w:hAnsi="Times New Roman;serif"/>
          <w:b w:val="false"/>
          <w:strike/>
          <w:sz w:val="20"/>
        </w:rPr>
        <w:t>(c)</w:t>
      </w:r>
      <w:r>
        <w:rPr/>
        <w:t xml:space="preserve"> </w:t>
      </w:r>
      <w:r>
        <w:rPr>
          <w:rFonts w:ascii="Times New Roman;serif" w:hAnsi="Times New Roman;serif"/>
          <w:b w:val="false"/>
          <w:sz w:val="20"/>
        </w:rPr>
        <w:t>Any failure by an Issuing Bank to respond to such request within the time period specified in the preceding clause (</w:t>
      </w:r>
      <w:r>
        <w:rPr>
          <w:rFonts w:ascii="Times New Roman;serif" w:hAnsi="Times New Roman;serif"/>
          <w:b w:val="false"/>
          <w:strike/>
          <w:sz w:val="20"/>
        </w:rPr>
        <w:t>b</w:t>
      </w:r>
      <w:r>
        <w:rPr>
          <w:rFonts w:ascii="Times New Roman;serif" w:hAnsi="Times New Roman;serif"/>
          <w:b w:val="false"/>
          <w:sz w:val="20"/>
          <w:u w:val="single"/>
        </w:rPr>
        <w:t>a</w:t>
      </w:r>
      <w:r>
        <w:rPr>
          <w:rFonts w:ascii="Times New Roman;serif" w:hAnsi="Times New Roman;serif"/>
          <w:b w:val="false"/>
          <w:sz w:val="20"/>
        </w:rPr>
        <w:t>) shall be deemed to be a refusal by such Issuing Bank to permit Letters of Credit to be issued in such requested currency. If the Administrative Agent and the applicable Issuing Bank consent to the issuance of Letters of Credit in such requested currency, the Administrative Agent shall so notify the Borrower and (A) the Administrative Agent and the</w:t>
      </w:r>
      <w:r>
        <w:rPr>
          <w:strike/>
        </w:rPr>
        <w:t xml:space="preserve"> </w:t>
      </w:r>
      <w:r>
        <w:rPr>
          <w:rFonts w:ascii="Times New Roman;serif" w:hAnsi="Times New Roman;serif"/>
          <w:b w:val="false"/>
          <w:strike/>
          <w:sz w:val="20"/>
        </w:rPr>
        <w:t>applicable</w:t>
      </w:r>
      <w:r>
        <w:rPr/>
        <w:t xml:space="preserve"> </w:t>
      </w:r>
      <w:r>
        <w:rPr>
          <w:rFonts w:ascii="Times New Roman;serif" w:hAnsi="Times New Roman;serif"/>
          <w:b w:val="false"/>
          <w:sz w:val="20"/>
        </w:rPr>
        <w:t xml:space="preserve">Issuing Bank may amend </w:t>
      </w:r>
      <w:r>
        <w:rPr>
          <w:rFonts w:ascii="Times New Roman;serif" w:hAnsi="Times New Roman;serif"/>
          <w:b w:val="false"/>
          <w:strike/>
          <w:sz w:val="20"/>
        </w:rPr>
        <w:t>the definition of LIBO Rate for any currency for which there is no published LIBO Rate</w:t>
      </w:r>
      <w:r>
        <w:rPr/>
        <w:t xml:space="preserve"> </w:t>
      </w:r>
      <w:r>
        <w:rPr>
          <w:rFonts w:ascii="Times New Roman;serif" w:hAnsi="Times New Roman;serif"/>
          <w:b w:val="false"/>
          <w:strike/>
          <w:sz w:val="20"/>
        </w:rPr>
        <w:t>with respect thereto</w:t>
      </w:r>
      <w:r>
        <w:rPr>
          <w:rFonts w:ascii="Times New Roman;serif" w:hAnsi="Times New Roman;serif"/>
          <w:b w:val="false"/>
          <w:sz w:val="20"/>
          <w:u w:val="single"/>
        </w:rPr>
        <w:t>this Agreement</w:t>
      </w:r>
      <w:r>
        <w:rPr/>
        <w:t xml:space="preserve"> </w:t>
      </w:r>
      <w:r>
        <w:rPr>
          <w:rFonts w:ascii="Times New Roman;serif" w:hAnsi="Times New Roman;serif"/>
          <w:b w:val="false"/>
          <w:sz w:val="20"/>
        </w:rPr>
        <w:t xml:space="preserve">to the extent necessary to add the applicable </w:t>
      </w:r>
      <w:r>
        <w:rPr>
          <w:rFonts w:ascii="Times New Roman;serif" w:hAnsi="Times New Roman;serif"/>
          <w:b w:val="false"/>
          <w:strike/>
          <w:sz w:val="20"/>
        </w:rPr>
        <w:t>LIBO Rate</w:t>
      </w:r>
      <w:r>
        <w:rPr>
          <w:rFonts w:ascii="Times New Roman;serif" w:hAnsi="Times New Roman;serif"/>
          <w:b w:val="false"/>
          <w:sz w:val="20"/>
          <w:u w:val="single"/>
        </w:rPr>
        <w:t>interest rate</w:t>
      </w:r>
      <w:r>
        <w:rPr/>
        <w:t xml:space="preserve"> </w:t>
      </w:r>
      <w:r>
        <w:rPr>
          <w:rFonts w:ascii="Times New Roman;serif" w:hAnsi="Times New Roman;serif"/>
          <w:b w:val="false"/>
          <w:sz w:val="20"/>
        </w:rPr>
        <w:t xml:space="preserve">for such currency and (B) to the extent </w:t>
      </w:r>
      <w:r>
        <w:rPr>
          <w:rFonts w:ascii="Times New Roman;serif" w:hAnsi="Times New Roman;serif"/>
          <w:b w:val="false"/>
          <w:strike/>
          <w:sz w:val="20"/>
        </w:rPr>
        <w:t>the definition of LIBO Rate</w:t>
      </w:r>
      <w:r>
        <w:rPr>
          <w:rFonts w:ascii="Times New Roman;serif" w:hAnsi="Times New Roman;serif"/>
          <w:b w:val="false"/>
          <w:sz w:val="20"/>
          <w:u w:val="single"/>
        </w:rPr>
        <w:t>this Agreement</w:t>
      </w:r>
      <w:r>
        <w:rPr/>
        <w:t xml:space="preserve"> </w:t>
      </w:r>
      <w:r>
        <w:rPr>
          <w:rFonts w:ascii="Times New Roman;serif" w:hAnsi="Times New Roman;serif"/>
          <w:b w:val="false"/>
          <w:sz w:val="20"/>
        </w:rPr>
        <w:t>reflects the appropriate interest rate for such currency or has been amended to reflect the appropriate rate for such currency,</w:t>
      </w:r>
      <w:r>
        <w:rPr>
          <w:u w:val="single"/>
        </w:rPr>
        <w:t xml:space="preserve"> </w:t>
      </w:r>
      <w:r>
        <w:rPr>
          <w:rFonts w:ascii="Times New Roman;serif" w:hAnsi="Times New Roman;serif"/>
          <w:b w:val="false"/>
          <w:sz w:val="20"/>
          <w:u w:val="single"/>
        </w:rPr>
        <w:t>and</w:t>
      </w:r>
      <w:r>
        <w:rPr/>
        <w:t xml:space="preserve"> </w:t>
      </w:r>
      <w:r>
        <w:rPr>
          <w:rFonts w:ascii="Times New Roman;serif" w:hAnsi="Times New Roman;serif"/>
          <w:b w:val="false"/>
          <w:sz w:val="20"/>
        </w:rPr>
        <w:t>such currency shall thereupon be deemed for all purposes to be an Alternative Currency, for purposes of any Letter of Credit issuances. If the Administrative Agent shall fail to obtain consent to any request for an additional currency under this Section 1.11, the Administrative Agent shall promptly so notify the Borrower.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ARTICLE II</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THE CREDITS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2.01 </w:t>
      </w:r>
      <w:r>
        <w:rPr>
          <w:rFonts w:ascii="Times New Roman;serif" w:hAnsi="Times New Roman;serif"/>
          <w:b w:val="false"/>
          <w:sz w:val="20"/>
          <w:u w:val="single"/>
        </w:rPr>
        <w:t>Commitments</w:t>
      </w:r>
      <w:r>
        <w:rPr>
          <w:rFonts w:ascii="Times New Roman;serif" w:hAnsi="Times New Roman;serif"/>
          <w:b w:val="false"/>
          <w:sz w:val="20"/>
        </w:rPr>
        <w:t>. Subject to the terms and conditions set forth herein, (a) each Term Lender agrees to make an Initial Term Loan to the Borrower on the Effective Date denominated in dollars in a principal amount not exceeding its Initial Term Commitment, (b) each Revolving Lender agrees to make Revolving Loans to the Borrower denominated in dollars from time to time during the Revolving Availability Period in an aggregate principal amount which will not result in such Lender’s Revolving Exposure exceeding such Lender’s Revolving Commitment, and (c) each First Additional Term Lender agrees to make a First Additional Term Loan to the Borrower on the Amendment No. 1 Effective Date denominated in dollars in a principal amount not exceeding its First Additional Term Commitment. The Borrower may borrow, prepay and reborrow Revolving Loans. Amounts repaid or prepaid in respect of Term Loans may not be reborrowed.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2.02 </w:t>
      </w:r>
      <w:r>
        <w:rPr>
          <w:rFonts w:ascii="Times New Roman;serif" w:hAnsi="Times New Roman;serif"/>
          <w:b w:val="false"/>
          <w:sz w:val="20"/>
          <w:u w:val="single"/>
        </w:rPr>
        <w:t>Loans and Borrowings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Commitments of the Lenders are several and, other than as expressly provided herein with respect to a Defaulting Lender, no Lender shall be responsible for any other Lender’s failure to make Loans as required hereby.</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 xml:space="preserve">Subject to </w:t>
      </w:r>
      <w:r>
        <w:rPr>
          <w:rFonts w:ascii="Times New Roman;serif" w:hAnsi="Times New Roman;serif"/>
          <w:b w:val="false"/>
          <w:sz w:val="20"/>
          <w:u w:val="single"/>
        </w:rPr>
        <w:t>Section 2.14</w:t>
      </w:r>
      <w:r>
        <w:rPr>
          <w:rFonts w:ascii="Times New Roman;serif" w:hAnsi="Times New Roman;serif"/>
          <w:b w:val="false"/>
          <w:sz w:val="20"/>
        </w:rPr>
        <w:t xml:space="preserve">, each Revolving Loan Borrowing and Term Loan Borrowing denominated in dollars shall be comprised entirely of ABR Loans or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Loans as the Borrower may request in accordance herewith</w:t>
      </w:r>
      <w:r>
        <w:rPr>
          <w:rFonts w:ascii="Times New Roman;serif" w:hAnsi="Times New Roman;serif"/>
          <w:b w:val="false"/>
          <w:strike/>
          <w:sz w:val="20"/>
        </w:rPr>
        <w:t xml:space="preserve">; </w:t>
      </w:r>
      <w:r>
        <w:rPr>
          <w:rFonts w:ascii="Times New Roman;serif" w:hAnsi="Times New Roman;serif"/>
          <w:b w:val="false"/>
          <w:strike/>
          <w:sz w:val="20"/>
          <w:u w:val="single"/>
        </w:rPr>
        <w:t xml:space="preserve">provided </w:t>
      </w:r>
      <w:r>
        <w:rPr>
          <w:rFonts w:ascii="Times New Roman;serif" w:hAnsi="Times New Roman;serif"/>
          <w:b w:val="false"/>
          <w:strike/>
          <w:sz w:val="20"/>
        </w:rPr>
        <w:t>that all Borrowings made on the Effective Date must be made as ABR</w:t>
      </w:r>
      <w:r>
        <w:rPr/>
        <w:t xml:space="preserve"> </w:t>
      </w:r>
      <w:r>
        <w:rPr>
          <w:rFonts w:ascii="Times New Roman;serif" w:hAnsi="Times New Roman;serif"/>
          <w:b w:val="false"/>
          <w:strike/>
          <w:sz w:val="20"/>
        </w:rPr>
        <w:t xml:space="preserve">Borrowings unless the Borrower shall have given the notice required for a Eurocurrency Borrowing under </w:t>
      </w:r>
      <w:r>
        <w:rPr>
          <w:rFonts w:ascii="Times New Roman;serif" w:hAnsi="Times New Roman;serif"/>
          <w:b w:val="false"/>
          <w:strike/>
          <w:sz w:val="20"/>
          <w:u w:val="single"/>
        </w:rPr>
        <w:t>Section</w:t>
      </w:r>
      <w:r>
        <w:rPr/>
        <w:t xml:space="preserve"> </w:t>
      </w:r>
      <w:r>
        <w:rPr>
          <w:rFonts w:ascii="Times New Roman;serif" w:hAnsi="Times New Roman;serif"/>
          <w:b w:val="false"/>
          <w:strike/>
          <w:sz w:val="20"/>
          <w:u w:val="single"/>
        </w:rPr>
        <w:t xml:space="preserve">2.03 </w:t>
      </w:r>
      <w:r>
        <w:rPr>
          <w:rFonts w:ascii="Times New Roman;serif" w:hAnsi="Times New Roman;serif"/>
          <w:b w:val="false"/>
          <w:strike/>
          <w:sz w:val="20"/>
        </w:rPr>
        <w:t>and provided an indemnity (which may be in an indemnity letter or a Borrowing Request) extending the benefits</w:t>
      </w:r>
      <w:r>
        <w:rPr/>
        <w:t xml:space="preserve"> </w:t>
      </w:r>
      <w:r>
        <w:rPr>
          <w:rFonts w:ascii="Times New Roman;serif" w:hAnsi="Times New Roman;serif"/>
          <w:b w:val="false"/>
          <w:strike/>
          <w:sz w:val="20"/>
        </w:rPr>
        <w:t xml:space="preserve">of </w:t>
      </w:r>
      <w:r>
        <w:rPr>
          <w:rFonts w:ascii="Times New Roman;serif" w:hAnsi="Times New Roman;serif"/>
          <w:b w:val="false"/>
          <w:strike/>
          <w:sz w:val="20"/>
          <w:u w:val="single"/>
        </w:rPr>
        <w:t xml:space="preserve">Section 2.16 </w:t>
      </w:r>
      <w:r>
        <w:rPr>
          <w:rFonts w:ascii="Times New Roman;serif" w:hAnsi="Times New Roman;serif"/>
          <w:b w:val="false"/>
          <w:strike/>
          <w:sz w:val="20"/>
        </w:rPr>
        <w:t>to lenders in respect of such Borrowings</w:t>
      </w:r>
      <w:r>
        <w:rPr>
          <w:rFonts w:ascii="Times New Roman;serif" w:hAnsi="Times New Roman;serif"/>
          <w:b w:val="false"/>
          <w:sz w:val="20"/>
        </w:rPr>
        <w:t xml:space="preserve">. Each Lender at its option may make any Loan by causing any domestic or foreign branch or Affiliate of such Lender to make such Loan;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exercise of such option shall not affect the obligation of the Borrower to repay such Loan in accordance with the terms of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At the commencement of each Interest Period for any</w:t>
      </w:r>
      <w:r>
        <w:rPr/>
        <w:t xml:space="preserv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 such Borrowing shall be in an aggregate amount that is an integral multiple of the Borrowing Multiple and not less than the Borrowing Minimum; provided that a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 that results from a continuation of an outstanding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 may be in an aggregate amount that is equal to such outstanding Borrowing. At the time that each ABR Borrowing is made, such Borrowing shall be in an aggregate amount that is an integral multiple of the Borrowing Multiple and not less than the Borrowing Minimum. Borrowings of more than one Type and Class may be outstanding at the same time; provided that there shall not at any time be more than a total of three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Borrowings that are Term Loans outstanding and ten </w:t>
      </w:r>
      <w:r>
        <w:rPr>
          <w:rFonts w:ascii="Times New Roman;serif" w:hAnsi="Times New Roman;serif"/>
          <w:b w:val="false"/>
          <w:strike/>
          <w:sz w:val="20"/>
        </w:rPr>
        <w:t>Eurocurrency</w:t>
      </w:r>
      <w:r>
        <w:rPr>
          <w:rFonts w:ascii="Times New Roman;serif" w:hAnsi="Times New Roman;serif"/>
          <w:b w:val="false"/>
          <w:sz w:val="20"/>
          <w:u w:val="single"/>
        </w:rPr>
        <w:t>Term</w:t>
      </w:r>
      <w:r>
        <w:rPr/>
        <w:t xml:space="preserve"> </w:t>
      </w:r>
      <w:r>
        <w:rPr>
          <w:rFonts w:ascii="Times New Roman;serif" w:hAnsi="Times New Roman;serif"/>
          <w:b w:val="false"/>
          <w:sz w:val="20"/>
          <w:u w:val="single"/>
        </w:rPr>
        <w:t>SOFR</w:t>
      </w:r>
      <w:r>
        <w:rPr/>
        <w:t xml:space="preserve"> </w:t>
      </w:r>
      <w:r>
        <w:rPr>
          <w:rFonts w:ascii="Times New Roman;serif" w:hAnsi="Times New Roman;serif"/>
          <w:b w:val="false"/>
          <w:sz w:val="20"/>
        </w:rPr>
        <w:t xml:space="preserve">Borrowings that are Revolving Loans outstanding (or, in any case, such greater number of </w:t>
      </w:r>
      <w:r>
        <w:rPr>
          <w:rFonts w:ascii="Times New Roman;serif" w:hAnsi="Times New Roman;serif"/>
          <w:b w:val="false"/>
          <w:strike/>
          <w:sz w:val="20"/>
        </w:rPr>
        <w:t>Eurocurrency</w:t>
      </w:r>
      <w:r>
        <w:rPr>
          <w:rFonts w:ascii="Times New Roman;serif" w:hAnsi="Times New Roman;serif"/>
          <w:b w:val="false"/>
          <w:sz w:val="20"/>
          <w:u w:val="single"/>
        </w:rPr>
        <w:t>Term</w:t>
      </w:r>
      <w:r>
        <w:rPr/>
        <w:t xml:space="preserve"> </w:t>
      </w:r>
      <w:r>
        <w:rPr>
          <w:rFonts w:ascii="Times New Roman;serif" w:hAnsi="Times New Roman;serif"/>
          <w:b w:val="false"/>
          <w:sz w:val="20"/>
          <w:u w:val="single"/>
        </w:rPr>
        <w:t>SOFR</w:t>
      </w:r>
      <w:r>
        <w:rPr/>
        <w:t xml:space="preserve"> </w:t>
      </w:r>
      <w:r>
        <w:rPr>
          <w:rFonts w:ascii="Times New Roman;serif" w:hAnsi="Times New Roman;serif"/>
          <w:b w:val="false"/>
          <w:sz w:val="20"/>
        </w:rPr>
        <w:t>Borrowings as the Administrative Agent may reasonably agree).</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rPr>
        <w:t xml:space="preserve">Subject to the terms and conditions set forth herein and in Amendment No. 1, each Rollover Amendment No. 1 Term Lender severally agrees to exchange its Exchanged Amendment No. 1 Term Loans for a like principal amount of Term B-1 Loans on the Amendment No. 1 Effective Date. Subject to the terms and conditions set forth herein and in Amendment No. 1, each Additional Term B-1 Lender severally agrees to make an Additional Term B-1 Loan (which shall be considered an increase to (and part of) the Term B-1 Loans) to the Borrower on the Amendment No. 1 Effective Date in the principal amount equal to its Additional Term B-1 Commitment on the Amendment No. 1 Effective Date. The Borrower shall prepay the Non-Exchanged Amendment No. 1 Term Loans with a like amount of the gross proceeds of the Additional Term B-1 Loans, concurrently with the receipt thereof. The Borrower shall pay to the Term Lenders immediately prior to the effectiveness of Amendment No. 1 all accrued and unpaid interest on the Term Loans to, but not including, the Amendment No. 1 Effective Date on such Amendment No. 1 Effective Date. The Term B-1 Loans shall have the terms set forth in this Agreement and the other Loan Documents, including as modified by Amendment No. 1; it being understood that the Term B-1 Loans (and all principal, interest and other amounts in respect thereof) will constitute “Obligations” under this Agreement and the other Loan Documents. As provided in 2.07(a) and subject to the terms hereof, the Borrower may elect that the Term B-1 Loans comprising the Borrowing hereunder of Term B-1 Loans be either ABR Loans or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Loans.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2.03 </w:t>
      </w:r>
      <w:r>
        <w:rPr>
          <w:rFonts w:ascii="Times New Roman;serif" w:hAnsi="Times New Roman;serif"/>
          <w:b w:val="false"/>
          <w:sz w:val="20"/>
          <w:u w:val="single"/>
        </w:rPr>
        <w:t>Requests for Borrowings</w:t>
      </w:r>
      <w:r>
        <w:rPr>
          <w:rFonts w:ascii="Times New Roman;serif" w:hAnsi="Times New Roman;serif"/>
          <w:b w:val="false"/>
          <w:sz w:val="20"/>
        </w:rPr>
        <w:t xml:space="preserve">. To request a Revolving Loan Borrowing or Term Loan Borrowing, the Borrower shall notify the Administrative Agent of such request, which notice may be given by (A) telephone or (B) a Borrowing Request;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any telephone notice must be confirmed promptly by delivery to the Administrative Agent of a Borrowing Request. Each such notice must be received by the Administrative Agent (a)(x) in the case of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Borrowing, not later than 2:00 p.m., New York City time, three </w:t>
      </w:r>
      <w:r>
        <w:rPr>
          <w:rFonts w:ascii="Times New Roman;serif" w:hAnsi="Times New Roman;serif"/>
          <w:b w:val="false"/>
          <w:sz w:val="20"/>
          <w:u w:val="single"/>
        </w:rPr>
        <w:t>U.S. Government Securities</w:t>
      </w:r>
      <w:r>
        <w:rPr>
          <w:rFonts w:ascii="Times New Roman" w:hAnsi="Times New Roman"/>
          <w:sz w:val="20"/>
        </w:rPr>
        <w:t xml:space="preserve"> </w:t>
      </w:r>
      <w:r>
        <w:rPr>
          <w:rFonts w:ascii="Times New Roman;serif" w:hAnsi="Times New Roman;serif"/>
          <w:b w:val="false"/>
          <w:sz w:val="20"/>
        </w:rPr>
        <w:t xml:space="preserve">Business Days before the date of the proposed Borrowing (or, in the case of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Borrowing to be made on the Amendment No. 1 Effective Date, such shorter period of time as may be agreed to by the Administrative Agent) or (b) in the case of an ABR Borrowing, not later than 11:00 a.m., New York City time, on the date of the proposed Borrowing;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any such notice of an ABR Revolving Loan Borrowing to finance the reimbursement of an LC Disbursement as contemplated by </w:t>
      </w:r>
      <w:r>
        <w:rPr>
          <w:rFonts w:ascii="Times New Roman;serif" w:hAnsi="Times New Roman;serif"/>
          <w:b w:val="false"/>
          <w:sz w:val="20"/>
          <w:u w:val="single"/>
        </w:rPr>
        <w:t>Section 2.05(f)</w:t>
      </w:r>
      <w:r>
        <w:rPr>
          <w:rFonts w:ascii="Times New Roman" w:hAnsi="Times New Roman"/>
          <w:sz w:val="20"/>
        </w:rPr>
        <w:t xml:space="preserve"> </w:t>
      </w:r>
      <w:r>
        <w:rPr>
          <w:rFonts w:ascii="Times New Roman;serif" w:hAnsi="Times New Roman;serif"/>
          <w:b w:val="false"/>
          <w:sz w:val="20"/>
        </w:rPr>
        <w:t>may be given no later than 2:00 p.m., New York City time, on the date of the proposed Borrowing. Each such Borrowing Request shall be irrevocable and shall be delivered by hand delivery, facsimile or other electronic transmission (or, if requested by telephone, promptly confirmed in writing by hand delivery, facsimile or other electronic transmission) to the Administrative Agent and shall be signed by the Borrower. Each such Borrowing Request shall specify the following information:</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whether the requested Borrowing is to be a Term Loan Borrowing, a Revolving Loan Borrowing or a Borrowing of any other Class (specifying the Class thereof);</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aggregate amount of such Borrowing;</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date of such Borrowing, which shall be a Business Day;</w:t>
      </w:r>
    </w:p>
    <w:p>
      <w:pPr>
        <w:pStyle w:val="TextBody"/>
        <w:bidi w:val="0"/>
        <w:spacing w:before="200" w:after="0"/>
        <w:jc w:val="both"/>
        <w:rPr>
          <w:rFonts w:ascii="Times New Roman" w:hAnsi="Times New Roman"/>
          <w:b w:val="false"/>
          <w:sz w:val="20"/>
        </w:rPr>
      </w:pPr>
      <w:r>
        <w:rPr>
          <w:rFonts w:ascii="Times New Roman" w:hAnsi="Times New Roman"/>
          <w:b w:val="false"/>
          <w:sz w:val="20"/>
        </w:rPr>
        <w:t>(iv)</w:t>
      </w:r>
    </w:p>
    <w:p>
      <w:pPr>
        <w:pStyle w:val="TextBody"/>
        <w:bidi w:val="0"/>
        <w:spacing w:before="200" w:after="0"/>
        <w:jc w:val="both"/>
        <w:rPr/>
      </w:pPr>
      <w:r>
        <w:rPr>
          <w:rFonts w:ascii="Times New Roman;serif" w:hAnsi="Times New Roman;serif"/>
          <w:b w:val="false"/>
          <w:sz w:val="20"/>
        </w:rPr>
        <w:t xml:space="preserve">whether such Borrowing is to be an ABR Borrowing or a </w:t>
      </w:r>
      <w:r>
        <w:rPr>
          <w:rFonts w:ascii="Times New Roman;serif" w:hAnsi="Times New Roman;serif"/>
          <w:b w:val="false"/>
          <w:strike/>
          <w:sz w:val="20"/>
        </w:rPr>
        <w:t>Eurocurrency</w:t>
      </w:r>
      <w:r>
        <w:rPr>
          <w:rFonts w:ascii="Times New Roman;serif" w:hAnsi="Times New Roman;serif"/>
          <w:b w:val="false"/>
          <w:sz w:val="20"/>
          <w:u w:val="single"/>
        </w:rPr>
        <w:t xml:space="preserve">Term SOFR </w:t>
      </w:r>
      <w:r>
        <w:rPr>
          <w:rFonts w:ascii="Times New Roman;serif" w:hAnsi="Times New Roman;serif"/>
          <w:b w:val="false"/>
          <w:sz w:val="20"/>
        </w:rPr>
        <w:t>Borrowing;</w:t>
      </w:r>
    </w:p>
    <w:p>
      <w:pPr>
        <w:pStyle w:val="TextBody"/>
        <w:bidi w:val="0"/>
        <w:spacing w:before="200" w:after="0"/>
        <w:jc w:val="both"/>
        <w:rPr>
          <w:rFonts w:ascii="Times New Roman" w:hAnsi="Times New Roman"/>
          <w:b w:val="false"/>
          <w:sz w:val="20"/>
        </w:rPr>
      </w:pPr>
      <w:r>
        <w:rPr>
          <w:rFonts w:ascii="Times New Roman" w:hAnsi="Times New Roman"/>
          <w:b w:val="false"/>
          <w:sz w:val="20"/>
        </w:rPr>
        <w:t>(v)</w:t>
      </w:r>
    </w:p>
    <w:p>
      <w:pPr>
        <w:pStyle w:val="TextBody"/>
        <w:bidi w:val="0"/>
        <w:spacing w:before="200" w:after="0"/>
        <w:jc w:val="both"/>
        <w:rPr/>
      </w:pPr>
      <w:r>
        <w:rPr>
          <w:rFonts w:ascii="Times New Roman;serif" w:hAnsi="Times New Roman;serif"/>
          <w:b w:val="false"/>
          <w:sz w:val="20"/>
        </w:rPr>
        <w:t>in the case of a</w:t>
      </w:r>
      <w:r>
        <w:rPr/>
        <w:t xml:space="preserv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Borrowing, the initial Interest Period to be applicable thereto, which shall be a period contemplated by the definition of the term “Interest Period”;</w:t>
      </w:r>
    </w:p>
    <w:p>
      <w:pPr>
        <w:pStyle w:val="TextBody"/>
        <w:bidi w:val="0"/>
        <w:spacing w:before="200" w:after="0"/>
        <w:jc w:val="both"/>
        <w:rPr>
          <w:rFonts w:ascii="Times New Roman" w:hAnsi="Times New Roman"/>
          <w:b w:val="false"/>
          <w:sz w:val="20"/>
        </w:rPr>
      </w:pPr>
      <w:r>
        <w:rPr>
          <w:rFonts w:ascii="Times New Roman" w:hAnsi="Times New Roman"/>
          <w:b w:val="false"/>
          <w:sz w:val="20"/>
        </w:rPr>
        <w:t>(vi)</w:t>
      </w:r>
    </w:p>
    <w:p>
      <w:pPr>
        <w:pStyle w:val="TextBody"/>
        <w:bidi w:val="0"/>
        <w:spacing w:before="200" w:after="0"/>
        <w:jc w:val="both"/>
        <w:rPr/>
      </w:pPr>
      <w:r>
        <w:rPr>
          <w:rFonts w:ascii="Times New Roman;serif" w:hAnsi="Times New Roman;serif"/>
          <w:b w:val="false"/>
          <w:sz w:val="20"/>
        </w:rPr>
        <w:t xml:space="preserve">the location and number of the Borrower’s account to which funds are to be disbursed, which shall comply with the requirements of </w:t>
      </w:r>
      <w:r>
        <w:rPr>
          <w:rFonts w:ascii="Times New Roman;serif" w:hAnsi="Times New Roman;serif"/>
          <w:b w:val="false"/>
          <w:sz w:val="20"/>
          <w:u w:val="single"/>
        </w:rPr>
        <w:t>Section 2.06</w:t>
      </w:r>
      <w:r>
        <w:rPr/>
        <w:t xml:space="preserve"> </w:t>
      </w:r>
      <w:r>
        <w:rPr>
          <w:rFonts w:ascii="Times New Roman;serif" w:hAnsi="Times New Roman;serif"/>
          <w:b w:val="false"/>
          <w:sz w:val="20"/>
        </w:rPr>
        <w:t xml:space="preserve">or, in the case of any ABR Revolving Loan Borrowing requested to finance the reimbursement of an LC Disbursement as provided in </w:t>
      </w:r>
      <w:r>
        <w:rPr>
          <w:rFonts w:ascii="Times New Roman;serif" w:hAnsi="Times New Roman;serif"/>
          <w:b w:val="false"/>
          <w:sz w:val="20"/>
          <w:u w:val="single"/>
        </w:rPr>
        <w:t>Section 2.05(f)</w:t>
      </w:r>
      <w:r>
        <w:rPr>
          <w:rFonts w:ascii="Times New Roman;serif" w:hAnsi="Times New Roman;serif"/>
          <w:b w:val="false"/>
          <w:sz w:val="20"/>
        </w:rPr>
        <w:t>, the identity of the Issuing Bank that made such LC Disbursement, and</w:t>
      </w:r>
    </w:p>
    <w:p>
      <w:pPr>
        <w:pStyle w:val="TextBody"/>
        <w:bidi w:val="0"/>
        <w:spacing w:before="200" w:after="0"/>
        <w:jc w:val="both"/>
        <w:rPr>
          <w:rFonts w:ascii="Times New Roman" w:hAnsi="Times New Roman"/>
          <w:b w:val="false"/>
          <w:sz w:val="20"/>
        </w:rPr>
      </w:pPr>
      <w:r>
        <w:rPr>
          <w:rFonts w:ascii="Times New Roman" w:hAnsi="Times New Roman"/>
          <w:b w:val="false"/>
          <w:sz w:val="20"/>
        </w:rPr>
        <w:t>(vii)</w:t>
      </w:r>
    </w:p>
    <w:p>
      <w:pPr>
        <w:pStyle w:val="TextBody"/>
        <w:bidi w:val="0"/>
        <w:spacing w:before="200" w:after="283"/>
        <w:jc w:val="both"/>
        <w:rPr/>
      </w:pPr>
      <w:r>
        <w:rPr>
          <w:rFonts w:ascii="Times New Roman;serif" w:hAnsi="Times New Roman;serif"/>
          <w:b w:val="false"/>
          <w:sz w:val="20"/>
        </w:rPr>
        <w:t xml:space="preserve">except on the Effective Date, that, as of the date of such Borrowing, the conditions set forth in </w:t>
      </w:r>
      <w:r>
        <w:rPr>
          <w:rFonts w:ascii="Times New Roman;serif" w:hAnsi="Times New Roman;serif"/>
          <w:b w:val="false"/>
          <w:sz w:val="20"/>
          <w:u w:val="single"/>
        </w:rPr>
        <w:t>Section 4.02(a)</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Section 4.02(b)</w:t>
      </w:r>
      <w:r>
        <w:rPr/>
        <w:t xml:space="preserve"> </w:t>
      </w:r>
      <w:r>
        <w:rPr>
          <w:rFonts w:ascii="Times New Roman;serif" w:hAnsi="Times New Roman;serif"/>
          <w:b w:val="false"/>
          <w:sz w:val="20"/>
        </w:rPr>
        <w:t>are satisfied.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If no election as to the Type of Borrowing is specified as to any Borrowing, then the requested Borrowing shall be an ABR Borrowing. If no Interest Period is specified with respect to any requested </w:t>
      </w:r>
      <w:r>
        <w:rPr>
          <w:rFonts w:ascii="Times New Roman;serif" w:hAnsi="Times New Roman;serif"/>
          <w:b w:val="false"/>
          <w:strike/>
          <w:sz w:val="20"/>
        </w:rPr>
        <w:t>Eurocurrency</w:t>
      </w:r>
      <w:r>
        <w:rPr>
          <w:rFonts w:ascii="Times New Roman;serif" w:hAnsi="Times New Roman;serif"/>
          <w:b w:val="false"/>
          <w:sz w:val="20"/>
          <w:u w:val="single"/>
        </w:rPr>
        <w:t>Term</w:t>
      </w:r>
      <w:r>
        <w:rPr>
          <w:rFonts w:ascii="Times New Roman" w:hAnsi="Times New Roman"/>
          <w:sz w:val="20"/>
        </w:rPr>
        <w:t xml:space="preserve"> </w:t>
      </w:r>
      <w:r>
        <w:rPr>
          <w:rFonts w:ascii="Times New Roman;serif" w:hAnsi="Times New Roman;serif"/>
          <w:b w:val="false"/>
          <w:sz w:val="20"/>
          <w:u w:val="single"/>
        </w:rPr>
        <w:t>SOFR</w:t>
      </w:r>
      <w:r>
        <w:rPr>
          <w:rFonts w:ascii="Times New Roman" w:hAnsi="Times New Roman"/>
          <w:sz w:val="20"/>
        </w:rPr>
        <w:t xml:space="preserve"> </w:t>
      </w:r>
      <w:r>
        <w:rPr>
          <w:rFonts w:ascii="Times New Roman;serif" w:hAnsi="Times New Roman;serif"/>
          <w:b w:val="false"/>
          <w:sz w:val="20"/>
        </w:rPr>
        <w:t>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2.04 </w:t>
      </w:r>
      <w:r>
        <w:rPr>
          <w:rFonts w:ascii="Times New Roman;serif" w:hAnsi="Times New Roman;serif"/>
          <w:b w:val="false"/>
          <w:sz w:val="20"/>
          <w:u w:val="single"/>
        </w:rPr>
        <w:t>[Reserved]</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2.05 </w:t>
      </w:r>
      <w:r>
        <w:rPr>
          <w:rFonts w:ascii="Times New Roman;serif" w:hAnsi="Times New Roman;serif"/>
          <w:b w:val="false"/>
          <w:sz w:val="20"/>
          <w:u w:val="single"/>
        </w:rPr>
        <w:t>Letters of Credit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283"/>
        <w:jc w:val="both"/>
        <w:rPr/>
      </w:pPr>
      <w:r>
        <w:rPr>
          <w:rFonts w:ascii="Times New Roman;serif" w:hAnsi="Times New Roman;serif"/>
          <w:b w:val="false"/>
          <w:sz w:val="20"/>
          <w:u w:val="single"/>
        </w:rPr>
        <w:t>General</w:t>
      </w:r>
      <w:r>
        <w:rPr>
          <w:rFonts w:ascii="Times New Roman;serif" w:hAnsi="Times New Roman;serif"/>
          <w:b w:val="false"/>
          <w:sz w:val="20"/>
        </w:rPr>
        <w:t xml:space="preserve">. Subject to the terms and conditions set forth herein (including </w:t>
      </w:r>
      <w:r>
        <w:rPr>
          <w:rFonts w:ascii="Times New Roman;serif" w:hAnsi="Times New Roman;serif"/>
          <w:b w:val="false"/>
          <w:sz w:val="20"/>
          <w:u w:val="single"/>
        </w:rPr>
        <w:t>Section 2.22</w:t>
      </w:r>
      <w:r>
        <w:rPr>
          <w:rFonts w:ascii="Times New Roman;serif" w:hAnsi="Times New Roman;serif"/>
          <w:b w:val="false"/>
          <w:sz w:val="20"/>
        </w:rPr>
        <w:t xml:space="preserve">), each Issuing Bank that is so requested by the Borrower agrees, in reliance upon the agreement of the Revolving Lenders set forth in this </w:t>
      </w:r>
      <w:r>
        <w:rPr>
          <w:rFonts w:ascii="Times New Roman;serif" w:hAnsi="Times New Roman;serif"/>
          <w:b w:val="false"/>
          <w:sz w:val="20"/>
          <w:u w:val="single"/>
        </w:rPr>
        <w:t>Section 2.05</w:t>
      </w:r>
      <w:r>
        <w:rPr>
          <w:rFonts w:ascii="Times New Roman;serif" w:hAnsi="Times New Roman;serif"/>
          <w:b w:val="false"/>
          <w:sz w:val="20"/>
        </w:rPr>
        <w:t xml:space="preserve">, to issue Letters of Credit denominated in dollars or any Alternative Currency for the Borrower’s own account (or for the account of any Subsidiary so long as the Borrower and such other Subsidiary are co-applicants and jointly and severally liable in respect of such Letter of Credit), in a form reasonably acceptable to the Administrative Agent and the applicable Issuing Bank, which shall reflect the standard policies and procedures of such Issuing Bank, at any time and from time to time during the period from the Effective Date until the Letter of Credit Expiration Date. In the event of any inconsistency between the terms and conditions of this Agreement and the terms and conditions of any form of letter of credit application or other agreement submitted by the Borrower to, or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entered into by the Borrower with, any Issuing Bank relating to any Letter of Credit, the terms and conditions of this Agreement shall control. Subject to the terms and conditions hereof, the Borrower’s ability to obtain Letters of Credit shall be fully revolving, and accordingly the Borrower may, during the foregoing period, obtain Letters of Credit to replace Letters of Credit that have expired (without any drawing having been made thereunder that has not been rejected or honored) or that have been drawn upon and reimbursed.</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u w:val="single"/>
        </w:rPr>
        <w:t>Issuance, Amendment, Renewal, Extension; Certain Conditions</w:t>
      </w:r>
      <w:r>
        <w:rPr>
          <w:rFonts w:ascii="Times New Roman;serif" w:hAnsi="Times New Roman;serif"/>
          <w:b w:val="false"/>
          <w:sz w:val="20"/>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five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(d) of this </w:t>
      </w:r>
      <w:r>
        <w:rPr>
          <w:rFonts w:ascii="Times New Roman;serif" w:hAnsi="Times New Roman;serif"/>
          <w:b w:val="false"/>
          <w:sz w:val="20"/>
          <w:u w:val="single"/>
        </w:rPr>
        <w:t>Section 2.05</w:t>
      </w:r>
      <w:r>
        <w:rPr>
          <w:rFonts w:ascii="Times New Roman;serif" w:hAnsi="Times New Roman;serif"/>
          <w:b w:val="false"/>
          <w:sz w:val="20"/>
        </w:rPr>
        <w:t xml:space="preserve">), the currency and amount of such Letter of Credit, the name and address of the beneficiary thereof and such other information as shall be necessary to prepare, amend, renew or extend such Letter of Credit. If requested by the applicable Issuing Bank, the Borrower also shall submit a letter of credit or bank guarantee application on such Issuing Bank’s standard form in connection with any request for a Letter of Credit. A Letter of Credit shall be issued, amended, renewed or extended by an Issuing Bank only if (and upon issuance, amendment, renewal or extension of any Letter of Credit the Borrower shall be deemed to represent and warrant that), after giving effect to such issuance, amendment, renewal or extension, (i) the aggregate Revolving Exposures shall not exceed the aggregate Revolving Commitments, (ii) the aggregate LC Exposure shall not exceed the aggregate Letter of Credit Commitments and (iii) the LC Exposure of such Issuing Bank shall not exceed the Letter of Credit Commitments of such Issuing Bank. No Issuing Bank shall be under any obligation to issue (or amend) any Letter of Credit if (i) any order, judgment or decree of any Governmental Authority or arbitrator shall enjoin or restrain such Issuing Bank from issuing (or amending) the Letter of Credit, or any law applicable to such Issuing Bank any directive (whether or not having the force of law) from any Governmental Authority with jurisdiction over such Issuing Bank shall prohibit the issuance (or amendment)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(ii) except as otherwise agreed by such Issuing Bank, the Letter of Credit is in an initial stated amount less than $100,000 or (iii) any Lender is at that time a Defaulting Lender, if after giving effect to </w:t>
      </w:r>
      <w:r>
        <w:rPr>
          <w:rFonts w:ascii="Times New Roman;serif" w:hAnsi="Times New Roman;serif"/>
          <w:b w:val="false"/>
          <w:sz w:val="20"/>
          <w:u w:val="single"/>
        </w:rPr>
        <w:t>Section 2.22(a)(iv)</w:t>
      </w:r>
      <w:r>
        <w:rPr>
          <w:rFonts w:ascii="Times New Roman;serif" w:hAnsi="Times New Roman;serif"/>
          <w:b w:val="false"/>
          <w:sz w:val="20"/>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amended) or such Letter of Credit and all other LC Exposure as to which such Issuing Bank has Defaulting Lender Fronting Exposure. Notwithstanding the foregoing, no Issuing Bank shall be required to issue a commercial or trade Letter of Credit unless reasonably agreed between such Issuing Bank and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u w:val="single"/>
        </w:rPr>
        <w:t>Notice</w:t>
      </w:r>
      <w:r>
        <w:rPr>
          <w:rFonts w:ascii="Times New Roman;serif" w:hAnsi="Times New Roman;serif"/>
          <w:b w:val="false"/>
          <w:sz w:val="20"/>
        </w:rPr>
        <w:t>. Each Issuing Bank agrees that it shall not permit any issuance, amendment, renewal or extension of a Letter of Credit to occur unless it shall have given to the Administrative Agent any written notice thereof required under paragraph (m) of this Section and each Issuing Bank hereby agrees to give such notice.</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u w:val="single"/>
        </w:rPr>
        <w:t>Expiration Date</w:t>
      </w:r>
      <w:r>
        <w:rPr>
          <w:rFonts w:ascii="Times New Roman;serif" w:hAnsi="Times New Roman;serif"/>
          <w:b w:val="false"/>
          <w:sz w:val="20"/>
        </w:rPr>
        <w:t xml:space="preserve">. Unless cash collateralized or backstopped pursuant to arrangements reasonably acceptable to the applicable Issuing Bank, each Letter of Credit shall expire at or prior to the close of business on the earlier of (i) the date that is one year after the date of the issuance of such Letter of Credit (or, in the case of any renewal or extension thereof, one year after such renewal or extension) and (ii) the Letter of Credit Expiration Date;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such expiry date is not a Business Day, such Letter of Credit shall expire at or prior to close of business on the next succeeding Business Day;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any Letter of Credit may, upon the request of the Borrower, include a provision whereby such Letter of Credit shall be extended automatically for additional consecutive periods of one year or less (but not beyond the Letter of Credit Expiration Date) unless the applicable Issuing Bank notifies the beneficiary thereof within the time period specified in such Letter of Credit or, if no such time period is specified, at least 30 days prior to the then-applicable expiration date, that such Letter of Credit will not be renewed.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pPr>
      <w:r>
        <w:rPr>
          <w:rFonts w:ascii="Times New Roman;serif" w:hAnsi="Times New Roman;serif"/>
          <w:b w:val="false"/>
          <w:sz w:val="20"/>
          <w:u w:val="single"/>
        </w:rPr>
        <w:t>Participations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 xml:space="preserve">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irrevocably and unconditionally acquires from such Issuing Bank without recourse or warranty (regardless of whether the conditions set forth in </w:t>
      </w:r>
      <w:r>
        <w:rPr>
          <w:rFonts w:ascii="Times New Roman;serif" w:hAnsi="Times New Roman;serif"/>
          <w:b w:val="false"/>
          <w:sz w:val="20"/>
          <w:u w:val="single"/>
        </w:rPr>
        <w:t>Section 4.02</w:t>
      </w:r>
      <w:r>
        <w:rPr/>
        <w:t xml:space="preserve"> </w:t>
      </w:r>
      <w:r>
        <w:rPr>
          <w:rFonts w:ascii="Times New Roman;serif" w:hAnsi="Times New Roman;serif"/>
          <w:b w:val="false"/>
          <w:sz w:val="20"/>
        </w:rPr>
        <w:t xml:space="preserve">shall have been satisfied),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Borrower on the date due as provided in paragraph (f) of this </w:t>
      </w:r>
      <w:r>
        <w:rPr>
          <w:rFonts w:ascii="Times New Roman;serif" w:hAnsi="Times New Roman;serif"/>
          <w:b w:val="false"/>
          <w:sz w:val="20"/>
          <w:u w:val="single"/>
        </w:rPr>
        <w:t>Section 2.05</w:t>
      </w:r>
      <w:r>
        <w:rPr>
          <w:rFonts w:ascii="Times New Roman;serif" w:hAnsi="Times New Roman;serif"/>
          <w:b w:val="false"/>
          <w:sz w:val="20"/>
        </w:rPr>
        <w: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pPr>
      <w:r>
        <w:rPr>
          <w:rFonts w:ascii="Times New Roman;serif" w:hAnsi="Times New Roman;serif"/>
          <w:b w:val="false"/>
          <w:sz w:val="20"/>
        </w:rPr>
        <w:t xml:space="preserve">At any time after an Issuing Bank has made a payment under any Letter of Credit and has received from any Revolving Lender such Lender’s Applicable Percentage of the applicable LC Disbursement in respect of such payment in accordance with </w:t>
      </w:r>
      <w:r>
        <w:rPr>
          <w:rFonts w:ascii="Times New Roman;serif" w:hAnsi="Times New Roman;serif"/>
          <w:b w:val="false"/>
          <w:sz w:val="20"/>
          <w:u w:val="single"/>
        </w:rPr>
        <w:t>Section 2.05(e)(i)</w:t>
      </w:r>
      <w:r>
        <w:rPr>
          <w:rFonts w:ascii="Times New Roman;serif" w:hAnsi="Times New Roman;serif"/>
          <w:b w:val="false"/>
          <w:sz w:val="20"/>
        </w:rPr>
        <w:t>, if the Administrative Agent receives for the account of such Issuing Bank any payment in respect of the related unreimbursed amount of the applicable LC Disbursement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pPr>
      <w:r>
        <w:rPr>
          <w:rFonts w:ascii="Times New Roman;serif" w:hAnsi="Times New Roman;serif"/>
          <w:b w:val="false"/>
          <w:sz w:val="20"/>
        </w:rPr>
        <w:t xml:space="preserve">If any payment received by the Administrative Agent for the account of the applicable Issuing Bank pursuant to </w:t>
      </w:r>
      <w:r>
        <w:rPr>
          <w:rFonts w:ascii="Times New Roman;serif" w:hAnsi="Times New Roman;serif"/>
          <w:b w:val="false"/>
          <w:sz w:val="20"/>
          <w:u w:val="single"/>
        </w:rPr>
        <w:t>Section 2.05(e)(i)</w:t>
      </w:r>
      <w:r>
        <w:rPr/>
        <w:t xml:space="preserve"> </w:t>
      </w:r>
      <w:r>
        <w:rPr>
          <w:rFonts w:ascii="Times New Roman;serif" w:hAnsi="Times New Roman;serif"/>
          <w:b w:val="false"/>
          <w:sz w:val="20"/>
        </w:rPr>
        <w:t xml:space="preserve">is required to be returned under any of the circumstances described in </w:t>
      </w:r>
      <w:r>
        <w:rPr>
          <w:rFonts w:ascii="Times New Roman;serif" w:hAnsi="Times New Roman;serif"/>
          <w:b w:val="false"/>
          <w:sz w:val="20"/>
          <w:u w:val="single"/>
        </w:rPr>
        <w:t>Section 9.08</w:t>
      </w:r>
      <w:r>
        <w:rPr/>
        <w:t xml:space="preserve"> </w:t>
      </w:r>
      <w:r>
        <w:rPr>
          <w:rFonts w:ascii="Times New Roman;serif" w:hAnsi="Times New Roman;serif"/>
          <w:b w:val="false"/>
          <w:sz w:val="20"/>
        </w:rPr>
        <w:t>(including pursuant to any settlement entered into by the Issuing Bank in its discretion), each Revolving Lender shall pay to the Administrative Agent for the account of the applicable Issuing Bank its Applicable Percentage thereof on demand of the Administrative Agent, plus interest thereon from the date of such demand to the date such amount is returned by such Lender, at a rate per annum equal to the Federal Funds Effective Rate from time to time in effect. The obligations of the Lenders under this clause shall survive the payment in full of the Obligations and the termination of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283"/>
        <w:jc w:val="both"/>
        <w:rPr/>
      </w:pPr>
      <w:r>
        <w:rPr>
          <w:rFonts w:ascii="Times New Roman;serif" w:hAnsi="Times New Roman;serif"/>
          <w:b w:val="false"/>
          <w:sz w:val="20"/>
          <w:u w:val="single"/>
        </w:rPr>
        <w:t>Reimbursement</w:t>
      </w:r>
      <w:r>
        <w:rPr>
          <w:rFonts w:ascii="Times New Roman;serif" w:hAnsi="Times New Roman;serif"/>
          <w:b w:val="false"/>
          <w:sz w:val="20"/>
        </w:rPr>
        <w:t xml:space="preserve">. If an Issuing Bank shall make any LC Disbursement in respect of a Letter of Credit, the Borrower shall reimburse such LC Disbursement by paying to the Issuing Bank through the Administrative Agent, with notice of such payment given to the Issuing Bank, an amount equal to such LC Disbursement not later than 4:00 p.m., New York City time, on the Business Day immediately following the day that the Borrower receives notice of such LC Disbursement;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such LC Disbursement is not less than $1,000,000, the Borrower may, subject to the conditions to borrowing set forth herein, request in accordance with </w:t>
      </w:r>
      <w:r>
        <w:rPr>
          <w:rFonts w:ascii="Times New Roman;serif" w:hAnsi="Times New Roman;serif"/>
          <w:b w:val="false"/>
          <w:sz w:val="20"/>
          <w:u w:val="single"/>
        </w:rPr>
        <w:t>Section 2.03</w:t>
      </w:r>
      <w:r>
        <w:rPr/>
        <w:t xml:space="preserve"> </w:t>
      </w:r>
      <w:r>
        <w:rPr>
          <w:rFonts w:ascii="Times New Roman;serif" w:hAnsi="Times New Roman;serif"/>
          <w:b w:val="false"/>
          <w:sz w:val="20"/>
        </w:rPr>
        <w:t xml:space="preserve">that such payment be financed with an ABR Revolving Loan Borrowing, in each case in an equivalent amount, and, to the extent so financed, the Borrower’s obligation to make such payment shall be discharged and replaced by the resulting ABR Revolving Loan Borrowing. In the case of a Letter of Credit denominated in an Alternative Currency, the Borrower shall reimburse the Issuing Bank through the Administrative Agent in such Alternative Currency, unless (A) the Issuing Bank (at its option) shall have specified in such notice that it will require reimbursement in dollars, or (B) in the absence of any such requirement for reimbursement in dollars, the Borrower shall have notified the Issuing Bank promptly following receipt of the notice of the LC Disbursement that the Borrower will reimburse the Issuing Bank in dollars. In the case of any such reimbursement in dollars of a LC Disbursement under a Letter of Credit denominated in an Alternative Currency, the Issuing Bank shall notify the Borrower of the Dollar Equivalent of the amount of the LC Disbursement promptly following the determination thereof. In the event that (A) a LC Disbursement denominated in an Alternative Currency is to be reimbursed in dollars pursuant to the second sentence in this </w:t>
      </w:r>
      <w:r>
        <w:rPr>
          <w:rFonts w:ascii="Times New Roman;serif" w:hAnsi="Times New Roman;serif"/>
          <w:b w:val="false"/>
          <w:sz w:val="20"/>
          <w:u w:val="single"/>
        </w:rPr>
        <w:t>Section 2.05(f)</w:t>
      </w:r>
      <w:r>
        <w:rPr/>
        <w:t xml:space="preserve"> </w:t>
      </w:r>
      <w:r>
        <w:rPr>
          <w:rFonts w:ascii="Times New Roman;serif" w:hAnsi="Times New Roman;serif"/>
          <w:b w:val="false"/>
          <w:sz w:val="20"/>
        </w:rPr>
        <w:t xml:space="preserve">and (B) the dollar amount paid by the Borrower, whether on or after the date of the LC Disbursement, shall not be adequate on the date of that payment to purchase in accordance with normal banking procedures a sum denominated in the Alternative Currency equal to the LC Disbursement, the Borrower agrees, as a separate and independent obligation, to indemnify the Issuing Bank for the loss resulting from its inability on that date to purchase the Alternative Currency in the full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amount of the LC Disbursement.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in dollars its Applicable Percentage of the payment then due from the Borrower, and in the same manner as provided in </w:t>
      </w:r>
      <w:r>
        <w:rPr>
          <w:rFonts w:ascii="Times New Roman;serif" w:hAnsi="Times New Roman;serif"/>
          <w:b w:val="false"/>
          <w:sz w:val="20"/>
          <w:u w:val="single"/>
        </w:rPr>
        <w:t>Section 2.06</w:t>
      </w:r>
      <w:r>
        <w:rPr/>
        <w:t xml:space="preserve"> </w:t>
      </w:r>
      <w:r>
        <w:rPr>
          <w:rFonts w:ascii="Times New Roman;serif" w:hAnsi="Times New Roman;serif"/>
          <w:b w:val="false"/>
          <w:sz w:val="20"/>
        </w:rPr>
        <w:t xml:space="preserve">with respect to Loans made by such Lender (and </w:t>
      </w:r>
      <w:r>
        <w:rPr>
          <w:rFonts w:ascii="Times New Roman;serif" w:hAnsi="Times New Roman;serif"/>
          <w:b w:val="false"/>
          <w:sz w:val="20"/>
          <w:u w:val="single"/>
        </w:rPr>
        <w:t>Section 2.06</w:t>
      </w:r>
      <w:r>
        <w:rPr/>
        <w:t xml:space="preserve"> </w:t>
      </w:r>
      <w:r>
        <w:rPr>
          <w:rFonts w:ascii="Times New Roman;serif" w:hAnsi="Times New Roman;serif"/>
          <w:b w:val="false"/>
          <w:sz w:val="20"/>
        </w:rPr>
        <w:t>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or on behalf of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any Issuing Bank for any LC Disbursement (other than the funding of ABR Revolving Loans as contemplated above) shall not constitute a Loan and shall not relieve the Borrower of its obligation to reimburse such LC Disbursement.</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283"/>
        <w:jc w:val="both"/>
        <w:rPr/>
      </w:pPr>
      <w:r>
        <w:rPr>
          <w:rFonts w:ascii="Times New Roman;serif" w:hAnsi="Times New Roman;serif"/>
          <w:b w:val="false"/>
          <w:sz w:val="20"/>
          <w:u w:val="single"/>
        </w:rPr>
        <w:t>Obligations Absolute</w:t>
      </w:r>
      <w:r>
        <w:rPr>
          <w:rFonts w:ascii="Times New Roman;serif" w:hAnsi="Times New Roman;serif"/>
          <w:b w:val="false"/>
          <w:sz w:val="20"/>
        </w:rPr>
        <w:t xml:space="preserve">. The Borrower’s obligation to reimburse LC Disbursements as provided in paragraph (f) of this </w:t>
      </w:r>
      <w:r>
        <w:rPr>
          <w:rFonts w:ascii="Times New Roman;serif" w:hAnsi="Times New Roman;serif"/>
          <w:b w:val="false"/>
          <w:sz w:val="20"/>
          <w:u w:val="single"/>
        </w:rPr>
        <w:t>Section 2.05</w:t>
      </w:r>
      <w:r>
        <w:rPr/>
        <w:t xml:space="preserve"> </w:t>
      </w:r>
      <w:r>
        <w:rPr>
          <w:rFonts w:ascii="Times New Roman;serif" w:hAnsi="Times New Roman;serif"/>
          <w:b w:val="false"/>
          <w:sz w:val="20"/>
        </w:rPr>
        <w:t xml:space="preserve">and the obligations of the Revolving Lenders as provided in paragraph (e) of this </w:t>
      </w:r>
      <w:r>
        <w:rPr>
          <w:rFonts w:ascii="Times New Roman;serif" w:hAnsi="Times New Roman;serif"/>
          <w:b w:val="false"/>
          <w:sz w:val="20"/>
          <w:u w:val="single"/>
        </w:rPr>
        <w:t>Section 2.05</w:t>
      </w:r>
      <w:r>
        <w:rPr/>
        <w:t xml:space="preserve"> </w:t>
      </w:r>
      <w:r>
        <w:rPr>
          <w:rFonts w:ascii="Times New Roman;serif" w:hAnsi="Times New Roman;serif"/>
          <w:b w:val="false"/>
          <w:sz w:val="20"/>
        </w:rPr>
        <w:t xml:space="preserve">is absolute, unconditional and irrevocable, and shall be performed strictly in accordance with the terms of this Agreement under any and all circumstances whatsoever and irrespective of (i) any lack of validity or enforceability of any Letter of Credit or this Agreement or any of the other Loan Documents,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the occurrence of any Default or Event of Default, (v) the existence of any claim, counterclaim, setoff, defense or other right that the Borrower may have at any time against any beneficiary, the Issuing Bank or any other person, (vi) any waiver by an Issuing Bank of any requirement that exists for such Issuing Bank’s protection and not the protection of the Borrower or any waiver by an Issuing Bank which does not in fact materially prejudice the Borrower, (vii) any payment made by an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or (viii) any other event or circumstance whatsoever, whether or not similar to any of the foregoing, that might, but for the provisions of this </w:t>
      </w:r>
      <w:r>
        <w:rPr>
          <w:rFonts w:ascii="Times New Roman;serif" w:hAnsi="Times New Roman;serif"/>
          <w:b w:val="false"/>
          <w:sz w:val="20"/>
          <w:u w:val="single"/>
        </w:rPr>
        <w:t>Section 2.05</w:t>
      </w:r>
      <w:r>
        <w:rPr>
          <w:rFonts w:ascii="Times New Roman;serif" w:hAnsi="Times New Roman;serif"/>
          <w:b w:val="false"/>
          <w:sz w:val="20"/>
        </w:rPr>
        <w:t xml:space="preserve">,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foregoing shall not be construed to excuse any Issuing Bank from liability to the Borrower to the extent of any direct damages (as opposed to consequential, exemplary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pPr>
      <w:r>
        <w:rPr>
          <w:rFonts w:ascii="Times New Roman;serif" w:hAnsi="Times New Roman;serif"/>
          <w:b w:val="false"/>
          <w:sz w:val="20"/>
          <w:u w:val="single"/>
        </w:rPr>
        <w:t>Disbursement Procedures</w:t>
      </w:r>
      <w:r>
        <w:rPr>
          <w:rFonts w:ascii="Times New Roman;serif" w:hAnsi="Times New Roman;serif"/>
          <w:b w:val="false"/>
          <w:sz w:val="20"/>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hand delivery, facsimile or electronic communication) (if arrangements for doing so have been approved by the applicable Issuing Bank) of such demand for payment and whether such Issuing Bank has made an LC Disbursement thereunder;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failure to give or delay in giving such notice shall not relieve the Borrower of its obligation to reimburse such Issuing Bank and the Revolving Lenders with respect to any such LC Disbursement in accordance with paragraph (f) of this Section.</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u w:val="single"/>
        </w:rPr>
        <w:t>Interim Interest</w:t>
      </w:r>
      <w:r>
        <w:rPr>
          <w:rFonts w:ascii="Times New Roman;serif" w:hAnsi="Times New Roman;serif"/>
          <w:b w:val="false"/>
          <w:sz w:val="20"/>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(x) in the case of an LC Disbursement denominated in dollars, ABR Revolving Loans and (y) in the case of an LC Disbursement that is not denominated in dollars,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Revolving Loans;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the Borrower fails to reimburse such LC Disbursement when due pursuant to paragraph (f) of this </w:t>
      </w:r>
      <w:r>
        <w:rPr>
          <w:rFonts w:ascii="Times New Roman;serif" w:hAnsi="Times New Roman;serif"/>
          <w:b w:val="false"/>
          <w:sz w:val="20"/>
          <w:u w:val="single"/>
        </w:rPr>
        <w:t>Section 2.05</w:t>
      </w:r>
      <w:r>
        <w:rPr>
          <w:rFonts w:ascii="Times New Roman;serif" w:hAnsi="Times New Roman;serif"/>
          <w:b w:val="false"/>
          <w:sz w:val="20"/>
        </w:rPr>
        <w:t xml:space="preserve">, then </w:t>
      </w:r>
      <w:r>
        <w:rPr>
          <w:rFonts w:ascii="Times New Roman;serif" w:hAnsi="Times New Roman;serif"/>
          <w:b w:val="false"/>
          <w:sz w:val="20"/>
          <w:u w:val="single"/>
        </w:rPr>
        <w:t>Section 2.13(c)</w:t>
      </w:r>
      <w:r>
        <w:rPr/>
        <w:t xml:space="preserve"> </w:t>
      </w:r>
      <w:r>
        <w:rPr>
          <w:rFonts w:ascii="Times New Roman;serif" w:hAnsi="Times New Roman;serif"/>
          <w:b w:val="false"/>
          <w:sz w:val="20"/>
        </w:rPr>
        <w:t xml:space="preserve">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Times New Roman;serif" w:hAnsi="Times New Roman;serif"/>
          <w:b w:val="false"/>
          <w:sz w:val="20"/>
          <w:u w:val="single"/>
        </w:rPr>
        <w:t>Section 2.05</w:t>
      </w:r>
      <w:r>
        <w:rPr/>
        <w:t xml:space="preserve"> </w:t>
      </w:r>
      <w:r>
        <w:rPr>
          <w:rFonts w:ascii="Times New Roman;serif" w:hAnsi="Times New Roman;serif"/>
          <w:b w:val="false"/>
          <w:sz w:val="20"/>
        </w:rPr>
        <w:t>to reimburse such Issuing Bank shall be for the account of such Lender to the extent of such payment and shall be payable within two Business Days of demand or, if no demand has been made, within two Business Days of the date on which the Borrower reimburses the applicable LC Disbursement in full. If any Revolving Lender shall not have made its Applicable Percentage of such LC Disbursement available to the Administrative Agent as provided in clause (f) above, such Revolving Lender shall agree to pay interest on such amount, for each day from and including the date such amount is required to be paid at a rate determined by the Administrative Agent in accordance with banking industry rules or practices on interbank compensation.</w:t>
      </w:r>
    </w:p>
    <w:p>
      <w:pPr>
        <w:pStyle w:val="TextBody"/>
        <w:bidi w:val="0"/>
        <w:spacing w:before="200" w:after="0"/>
        <w:jc w:val="both"/>
        <w:rPr>
          <w:rFonts w:ascii="Times New Roman" w:hAnsi="Times New Roman"/>
          <w:b w:val="false"/>
          <w:sz w:val="20"/>
        </w:rPr>
      </w:pPr>
      <w:r>
        <w:rPr>
          <w:rFonts w:ascii="Times New Roman" w:hAnsi="Times New Roman"/>
          <w:b w:val="false"/>
          <w:sz w:val="20"/>
        </w:rPr>
        <w:t>(j)</w:t>
      </w:r>
    </w:p>
    <w:p>
      <w:pPr>
        <w:pStyle w:val="TextBody"/>
        <w:bidi w:val="0"/>
        <w:spacing w:before="200" w:after="283"/>
        <w:jc w:val="both"/>
        <w:rPr/>
      </w:pPr>
      <w:r>
        <w:rPr>
          <w:rFonts w:ascii="Times New Roman;serif" w:hAnsi="Times New Roman;serif"/>
          <w:b w:val="false"/>
          <w:sz w:val="20"/>
          <w:u w:val="single"/>
        </w:rPr>
        <w:t>Cash Collateralization</w:t>
      </w:r>
      <w:r>
        <w:rPr>
          <w:rFonts w:ascii="Times New Roman;serif" w:hAnsi="Times New Roman;serif"/>
          <w:b w:val="false"/>
          <w:sz w:val="20"/>
        </w:rPr>
        <w:t xml:space="preserve">. If any Event of Default under </w:t>
      </w:r>
      <w:r>
        <w:rPr>
          <w:rFonts w:ascii="Times New Roman;serif" w:hAnsi="Times New Roman;serif"/>
          <w:b w:val="false"/>
          <w:sz w:val="20"/>
          <w:u w:val="single"/>
        </w:rPr>
        <w:t>clause (a)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7.01</w:t>
      </w:r>
      <w:r>
        <w:rPr/>
        <w:t xml:space="preserve"> </w:t>
      </w:r>
      <w:r>
        <w:rPr>
          <w:rFonts w:ascii="Times New Roman;serif" w:hAnsi="Times New Roman;serif"/>
          <w:b w:val="false"/>
          <w:sz w:val="20"/>
        </w:rPr>
        <w:t xml:space="preserve">shall occur and be continuing, on the Business Day on which the Borrower receives notice from the Administrative Agent or the Required Lenders (or, if the maturity of the Loans has been accelerated, Revolving Lenders with LC Exposure representing more than 50.0% of the aggregate LC Exposure of all Revolving Lenders) demanding the deposit of Cash Collateral pursuant to this paragraph, the Borrower shall deposit in an account with the Administrative Agent, in the name of the Administrative Agent and for the benefit of the Issuing Banks and the Revolving Lenders, an amount of cash in dollars equal to the Dollar Equivalent of the portions of the LC Exposure attributable to Letters of Credit, as of such date plus any accrued and unpaid interest thereon;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serif" w:hAnsi="Times New Roman;serif"/>
          <w:b w:val="false"/>
          <w:sz w:val="20"/>
          <w:u w:val="single"/>
        </w:rPr>
        <w:t>clause (h)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7.01</w:t>
      </w:r>
      <w:r>
        <w:rPr>
          <w:rFonts w:ascii="Times New Roman;serif" w:hAnsi="Times New Roman;serif"/>
          <w:b w:val="false"/>
          <w:sz w:val="20"/>
        </w:rPr>
        <w:t xml:space="preserve">. The Borrower also shall deposit Cash Collateral pursuant to this paragraph as and to the extent required by </w:t>
      </w:r>
      <w:r>
        <w:rPr>
          <w:rFonts w:ascii="Times New Roman;serif" w:hAnsi="Times New Roman;serif"/>
          <w:b w:val="false"/>
          <w:sz w:val="20"/>
          <w:u w:val="single"/>
        </w:rPr>
        <w:t>Section 2.11(b)</w:t>
      </w:r>
      <w:r>
        <w:rPr>
          <w:rFonts w:ascii="Times New Roman;serif" w:hAnsi="Times New Roman;serif"/>
          <w:b w:val="false"/>
          <w:sz w:val="20"/>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Times New Roman;serif" w:hAnsi="Times New Roman;serif"/>
          <w:b w:val="false"/>
          <w:sz w:val="20"/>
          <w:u w:val="single"/>
        </w:rPr>
        <w:t>Section 2.22(a)(iv)</w:t>
      </w:r>
      <w:r>
        <w:rPr>
          <w:rFonts w:ascii="Times New Roman;serif" w:hAnsi="Times New Roman;serif"/>
          <w:b w:val="false"/>
          <w:sz w:val="20"/>
        </w:rPr>
        <w:t xml:space="preserve">),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Permitted Investments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applicable. If the Borrower is required to provide an amount of Cash Collateral hereunder pursuant to </w:t>
      </w:r>
      <w:r>
        <w:rPr>
          <w:rFonts w:ascii="Times New Roman;serif" w:hAnsi="Times New Roman;serif"/>
          <w:b w:val="false"/>
          <w:sz w:val="20"/>
          <w:u w:val="single"/>
        </w:rPr>
        <w:t>Section 2.11(b)</w:t>
      </w:r>
      <w:r>
        <w:rPr>
          <w:rFonts w:ascii="Times New Roman;serif" w:hAnsi="Times New Roman;serif"/>
          <w:b w:val="false"/>
          <w:sz w:val="20"/>
        </w:rPr>
        <w:t xml:space="preserve">, such amount (to the extent not applied as aforesaid) shall be returned to the Borrower as and to the extent that, after giving effect to such return, the Borrower would remain in compliance with </w:t>
      </w:r>
      <w:r>
        <w:rPr>
          <w:rFonts w:ascii="Times New Roman;serif" w:hAnsi="Times New Roman;serif"/>
          <w:b w:val="false"/>
          <w:sz w:val="20"/>
          <w:u w:val="single"/>
        </w:rPr>
        <w:t>Section 2.11(b)</w:t>
      </w:r>
      <w:r>
        <w:rPr/>
        <w:t xml:space="preserve"> </w:t>
      </w:r>
      <w:r>
        <w:rPr>
          <w:rFonts w:ascii="Times New Roman;serif" w:hAnsi="Times New Roman;serif"/>
          <w:b w:val="false"/>
          <w:sz w:val="20"/>
        </w:rPr>
        <w:t>and no Event of Default shall have occurred and be continuing.</w:t>
      </w:r>
    </w:p>
    <w:p>
      <w:pPr>
        <w:pStyle w:val="TextBody"/>
        <w:bidi w:val="0"/>
        <w:spacing w:before="200" w:after="0"/>
        <w:jc w:val="both"/>
        <w:rPr>
          <w:rFonts w:ascii="Times New Roman" w:hAnsi="Times New Roman"/>
          <w:b w:val="false"/>
          <w:sz w:val="20"/>
        </w:rPr>
      </w:pPr>
      <w:r>
        <w:rPr>
          <w:rFonts w:ascii="Times New Roman" w:hAnsi="Times New Roman"/>
          <w:b w:val="false"/>
          <w:sz w:val="20"/>
        </w:rPr>
        <w:t>(k)</w:t>
      </w:r>
    </w:p>
    <w:p>
      <w:pPr>
        <w:pStyle w:val="TextBody"/>
        <w:bidi w:val="0"/>
        <w:spacing w:before="200" w:after="0"/>
        <w:jc w:val="both"/>
        <w:rPr/>
      </w:pPr>
      <w:r>
        <w:rPr>
          <w:rFonts w:ascii="Times New Roman;serif" w:hAnsi="Times New Roman;serif"/>
          <w:b w:val="false"/>
          <w:sz w:val="20"/>
          <w:u w:val="single"/>
        </w:rPr>
        <w:t>Designation of Additional Issuing Banks</w:t>
      </w:r>
      <w:r>
        <w:rPr>
          <w:rFonts w:ascii="Times New Roman;serif" w:hAnsi="Times New Roman;serif"/>
          <w:b w:val="false"/>
          <w:sz w:val="20"/>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pStyle w:val="TextBody"/>
        <w:bidi w:val="0"/>
        <w:spacing w:before="200" w:after="0"/>
        <w:jc w:val="both"/>
        <w:rPr>
          <w:rFonts w:ascii="Times New Roman" w:hAnsi="Times New Roman"/>
          <w:b w:val="false"/>
          <w:sz w:val="20"/>
        </w:rPr>
      </w:pPr>
      <w:r>
        <w:rPr>
          <w:rFonts w:ascii="Times New Roman" w:hAnsi="Times New Roman"/>
          <w:b w:val="false"/>
          <w:sz w:val="20"/>
        </w:rPr>
        <w:t>(l)</w:t>
      </w:r>
    </w:p>
    <w:p>
      <w:pPr>
        <w:pStyle w:val="TextBody"/>
        <w:bidi w:val="0"/>
        <w:spacing w:before="200" w:after="0"/>
        <w:jc w:val="both"/>
        <w:rPr/>
      </w:pPr>
      <w:r>
        <w:rPr>
          <w:rFonts w:ascii="Times New Roman;serif" w:hAnsi="Times New Roman;serif"/>
          <w:b w:val="false"/>
          <w:sz w:val="20"/>
          <w:u w:val="single"/>
        </w:rPr>
        <w:t>Termination / Resignation of an Issuing Bank</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 xml:space="preserve">The Borrower may terminate the appointment of any Issuing Bank as an “Issuing Bank” hereunder by providing a written notice thereof to such Issuing Bank, with a copy to the Administrative Agent. Any such termination shall become effective upon the earlier of (x) such Issuing Bank’s acknowledging receipt of such notice and (y) the fifth Business Day following the date of the delivery thereof;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w:t>
      </w:r>
      <w:r>
        <w:rPr>
          <w:rFonts w:ascii="Times New Roman;serif" w:hAnsi="Times New Roman;serif"/>
          <w:b w:val="false"/>
          <w:sz w:val="20"/>
          <w:u w:val="single"/>
        </w:rPr>
        <w:t>Section 2.12(a)</w:t>
      </w:r>
      <w:r>
        <w:rPr>
          <w:rFonts w:ascii="Times New Roman;serif" w:hAnsi="Times New Roman;serif"/>
          <w:b w:val="false"/>
          <w:sz w:val="20"/>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Subject to the appointment and acceptance of a successor Issuing Bank, any Issuing Bank may resign as an Issuing Bank at any time upon 30 days’ prior written notice to the Administrative Agent, the Borrower and the Lenders. In the event of any such resignation as an Issuing Bank, the Borrower shall be entitled to appoint from among the Lenders a successor Issuing Bank hereunder. Notwithstanding the effectiveness of any such resignation, any former Issuing Bank shall remain a party hereto and shall continue to have all the rights of an Issuing Bank under this Agreement with respect to Letters of Credit issued by it prior to such termination, but shall not issue any additional Letters of Credit. Upon the appointment of a successor Issuing Bank, (x) such successor shall succeed to and become vested with all of the rights, powers, privileges and duties of the retiring Issuing Bank as the case may be, and (y) the successor Issuing Bank shall issue letters of credit in substitution for the Letters of Credit, if any, outstanding on behalf such resigning Issuing Bank at the time of such succession or make other arrangements satisfactory to the applicable Issuing Bank to effectively assume the obligations of such Issuing Bank with respect to such Letters of Credit.</w:t>
      </w:r>
    </w:p>
    <w:p>
      <w:pPr>
        <w:pStyle w:val="TextBody"/>
        <w:bidi w:val="0"/>
        <w:spacing w:before="200" w:after="0"/>
        <w:jc w:val="both"/>
        <w:rPr>
          <w:rFonts w:ascii="Times New Roman" w:hAnsi="Times New Roman"/>
          <w:b w:val="false"/>
          <w:sz w:val="20"/>
        </w:rPr>
      </w:pPr>
      <w:r>
        <w:rPr>
          <w:rFonts w:ascii="Times New Roman" w:hAnsi="Times New Roman"/>
          <w:b w:val="false"/>
          <w:sz w:val="20"/>
        </w:rPr>
        <w:t>(m)</w:t>
      </w:r>
    </w:p>
    <w:p>
      <w:pPr>
        <w:pStyle w:val="TextBody"/>
        <w:bidi w:val="0"/>
        <w:spacing w:before="200" w:after="283"/>
        <w:jc w:val="both"/>
        <w:rPr/>
      </w:pPr>
      <w:r>
        <w:rPr>
          <w:rFonts w:ascii="Times New Roman;serif" w:hAnsi="Times New Roman;serif"/>
          <w:b w:val="false"/>
          <w:sz w:val="20"/>
          <w:u w:val="single"/>
        </w:rPr>
        <w:t>Issuing Bank Reports to the Administrative Agent</w:t>
      </w:r>
      <w:r>
        <w:rPr>
          <w:rFonts w:ascii="Times New Roman;serif" w:hAnsi="Times New Roman;serif"/>
          <w:b w:val="false"/>
          <w:sz w:val="20"/>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(n)</w:t>
      </w:r>
    </w:p>
    <w:p>
      <w:pPr>
        <w:pStyle w:val="TextBody"/>
        <w:bidi w:val="0"/>
        <w:spacing w:before="200" w:after="0"/>
        <w:jc w:val="both"/>
        <w:rPr/>
      </w:pPr>
      <w:r>
        <w:rPr>
          <w:rFonts w:ascii="Times New Roman;serif" w:hAnsi="Times New Roman;serif"/>
          <w:b w:val="false"/>
          <w:sz w:val="20"/>
          <w:u w:val="single"/>
        </w:rPr>
        <w:t>Applicability of ISP and UCP</w:t>
      </w:r>
      <w:r>
        <w:rPr>
          <w:rFonts w:ascii="Times New Roman;serif" w:hAnsi="Times New Roman;serif"/>
          <w:b w:val="false"/>
          <w:sz w:val="20"/>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the Law or any order of a jurisdiction where such Issuing Bank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200" w:after="0"/>
        <w:jc w:val="both"/>
        <w:rPr>
          <w:rFonts w:ascii="Times New Roman" w:hAnsi="Times New Roman"/>
          <w:b w:val="false"/>
          <w:sz w:val="20"/>
        </w:rPr>
      </w:pPr>
      <w:r>
        <w:rPr>
          <w:rFonts w:ascii="Times New Roman" w:hAnsi="Times New Roman"/>
          <w:b w:val="false"/>
          <w:sz w:val="20"/>
        </w:rPr>
        <w:t>(o)</w:t>
      </w:r>
    </w:p>
    <w:p>
      <w:pPr>
        <w:pStyle w:val="TextBody"/>
        <w:bidi w:val="0"/>
        <w:spacing w:before="200" w:after="283"/>
        <w:jc w:val="both"/>
        <w:rPr/>
      </w:pPr>
      <w:r>
        <w:rPr>
          <w:rFonts w:ascii="Times New Roman;serif" w:hAnsi="Times New Roman;serif"/>
          <w:b w:val="false"/>
          <w:sz w:val="20"/>
          <w:u w:val="single"/>
        </w:rPr>
        <w:t>Letters of Credit Issued for Subsidiaries</w:t>
      </w:r>
      <w:r>
        <w:rPr>
          <w:rFonts w:ascii="Times New Roman;serif" w:hAnsi="Times New Roman;serif"/>
          <w:b w:val="false"/>
          <w:sz w:val="20"/>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2.06 </w:t>
      </w:r>
      <w:r>
        <w:rPr>
          <w:rFonts w:ascii="Times New Roman;serif" w:hAnsi="Times New Roman;serif"/>
          <w:b w:val="false"/>
          <w:sz w:val="20"/>
          <w:u w:val="single"/>
        </w:rPr>
        <w:t>Funding of Borrowings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Each Lender shall make each Loan to be made by it hereunder on the proposed date thereof by wire transfer of immediately available funds in dollars by 2:00 p.m., New York City time, to the Applicable Account of the Administrative Agent most-recently designated by it for such purpose by notice to the Lenders. The Administrative Agent will make such Loans available to the Borrower by promptly crediting the amounts so received, in like funds, to an account of the Borrower designated by the Borrower in the applicable Borrowing Request;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ABR Revolving Loans made to finance the reimbursement of an LC Disbursement as provided in </w:t>
      </w:r>
      <w:r>
        <w:rPr>
          <w:rFonts w:ascii="Times New Roman;serif" w:hAnsi="Times New Roman;serif"/>
          <w:b w:val="false"/>
          <w:sz w:val="20"/>
          <w:u w:val="single"/>
        </w:rPr>
        <w:t>Section 2.05(f)</w:t>
      </w:r>
      <w:r>
        <w:rPr/>
        <w:t xml:space="preserve"> </w:t>
      </w:r>
      <w:r>
        <w:rPr>
          <w:rFonts w:ascii="Times New Roman;serif" w:hAnsi="Times New Roman;serif"/>
          <w:b w:val="false"/>
          <w:sz w:val="20"/>
        </w:rPr>
        <w:t xml:space="preserve">shall be remitted by the Administrative Agent to the applicable Issuing Bank or, to the extent that Revolving Lenders have made payments pursuant to </w:t>
      </w:r>
      <w:r>
        <w:rPr>
          <w:rFonts w:ascii="Times New Roman;serif" w:hAnsi="Times New Roman;serif"/>
          <w:b w:val="false"/>
          <w:sz w:val="20"/>
          <w:u w:val="single"/>
        </w:rPr>
        <w:t>Section 2.05(f)</w:t>
      </w:r>
      <w:r>
        <w:rPr/>
        <w:t xml:space="preserve"> </w:t>
      </w:r>
      <w:r>
        <w:rPr>
          <w:rFonts w:ascii="Times New Roman;serif" w:hAnsi="Times New Roman;serif"/>
          <w:b w:val="false"/>
          <w:sz w:val="20"/>
        </w:rPr>
        <w:t>to reimburse such Issuing Bank, then to such Lenders and such Issuing Bank as their interests may appear.</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the rate reasonably determined by the Administrative Agent to be its cost of funding such amount, or (ii) in the case of the Borrower, the interest rate applicable to such Borrowing in accordance with </w:t>
      </w:r>
      <w:r>
        <w:rPr>
          <w:rFonts w:ascii="Times New Roman;serif" w:hAnsi="Times New Roman;serif"/>
          <w:b w:val="false"/>
          <w:sz w:val="20"/>
          <w:u w:val="single"/>
        </w:rPr>
        <w:t>Section 2.13</w:t>
      </w:r>
      <w:r>
        <w:rPr>
          <w:rFonts w:ascii="Times New Roman;serif" w:hAnsi="Times New Roman;serif"/>
          <w:b w:val="false"/>
          <w:sz w:val="20"/>
        </w:rPr>
        <w:t>. If such Lender pays such amount to the Administrative Agent, then such amount shall constitute such Lender’s Loan included in such Borrowing.</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283"/>
        <w:jc w:val="both"/>
        <w:rPr/>
      </w:pPr>
      <w:r>
        <w:rPr>
          <w:rFonts w:ascii="Times New Roman;serif" w:hAnsi="Times New Roman;serif"/>
          <w:b w:val="false"/>
          <w:sz w:val="20"/>
        </w:rPr>
        <w:t xml:space="preserve">Obligations of the Lenders hereunder to make Term Loans and Revolving Loans, to fund participations in Letters of Credit and to make payments pursuant to </w:t>
      </w:r>
      <w:r>
        <w:rPr>
          <w:rFonts w:ascii="Times New Roman;serif" w:hAnsi="Times New Roman;serif"/>
          <w:b w:val="false"/>
          <w:sz w:val="20"/>
          <w:u w:val="single"/>
        </w:rPr>
        <w:t>Section 9.03(c)</w:t>
      </w:r>
      <w:r>
        <w:rPr/>
        <w:t xml:space="preserve"> </w:t>
      </w:r>
      <w:r>
        <w:rPr>
          <w:rFonts w:ascii="Times New Roman;serif" w:hAnsi="Times New Roman;serif"/>
          <w:b w:val="false"/>
          <w:sz w:val="20"/>
        </w:rPr>
        <w:t xml:space="preserve">are several and not joint. The failure of any Lender to make any Loan, to fund any such participation or to make any payment under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9.03(c)</w:t>
      </w:r>
      <w:r>
        <w:rPr/>
        <w:t xml:space="preserve"> </w:t>
      </w:r>
      <w:r>
        <w:rPr>
          <w:rFonts w:ascii="Times New Roman;serif" w:hAnsi="Times New Roman;serif"/>
          <w:b w:val="false"/>
          <w:sz w:val="20"/>
        </w:rPr>
        <w:t xml:space="preserve">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Times New Roman;serif" w:hAnsi="Times New Roman;serif"/>
          <w:b w:val="false"/>
          <w:sz w:val="20"/>
          <w:u w:val="single"/>
        </w:rPr>
        <w:t>Section 9.03(c)</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2.07 </w:t>
      </w:r>
      <w:r>
        <w:rPr>
          <w:rFonts w:ascii="Times New Roman;serif" w:hAnsi="Times New Roman;serif"/>
          <w:b w:val="false"/>
          <w:sz w:val="20"/>
          <w:u w:val="single"/>
        </w:rPr>
        <w:t>Interest Elections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Each Revolving Loan Borrowing and Term Loan Borrowing initially shall be of the Type specified in the applicable Borrowing Request or designated by </w:t>
      </w:r>
      <w:r>
        <w:rPr>
          <w:rFonts w:ascii="Times New Roman;serif" w:hAnsi="Times New Roman;serif"/>
          <w:b w:val="false"/>
          <w:sz w:val="20"/>
          <w:u w:val="single"/>
        </w:rPr>
        <w:t>Section 2.03</w:t>
      </w:r>
      <w:r>
        <w:rPr/>
        <w:t xml:space="preserve"> </w:t>
      </w:r>
      <w:r>
        <w:rPr>
          <w:rFonts w:ascii="Times New Roman;serif" w:hAnsi="Times New Roman;serif"/>
          <w:b w:val="false"/>
          <w:sz w:val="20"/>
        </w:rPr>
        <w:t xml:space="preserve">and, in the case of a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 shall have an initial Interest Period as specified in such Borrowing Request or designated by </w:t>
      </w:r>
      <w:r>
        <w:rPr>
          <w:rFonts w:ascii="Times New Roman;serif" w:hAnsi="Times New Roman;serif"/>
          <w:b w:val="false"/>
          <w:sz w:val="20"/>
          <w:u w:val="single"/>
        </w:rPr>
        <w:t>Section 2.03</w:t>
      </w:r>
      <w:r>
        <w:rPr>
          <w:rFonts w:ascii="Times New Roman;serif" w:hAnsi="Times New Roman;serif"/>
          <w:b w:val="false"/>
          <w:sz w:val="20"/>
        </w:rPr>
        <w:t>. Thereafter, the Borrower may elect to convert such Borrowing to a different Type or to continue such Borrowing and, in the case of a</w:t>
      </w:r>
      <w:r>
        <w:rPr/>
        <w:t xml:space="preserv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 xml:space="preserve">To make an election pursuant to this Section, the Borrower shall notify the Administrative Agent of such election by telephone (or, at the option of Borrower, in writing) by the time that a Borrowing Request would be required under </w:t>
      </w:r>
      <w:r>
        <w:rPr>
          <w:rFonts w:ascii="Times New Roman;serif" w:hAnsi="Times New Roman;serif"/>
          <w:b w:val="false"/>
          <w:sz w:val="20"/>
          <w:u w:val="single"/>
        </w:rPr>
        <w:t>Section 2.03</w:t>
      </w:r>
      <w:r>
        <w:rPr/>
        <w:t xml:space="preserve"> </w:t>
      </w:r>
      <w:r>
        <w:rPr>
          <w:rFonts w:ascii="Times New Roman;serif" w:hAnsi="Times New Roman;serif"/>
          <w:b w:val="false"/>
          <w:sz w:val="20"/>
        </w:rPr>
        <w:t>if the Borrower were requesting a Borrowing of the Type resulting from such election to be made on the effective date of such election. Each such request may be given by (1) telephone or (2) an Interest Election Request.</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such request shall be irrevocable and each telephonic request shall be confirmed promptly by hand delivery, facsimile or other electronic transmission to the Administrative Agent of a written Interest Election Request signed by a Responsible Officer of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Each telephonic request and written Interest Election Request shall specify the following information in compliance with </w:t>
      </w:r>
      <w:r>
        <w:rPr>
          <w:rFonts w:ascii="Times New Roman;serif" w:hAnsi="Times New Roman;serif"/>
          <w:b w:val="false"/>
          <w:sz w:val="20"/>
          <w:u w:val="single"/>
        </w:rPr>
        <w:t>Section 2.03</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effective date of the election made pursuant to such Interest Election Request, which shall be a Business Day;</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pPr>
      <w:r>
        <w:rPr>
          <w:rFonts w:ascii="Times New Roman;serif" w:hAnsi="Times New Roman;serif"/>
          <w:b w:val="false"/>
          <w:sz w:val="20"/>
        </w:rPr>
        <w:t>whether the resulting Borrowing is to be an ABR Borrowing or a</w:t>
      </w:r>
      <w:r>
        <w:rPr/>
        <w:t xml:space="preserv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Borrowing; and</w:t>
      </w:r>
    </w:p>
    <w:p>
      <w:pPr>
        <w:pStyle w:val="TextBody"/>
        <w:bidi w:val="0"/>
        <w:spacing w:before="200" w:after="0"/>
        <w:jc w:val="both"/>
        <w:rPr>
          <w:rFonts w:ascii="Times New Roman" w:hAnsi="Times New Roman"/>
          <w:b w:val="false"/>
          <w:sz w:val="20"/>
        </w:rPr>
      </w:pPr>
      <w:r>
        <w:rPr>
          <w:rFonts w:ascii="Times New Roman" w:hAnsi="Times New Roman"/>
          <w:b w:val="false"/>
          <w:sz w:val="20"/>
        </w:rPr>
        <w:t>(iv)</w:t>
      </w:r>
    </w:p>
    <w:p>
      <w:pPr>
        <w:pStyle w:val="TextBody"/>
        <w:bidi w:val="0"/>
        <w:spacing w:before="200" w:after="283"/>
        <w:jc w:val="both"/>
        <w:rPr/>
      </w:pPr>
      <w:r>
        <w:rPr>
          <w:rFonts w:ascii="Times New Roman;serif" w:hAnsi="Times New Roman;serif"/>
          <w:b w:val="false"/>
          <w:sz w:val="20"/>
        </w:rPr>
        <w:t>if the resulting Borrowing is to be a</w:t>
      </w:r>
      <w:r>
        <w:rPr/>
        <w:t xml:space="preserv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Borrowing, the Interest Period to be applicable thereto after giving effect to such election, which shall be a period contemplated by the definition of the term “Interest Period.”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If any such Interest Election Request requests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Borrowing but does not specify an Interest Period, then the Borrower shall be deemed to have selected an Interest Period of one month’s duration.</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Promptly following receipt of an Interest Election Request in accordance with this Section, the Administrative Agent shall advise each Lender of the applicable Class of the details thereof and of such Lender’s portion of each resulting Borrowing.</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283"/>
        <w:jc w:val="both"/>
        <w:rPr/>
      </w:pPr>
      <w:r>
        <w:rPr>
          <w:rFonts w:ascii="Times New Roman;serif" w:hAnsi="Times New Roman;serif"/>
          <w:b w:val="false"/>
          <w:sz w:val="20"/>
        </w:rPr>
        <w:t xml:space="preserve">If the Borrower fails to deliver a timely Interest Election Request with respect to a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Borrowing prior to the end of the Interest Period applicable thereto, then, unless such Borrowing is repaid as provided herein, at the end of such Interest Period, the Borrower shall be deemed to have selected an Interest Period of one month’s duration.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2.08 </w:t>
      </w:r>
      <w:r>
        <w:rPr>
          <w:rFonts w:ascii="Times New Roman;serif" w:hAnsi="Times New Roman;serif"/>
          <w:b w:val="false"/>
          <w:sz w:val="20"/>
          <w:u w:val="single"/>
        </w:rPr>
        <w:t>Termination and Reduction of Commitments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Unless previously terminated, (i) the Initial Term Commitments shall terminate at 11:59 p.m., New York City time, on the Effective Date and (ii) the Additional Term B-1 Commitments shall terminate at 11:59 p.m., New York City time, on the Amendment No. 1 Effective Date. The Revolving Commitments shall terminate at 11:59 p.m., New York City time, on the Revolving Maturity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 xml:space="preserve">The Borrower may at any time terminate, or from time to time reduce, the Commitments of any Class;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in accordance with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2.11</w:t>
      </w:r>
      <w:r>
        <w:rPr>
          <w:rFonts w:ascii="Times New Roman;serif" w:hAnsi="Times New Roman;serif"/>
          <w:b w:val="false"/>
          <w:sz w:val="20"/>
        </w:rPr>
        <w:t>, the aggregate Revolving Exposures would exceed the aggregate Revolving Commitments. The Borrower may terminate the Commitments of any Defaulting Lending on a non-pro rata basis upon notice to the Administrative Agent.</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283"/>
        <w:jc w:val="both"/>
        <w:rPr/>
      </w:pPr>
      <w:r>
        <w:rPr>
          <w:rFonts w:ascii="Times New Roman;serif" w:hAnsi="Times New Roman;serif"/>
          <w:b w:val="false"/>
          <w:sz w:val="20"/>
        </w:rPr>
        <w:t xml:space="preserve">The Borrower shall notify the Administrative Agent of any election to terminate or reduce the Commitments under paragraph (b) of this Section at least one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serif" w:hAnsi="Times New Roman;serif"/>
          <w:b w:val="false"/>
          <w:sz w:val="20"/>
          <w:u w:val="single"/>
        </w:rPr>
        <w:t>provided</w:t>
      </w:r>
      <w:r>
        <w:rPr/>
        <w:t xml:space="preserve"> </w:t>
      </w:r>
      <w:r>
        <w:rPr>
          <w:rFonts w:ascii="Times New Roman;serif" w:hAnsi="Times New Roman;serif"/>
          <w:b w:val="false"/>
          <w:sz w:val="20"/>
        </w:rPr>
        <w:t>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2.09 </w:t>
      </w:r>
      <w:r>
        <w:rPr>
          <w:rFonts w:ascii="Times New Roman;serif" w:hAnsi="Times New Roman;serif"/>
          <w:b w:val="false"/>
          <w:sz w:val="20"/>
          <w:u w:val="single"/>
        </w:rPr>
        <w:t>Repayment of Loans; Evidence of Debt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The Borrower hereby unconditionally promises to pay (i) to the Administrative Agent for the account of each Lender the then unpaid principal amount of each Revolving Loan of such Lender on the Revolving Maturity Date and (ii) to the Administrative Agent for the account of each Lender the then unpaid principal amount of each Term Loan of such Lender as provided in </w:t>
      </w:r>
      <w:r>
        <w:rPr>
          <w:rFonts w:ascii="Times New Roman;serif" w:hAnsi="Times New Roman;serif"/>
          <w:b w:val="false"/>
          <w:sz w:val="20"/>
          <w:u w:val="single"/>
        </w:rPr>
        <w:t>Section 2.10</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The entries made in the accounts maintained pursuant to paragraph (b) or (c) of this Section shall be </w:t>
      </w:r>
      <w:r>
        <w:rPr>
          <w:rFonts w:ascii="Times New Roman;serif" w:hAnsi="Times New Roman;serif"/>
          <w:b w:val="false"/>
          <w:sz w:val="20"/>
          <w:u w:val="single"/>
        </w:rPr>
        <w:t>prima facie</w:t>
      </w:r>
      <w:r>
        <w:rPr/>
        <w:t xml:space="preserve"> </w:t>
      </w:r>
      <w:r>
        <w:rPr>
          <w:rFonts w:ascii="Times New Roman;serif" w:hAnsi="Times New Roman;serif"/>
          <w:b w:val="false"/>
          <w:sz w:val="20"/>
        </w:rPr>
        <w:t xml:space="preserve">evidence of the existence and amounts of the obligations recorded therein,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the accounts maintained by the Administrative Agent pursuant to paragraph (c) of this Section shall control.</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Any Lender may request through the Administrative Agent that Loans of any Class made by it be evidenced by a promissory note. In such event, the Borrower shall execute and deliver to such Lender a promissory note payable to the order of such Lender (or, if requested by such Lender, to such Lender and its registered assigns) and in a form provided by the Administrative Agent and approved by the Borrower.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2.10 </w:t>
      </w:r>
      <w:r>
        <w:rPr>
          <w:rFonts w:ascii="Times New Roman;serif" w:hAnsi="Times New Roman;serif"/>
          <w:b w:val="false"/>
          <w:sz w:val="20"/>
          <w:u w:val="single"/>
        </w:rPr>
        <w:t>Amortization of Term Loans</w:t>
      </w:r>
      <w:r>
        <w:rPr>
          <w:rFonts w:ascii="Times New Roman;serif" w:hAnsi="Times New Roman;serif"/>
          <w:b w:val="false"/>
          <w:sz w:val="20"/>
        </w:rPr>
        <w:t>.</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283"/>
        <w:jc w:val="both"/>
        <w:rPr/>
      </w:pPr>
      <w:r>
        <w:rPr>
          <w:rFonts w:ascii="Times New Roman;serif" w:hAnsi="Times New Roman;serif"/>
          <w:b w:val="false"/>
          <w:sz w:val="20"/>
        </w:rPr>
        <w:t xml:space="preserve">Subject to adjustment pursuant to paragraph (c) of this </w:t>
      </w:r>
      <w:r>
        <w:rPr>
          <w:rFonts w:ascii="Times New Roman;serif" w:hAnsi="Times New Roman;serif"/>
          <w:b w:val="false"/>
          <w:sz w:val="20"/>
          <w:u w:val="single"/>
        </w:rPr>
        <w:t>Section 2.10</w:t>
      </w:r>
      <w:r>
        <w:rPr>
          <w:rFonts w:ascii="Times New Roman;serif" w:hAnsi="Times New Roman;serif"/>
          <w:b w:val="false"/>
          <w:sz w:val="20"/>
        </w:rPr>
        <w:t xml:space="preserve">, the Borrower shall repay Term Loan Borrowings on the last Business Day of each March, June, September and December in the principal amount of Term Loans equal to the amounts set forth in the table below (as such amounts may be reduced from time to time as a result of the applicable of prepayments in accordance with </w:t>
      </w:r>
      <w:r>
        <w:rPr>
          <w:rFonts w:ascii="Times New Roman;serif" w:hAnsi="Times New Roman;serif"/>
          <w:b w:val="false"/>
          <w:sz w:val="20"/>
          <w:u w:val="single"/>
        </w:rPr>
        <w:t>Section 2.11</w:t>
      </w:r>
      <w:r>
        <w:rPr/>
        <w:t xml:space="preserve"> </w:t>
      </w:r>
      <w:r>
        <w:rPr>
          <w:rFonts w:ascii="Times New Roman;serif" w:hAnsi="Times New Roman;serif"/>
          <w:b w:val="false"/>
          <w:sz w:val="20"/>
        </w:rPr>
        <w:t xml:space="preserve">and purchases or assignments in accordance with </w:t>
      </w:r>
      <w:r>
        <w:rPr>
          <w:rFonts w:ascii="Times New Roman;serif" w:hAnsi="Times New Roman;serif"/>
          <w:b w:val="false"/>
          <w:sz w:val="20"/>
          <w:u w:val="single"/>
        </w:rPr>
        <w:t>Section 9.04(g)</w:t>
      </w:r>
      <w:r>
        <w:rPr/>
        <w:t xml:space="preserve"> </w:t>
      </w:r>
      <w:r>
        <w:rPr>
          <w:rFonts w:ascii="Times New Roman;serif" w:hAnsi="Times New Roman;serif"/>
          <w:b w:val="false"/>
          <w:sz w:val="20"/>
        </w:rPr>
        <w:t xml:space="preserve">or increased from time to time as a result of any increase in the amount of such Term Loans pursuant to </w:t>
      </w:r>
      <w:r>
        <w:rPr>
          <w:rFonts w:ascii="Times New Roman;serif" w:hAnsi="Times New Roman;serif"/>
          <w:b w:val="false"/>
          <w:sz w:val="20"/>
          <w:u w:val="single"/>
        </w:rPr>
        <w:t>Section 2.20(a)</w:t>
      </w:r>
      <w:r>
        <w:rPr>
          <w:rFonts w:ascii="Times New Roman;serif" w:hAnsi="Times New Roman;serif"/>
          <w:b w:val="false"/>
          <w:sz w:val="20"/>
        </w:rPr>
        <w:t>).</w:t>
      </w:r>
    </w:p>
    <w:p>
      <w:pPr>
        <w:pStyle w:val="TextBody"/>
        <w:bidi w:val="0"/>
        <w:spacing w:before="0" w:after="0"/>
        <w:jc w:val="both"/>
        <w:rPr/>
      </w:pPr>
      <w:r>
        <w:rPr/>
        <w:t> </w:t>
      </w:r>
    </w:p>
    <w:tbl>
      <w:tblPr>
        <w:tblW w:w="3507" w:type="dxa"/>
        <w:jc w:val="left"/>
        <w:tblInd w:w="0" w:type="dxa"/>
        <w:tblLayout w:type="fixed"/>
        <w:tblCellMar>
          <w:top w:w="28" w:type="dxa"/>
          <w:left w:w="28" w:type="dxa"/>
          <w:bottom w:w="28" w:type="dxa"/>
          <w:right w:w="28" w:type="dxa"/>
        </w:tblCellMar>
      </w:tblPr>
      <w:tblGrid>
        <w:gridCol w:w="1741"/>
        <w:gridCol w:w="1766"/>
      </w:tblGrid>
      <w:tr>
        <w:trPr/>
        <w:tc>
          <w:tcPr>
            <w:tcW w:w="174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41" w:type="dxa"/>
            <w:tcBorders>
              <w:top w:val="single" w:sz="4" w:space="0" w:color="000000"/>
              <w:left w:val="single" w:sz="6" w:space="0" w:color="000000"/>
              <w:bottom w:val="single" w:sz="4" w:space="0" w:color="000000"/>
              <w:right w:val="single" w:sz="6" w:space="0" w:color="000000"/>
            </w:tcBorders>
            <w:vAlign w:val="center"/>
          </w:tcPr>
          <w:p>
            <w:pPr>
              <w:pStyle w:val="TableContents"/>
              <w:bidi w:val="0"/>
              <w:spacing w:before="0" w:after="0"/>
              <w:ind w:left="100" w:right="0" w:hanging="0"/>
              <w:jc w:val="both"/>
              <w:rPr>
                <w:rFonts w:ascii="Times New Roman;serif" w:hAnsi="Times New Roman;serif"/>
                <w:b/>
                <w:sz w:val="20"/>
              </w:rPr>
            </w:pPr>
            <w:r>
              <w:rPr>
                <w:rFonts w:ascii="Times New Roman;serif" w:hAnsi="Times New Roman;serif"/>
                <w:b/>
                <w:sz w:val="20"/>
              </w:rPr>
              <w:t>Installment</w:t>
            </w:r>
          </w:p>
        </w:tc>
        <w:tc>
          <w:tcPr>
            <w:tcW w:w="1766" w:type="dxa"/>
            <w:tcBorders>
              <w:top w:val="single" w:sz="4" w:space="0" w:color="000000"/>
              <w:bottom w:val="single" w:sz="4" w:space="0" w:color="000000"/>
              <w:right w:val="single" w:sz="6" w:space="0" w:color="000000"/>
            </w:tcBorders>
            <w:tcMar>
              <w:left w:w="0" w:type="dxa"/>
            </w:tcMar>
            <w:vAlign w:val="center"/>
          </w:tcPr>
          <w:p>
            <w:pPr>
              <w:pStyle w:val="TableContents"/>
              <w:bidi w:val="0"/>
              <w:spacing w:before="0" w:after="0"/>
              <w:ind w:left="0" w:right="0" w:firstLine="100"/>
              <w:jc w:val="center"/>
              <w:rPr>
                <w:rFonts w:ascii="Times New Roman;serif" w:hAnsi="Times New Roman;serif"/>
                <w:b/>
                <w:sz w:val="20"/>
              </w:rPr>
            </w:pPr>
            <w:r>
              <w:rPr>
                <w:rFonts w:ascii="Times New Roman;serif" w:hAnsi="Times New Roman;serif"/>
                <w:b/>
                <w:sz w:val="20"/>
              </w:rPr>
              <w:t>Principal Amount</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March 31, 2021</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June 30, 2021</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September 30, 2021</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December 31, 2021</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March 31, 2022</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June 30, 2022</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September 30, 2022</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December 31, 2022</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March 31, 2023</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June 30, 2023</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September 30, 2023</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December 31, 2023</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March 31, 2024</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June 30, 2024</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September 30, 2024</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December 31, 2024</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March 31, 2025</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June 30, 2025</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September 30, 2025</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December 31, 2025</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March 31, 2026</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June 30, 2026</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September 30, 2026</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0" w:firstLine="100"/>
              <w:jc w:val="right"/>
              <w:rPr>
                <w:rFonts w:ascii="Times New Roman;serif" w:hAnsi="Times New Roman;serif"/>
                <w:b w:val="false"/>
                <w:sz w:val="20"/>
              </w:rPr>
            </w:pPr>
            <w:r>
              <w:rPr>
                <w:rFonts w:ascii="Times New Roman;serif" w:hAnsi="Times New Roman;serif"/>
                <w:b w:val="false"/>
                <w:sz w:val="20"/>
              </w:rPr>
              <w:t>$1,926,256.28</w:t>
            </w:r>
          </w:p>
        </w:tc>
      </w:tr>
      <w:tr>
        <w:trPr/>
        <w:tc>
          <w:tcPr>
            <w:tcW w:w="174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0"/>
              <w:ind w:left="100" w:right="0" w:hanging="0"/>
              <w:jc w:val="both"/>
              <w:rPr>
                <w:rFonts w:ascii="Times New Roman;serif" w:hAnsi="Times New Roman;serif"/>
                <w:b w:val="false"/>
                <w:sz w:val="20"/>
              </w:rPr>
            </w:pPr>
            <w:r>
              <w:rPr>
                <w:rFonts w:ascii="Times New Roman;serif" w:hAnsi="Times New Roman;serif"/>
                <w:b w:val="false"/>
                <w:sz w:val="20"/>
              </w:rPr>
              <w:t>December 31, 2026</w:t>
            </w:r>
          </w:p>
        </w:tc>
        <w:tc>
          <w:tcPr>
            <w:tcW w:w="1766" w:type="dxa"/>
            <w:tcBorders>
              <w:bottom w:val="single" w:sz="4" w:space="0" w:color="000000"/>
              <w:right w:val="single" w:sz="6" w:space="0" w:color="000000"/>
            </w:tcBorders>
            <w:tcMar>
              <w:top w:w="0" w:type="dxa"/>
              <w:left w:w="0" w:type="dxa"/>
            </w:tcMar>
            <w:vAlign w:val="center"/>
          </w:tcPr>
          <w:p>
            <w:pPr>
              <w:pStyle w:val="TableContents"/>
              <w:bidi w:val="0"/>
              <w:spacing w:before="0" w:after="0"/>
              <w:ind w:left="0" w:right="101" w:hanging="0"/>
              <w:jc w:val="right"/>
              <w:rPr>
                <w:rFonts w:ascii="Times New Roman;serif" w:hAnsi="Times New Roman;serif"/>
                <w:b w:val="false"/>
                <w:sz w:val="20"/>
              </w:rPr>
            </w:pPr>
            <w:r>
              <w:rPr>
                <w:rFonts w:ascii="Times New Roman;serif" w:hAnsi="Times New Roman;serif"/>
                <w:b w:val="false"/>
                <w:sz w:val="20"/>
              </w:rPr>
              <w:t>$1,926,256.28</w:t>
            </w:r>
          </w:p>
        </w:tc>
      </w:tr>
    </w:tbl>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 the extent not previously paid, all Term Loans shall be due and payable on the Term Maturity Date.</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Any prepayment of a Term Loan Borrowing of any Class (i) pursuant to </w:t>
      </w:r>
      <w:r>
        <w:rPr>
          <w:rFonts w:ascii="Times New Roman;serif" w:hAnsi="Times New Roman;serif"/>
          <w:b w:val="false"/>
          <w:sz w:val="20"/>
          <w:u w:val="single"/>
        </w:rPr>
        <w:t>Section 2.11(a)(i)</w:t>
      </w:r>
      <w:r>
        <w:rPr/>
        <w:t xml:space="preserve"> </w:t>
      </w:r>
      <w:r>
        <w:rPr>
          <w:rFonts w:ascii="Times New Roman;serif" w:hAnsi="Times New Roman;serif"/>
          <w:b w:val="false"/>
          <w:sz w:val="20"/>
        </w:rPr>
        <w:t xml:space="preserve">shall be applied to reduce the subsequent scheduled and outstanding repayments of the Term Loan Borrowings of such Class to be made pursuant to this Section as directed by the Borrower (and absent such direction in direct order of maturity) and (ii) pursuant to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2.11(d)</w:t>
      </w:r>
      <w:r>
        <w:rPr/>
        <w:t xml:space="preserve"> </w:t>
      </w:r>
      <w:r>
        <w:rPr>
          <w:rFonts w:ascii="Times New Roman;serif" w:hAnsi="Times New Roman;serif"/>
          <w:b w:val="false"/>
          <w:sz w:val="20"/>
        </w:rPr>
        <w:t>shall be applied to reduce the subsequent scheduled and outstanding repayments of the Term Loan Borrowings of such Class to be made pursuant to this Section, or, except as otherwise provided in any Refinancing Amendment or Loan Modification Offer, pursuant to the corresponding section of such Refinancing Amendment or Loan Modification Offer, as applicable, in direct order of maturity.</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rPr>
        <w:t xml:space="preserve">Prior to any repayment of any Term Loan Borrowings of any Class hereunder, the Borrower shall select the Borrowing or Borrowings of the applicable Class to be repaid and shall notify the Administrative Agent in writing or by telephone (confirmed by hand delivery, facsimile or other electronic transmission) of such election not later than 2:00 p.m., New York City time, (x) in the case of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Loans, three Business Days before the scheduled date of such repayment and (y) in the case of ABR Loans, one Business Day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w:t>
      </w:r>
      <w:r>
        <w:rPr>
          <w:rFonts w:ascii="Times New Roman;serif" w:hAnsi="Times New Roman;serif"/>
          <w:b w:val="false"/>
          <w:sz w:val="20"/>
          <w:u w:val="single"/>
        </w:rPr>
        <w:t>Section</w:t>
      </w:r>
      <w:r>
        <w:rPr/>
        <w:t xml:space="preserve"> </w:t>
      </w:r>
      <w:r>
        <w:rPr>
          <w:rFonts w:ascii="Times New Roman;serif" w:hAnsi="Times New Roman;serif"/>
          <w:b w:val="false"/>
          <w:strike/>
          <w:sz w:val="20"/>
          <w:u w:val="single"/>
        </w:rPr>
        <w:t>2.16</w:t>
      </w:r>
      <w:r>
        <w:rPr>
          <w:rFonts w:ascii="Times New Roman;serif" w:hAnsi="Times New Roman;serif"/>
          <w:b w:val="false"/>
          <w:strike/>
          <w:sz w:val="20"/>
        </w:rPr>
        <w:t>.</w:t>
      </w:r>
      <w:r>
        <w:rPr/>
        <w:t xml:space="preserve"> </w:t>
      </w:r>
      <w:r>
        <w:rPr>
          <w:rFonts w:ascii="Times New Roman;serif" w:hAnsi="Times New Roman;serif"/>
          <w:b w:val="false"/>
          <w:sz w:val="20"/>
          <w:u w:val="single"/>
        </w:rPr>
        <w:t>2.16.</w:t>
      </w:r>
      <w:r>
        <w:rPr/>
        <w:t xml:space="preserve"> </w:t>
      </w:r>
      <w:r>
        <w:rPr>
          <w:rFonts w:ascii="Times New Roman;serif" w:hAnsi="Times New Roman;serif"/>
          <w:b w:val="false"/>
          <w:sz w:val="20"/>
        </w:rPr>
        <w:t>Each repayment of a Borrowing shall be applied ratably to the Loans included in the repaid Borrowing. Repayments of Term Loan Borrowings shall be accompanied by accrued interest on the amount repaid.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2.11 </w:t>
      </w:r>
      <w:r>
        <w:rPr>
          <w:rFonts w:ascii="Times New Roman;serif" w:hAnsi="Times New Roman;serif"/>
          <w:b w:val="false"/>
          <w:sz w:val="20"/>
          <w:u w:val="single"/>
        </w:rPr>
        <w:t>Prepayment of Loans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(i) The Borrower shall have the right at any time and from time to time to prepay any Borrowing in whole or in part, without premium or penalty (subject to the immediately succeeding proviso); </w:t>
      </w:r>
      <w:r>
        <w:rPr>
          <w:rFonts w:ascii="Times New Roman;serif" w:hAnsi="Times New Roman;serif"/>
          <w:b w:val="false"/>
          <w:sz w:val="20"/>
          <w:u w:val="single"/>
        </w:rPr>
        <w:t>provided</w:t>
      </w:r>
      <w:r>
        <w:rPr/>
        <w:t xml:space="preserve"> </w:t>
      </w:r>
      <w:r>
        <w:rPr>
          <w:rFonts w:ascii="Times New Roman;serif" w:hAnsi="Times New Roman;serif"/>
          <w:b w:val="false"/>
          <w:sz w:val="20"/>
        </w:rPr>
        <w:t>that in the event that, on or prior to the date that is six months after the Amendment No. 1 Effective Date, the Borrower (i) makes any prepayment of Term Loans in connection with any Repricing Transaction the primary purpose of which is to decrease the Effective Yield on such Term Loans or (ii) effects any amendment of this Agreement resulting in a Repricing Transaction the primary purpose of which is to decrease the Effective Yield on the Term Loans, the Borrower shall pay to the Administrative Agent, for the ratable account of each of the applicable Lenders, (x) in the case of clause (i), a prepayment premium of 1.00% of the principal amount of the Term Loans being prepaid in connection with such Repricing Transaction and (y) in the case of clause (ii), an amount equal to 1.00% of the aggregate amount of the applicable Term Loans outstanding immediately prior to such amendment that are subject to an effective pricing reduction pursuant to such Repricing Transaction.</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Notwithstanding anything in any Loan Document to the contrary, so long as no Default or Event of Default has occurred and is continuing, the Borrower may prepay the outstanding Term Loans on the following basis:</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The Borrower shall have the right to make a voluntary prepayment of Term Loans at a discount to par (such prepayment, the “</w:t>
      </w:r>
      <w:r>
        <w:rPr>
          <w:rFonts w:ascii="Times New Roman;serif" w:hAnsi="Times New Roman;serif"/>
          <w:b w:val="false"/>
          <w:sz w:val="20"/>
          <w:u w:val="single"/>
        </w:rPr>
        <w:t>Discounted Term Loan Prepayment</w:t>
      </w:r>
      <w:r>
        <w:rPr/>
        <w:t>”</w:t>
      </w:r>
      <w:r>
        <w:rPr>
          <w:rFonts w:ascii="Times New Roman;serif" w:hAnsi="Times New Roman;serif"/>
          <w:b w:val="false"/>
          <w:sz w:val="20"/>
        </w:rPr>
        <w:t xml:space="preserve">) pursuant to a Borrower Offer of Specified Discount Prepayment, Borrower Solicitation of Discount Range Prepayment Offers or Borrower Solicitation of Discounted Prepayment Offers, in each case made in accordance with this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2.11(a)(ii)</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(x) the Borrower shall not make any Borrowing of Revolving Loans to fund any Discounted Term Loan Prepayment and (y) the Borrower shall not initiate any action under this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2.11(a)(ii)</w:t>
      </w:r>
      <w:r>
        <w:rPr/>
        <w:t xml:space="preserve"> </w:t>
      </w:r>
      <w:r>
        <w:rPr>
          <w:rFonts w:ascii="Times New Roman;serif" w:hAnsi="Times New Roman;serif"/>
          <w:b w:val="false"/>
          <w:sz w:val="20"/>
        </w:rPr>
        <w:t>in order to make a Discounted Term Loan Prepayment with respect to any Class unless (I) at least ten (10) Business Days shall have passed since the consummation of the most recent Discounted Term Loan Prepayment with respect to such Class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 xml:space="preserve">(1) Subject to the proviso to subsection (A) above, the Borrower may from time to time offer to make a Discounted Term Loan Prepayment by providing the Auction Agent with three (3) Business Days’ notice in the form of a Specified Discount Prepayment Notice; </w:t>
      </w:r>
      <w:r>
        <w:rPr>
          <w:rFonts w:ascii="Times New Roman;serif" w:hAnsi="Times New Roman;serif"/>
          <w:b w:val="false"/>
          <w:sz w:val="20"/>
          <w:u w:val="single"/>
        </w:rPr>
        <w:t>provided</w:t>
      </w:r>
      <w:r>
        <w:rPr/>
        <w:t xml:space="preserve"> </w:t>
      </w:r>
      <w:r>
        <w:rPr>
          <w:rFonts w:ascii="Times New Roman;serif" w:hAnsi="Times New Roman;serif"/>
          <w:b w:val="false"/>
          <w:sz w:val="20"/>
        </w:rPr>
        <w:t>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w:t>
      </w:r>
      <w:r>
        <w:rPr>
          <w:rFonts w:ascii="Times New Roman;serif" w:hAnsi="Times New Roman;serif"/>
          <w:b w:val="false"/>
          <w:sz w:val="20"/>
          <w:u w:val="single"/>
        </w:rPr>
        <w:t>Specified Discount Prepayment Amount</w:t>
      </w:r>
      <w:r>
        <w:rPr/>
        <w:t>”</w:t>
      </w:r>
      <w:r>
        <w:rPr>
          <w:rFonts w:ascii="Times New Roman;serif" w:hAnsi="Times New Roman;serif"/>
          <w:b w:val="false"/>
          <w:sz w:val="20"/>
        </w:rPr>
        <w:t>) with respect to each applicable Class, the Class or Classes of Term Loans subject to such offer and the specific percentage discount to par (the “</w:t>
      </w:r>
      <w:r>
        <w:rPr>
          <w:rFonts w:ascii="Times New Roman;serif" w:hAnsi="Times New Roman;serif"/>
          <w:b w:val="false"/>
          <w:sz w:val="20"/>
          <w:u w:val="single"/>
        </w:rPr>
        <w:t>Specified Discount</w:t>
      </w:r>
      <w:r>
        <w:rPr/>
        <w:t>”</w:t>
      </w:r>
      <w:r>
        <w:rPr>
          <w:rFonts w:ascii="Times New Roman;serif" w:hAnsi="Times New Roman;serif"/>
          <w:b w:val="false"/>
          <w:sz w:val="20"/>
        </w:rPr>
        <w:t>) of such Term Loans to be prepaid (it being understood that different Specified Discounts and/or Specified Discount Prepayment Amounts may be offered with respect to different Classes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Term Lender to the Auction Agent (or its delegate) by no later than 5:00 p.m., New York City time, on the third Business Day after the date of delivery of such notice to the relevant Term Lenders (the “</w:t>
      </w:r>
      <w:r>
        <w:rPr>
          <w:rFonts w:ascii="Times New Roman;serif" w:hAnsi="Times New Roman;serif"/>
          <w:b w:val="false"/>
          <w:sz w:val="20"/>
          <w:u w:val="single"/>
        </w:rPr>
        <w:t>Specified Discount Prepayment Response Date</w:t>
      </w:r>
      <w:r>
        <w:rPr/>
        <w: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pPr>
      <w:r>
        <w:rPr>
          <w:rFonts w:ascii="Times New Roman;serif" w:hAnsi="Times New Roman;serif"/>
          <w:b w:val="false"/>
          <w:sz w:val="20"/>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serif" w:hAnsi="Times New Roman;serif"/>
          <w:b w:val="false"/>
          <w:sz w:val="20"/>
          <w:u w:val="single"/>
        </w:rPr>
        <w:t>Discount Prepayment Accepting Lender</w:t>
      </w:r>
      <w:r>
        <w:rPr/>
        <w:t>”</w:t>
      </w:r>
      <w:r>
        <w:rPr>
          <w:rFonts w:ascii="Times New Roman;serif" w:hAnsi="Times New Roman;serif"/>
          <w:b w:val="false"/>
          <w:sz w:val="20"/>
        </w:rPr>
        <w:t xml:space="preserve">), the amount and the Classes of such Term Lender’s Term Loans to be prepaid at such offered discount. Each acceptance of a Discounted Term Loan Prepayment by a Discount Prepayment Accepting Lender shall be irrevocable. Any Term Lender whose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Specified Discount Prepayment Response is not received by the Auction Agent by the Specified Discount Prepayment Response Date shall be deemed to have declined to accept the applicable Borrower Offer of Specified Discount Prepayment.</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pPr>
      <w:r>
        <w:rPr>
          <w:rFonts w:ascii="Times New Roman;serif" w:hAnsi="Times New Roman;serif"/>
          <w:b w:val="false"/>
          <w:sz w:val="20"/>
        </w:rPr>
        <w:t xml:space="preserve">If there is at least one Discount Prepayment Accepting Lender, the Borrower will make prepayment of outstanding Term Loans pursuant to this paragraph (B) to each Discount Prepayment Accepting Lender in accordance with the respective outstanding amount and Classes of Term Loans specified in such Term Lender’s Specified Discount Prepayment Response given pursuant to subsection (2); </w:t>
      </w:r>
      <w:r>
        <w:rPr>
          <w:rFonts w:ascii="Times New Roman;serif" w:hAnsi="Times New Roman;serif"/>
          <w:b w:val="false"/>
          <w:sz w:val="20"/>
          <w:u w:val="single"/>
        </w:rPr>
        <w:t>provided</w:t>
      </w:r>
      <w:r>
        <w:rPr/>
        <w:t xml:space="preserve"> </w:t>
      </w:r>
      <w:r>
        <w:rPr>
          <w:rFonts w:ascii="Times New Roman;serif" w:hAnsi="Times New Roman;serif"/>
          <w:b w:val="false"/>
          <w:sz w:val="20"/>
        </w:rPr>
        <w:t>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Times New Roman;serif" w:hAnsi="Times New Roman;serif"/>
          <w:b w:val="false"/>
          <w:sz w:val="20"/>
          <w:u w:val="single"/>
        </w:rPr>
        <w:t>Specified Discount Proration</w:t>
      </w:r>
      <w:r>
        <w:rPr/>
        <w:t>”</w:t>
      </w:r>
      <w:r>
        <w:rPr>
          <w:rFonts w:ascii="Times New Roman;serif" w:hAnsi="Times New Roman;serif"/>
          <w:b w:val="false"/>
          <w:sz w:val="20"/>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Classes to be prepaid, (II) each Term Lender of the Discounted Prepayment Effective Date, and the aggregate principal amount and the Classes of Term Loans to be prepaid at the Specified Discount on such date and (III) each Discount Prepayment Accepting Lender of the Specified Discount Proration, if any, and confirmation of the principal amount, Class and Type of Loans of such Term Lender to be prepaid at the Specified Discount on such date. Each determination by the Auction Agent of the amounts stated in the foregoing notices to the Borrower and Term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Times New Roman;serif" w:hAnsi="Times New Roman;serif"/>
          <w:b w:val="false"/>
          <w:sz w:val="20"/>
          <w:u w:val="single"/>
        </w:rPr>
        <w:t>provided</w:t>
      </w:r>
      <w:r>
        <w:rPr/>
        <w:t xml:space="preserve"> </w:t>
      </w:r>
      <w:r>
        <w:rPr>
          <w:rFonts w:ascii="Times New Roman;serif" w:hAnsi="Times New Roman;serif"/>
          <w:b w:val="false"/>
          <w:sz w:val="20"/>
        </w:rPr>
        <w:t>that (I) 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Times New Roman;serif" w:hAnsi="Times New Roman;serif"/>
          <w:b w:val="false"/>
          <w:sz w:val="20"/>
          <w:u w:val="single"/>
        </w:rPr>
        <w:t>Discount Range Prepayment Amount</w:t>
      </w:r>
      <w:r>
        <w:rPr/>
        <w:t>”</w:t>
      </w:r>
      <w:r>
        <w:rPr>
          <w:rFonts w:ascii="Times New Roman;serif" w:hAnsi="Times New Roman;serif"/>
          <w:b w:val="false"/>
          <w:sz w:val="20"/>
        </w:rPr>
        <w:t>), the Class or Classes of Term Loans subject to such offer and the maximum and minimum percentage discounts to par (the “</w:t>
      </w:r>
      <w:r>
        <w:rPr>
          <w:rFonts w:ascii="Times New Roman;serif" w:hAnsi="Times New Roman;serif"/>
          <w:b w:val="false"/>
          <w:sz w:val="20"/>
          <w:u w:val="single"/>
        </w:rPr>
        <w:t>Discount Range</w:t>
      </w:r>
      <w:r>
        <w:rPr/>
        <w:t>”</w:t>
      </w:r>
      <w:r>
        <w:rPr>
          <w:rFonts w:ascii="Times New Roman;serif" w:hAnsi="Times New Roman;serif"/>
          <w:b w:val="false"/>
          <w:sz w:val="20"/>
        </w:rPr>
        <w:t>) of the principal amount of such Term Loans with respect to each relevant Class of Term Loans willing to be prepaid by the Borrower (it being understood that different Discount Ranges and/or Discount Range Prepayment Amounts may be offered with respect to different Classes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serif" w:hAnsi="Times New Roman;serif"/>
          <w:b w:val="false"/>
          <w:sz w:val="20"/>
          <w:u w:val="single"/>
        </w:rPr>
        <w:t>Discount Range</w:t>
      </w:r>
      <w:r>
        <w:rPr/>
        <w:t xml:space="preserve"> </w:t>
      </w:r>
      <w:r>
        <w:rPr>
          <w:rFonts w:ascii="Times New Roman;serif" w:hAnsi="Times New Roman;serif"/>
          <w:b w:val="false"/>
          <w:sz w:val="20"/>
          <w:u w:val="single"/>
        </w:rPr>
        <w:t>Prepayment Response Date</w:t>
      </w:r>
      <w:r>
        <w:rPr/>
        <w:t>”</w:t>
      </w:r>
      <w:r>
        <w:rPr>
          <w:rFonts w:ascii="Times New Roman;serif" w:hAnsi="Times New Roman;serif"/>
          <w:b w:val="false"/>
          <w:sz w:val="20"/>
        </w:rPr>
        <w:t>). Each relevant Term Lender’s Discount Range Prepayment Offer shall be irrevocable and shall specify a discount to par within the Discount Range (the “</w:t>
      </w:r>
      <w:r>
        <w:rPr>
          <w:rFonts w:ascii="Times New Roman;serif" w:hAnsi="Times New Roman;serif"/>
          <w:b w:val="false"/>
          <w:sz w:val="20"/>
          <w:u w:val="single"/>
        </w:rPr>
        <w:t>Submitted Discount</w:t>
      </w:r>
      <w:r>
        <w:rPr/>
        <w:t>”</w:t>
      </w:r>
      <w:r>
        <w:rPr>
          <w:rFonts w:ascii="Times New Roman;serif" w:hAnsi="Times New Roman;serif"/>
          <w:b w:val="false"/>
          <w:sz w:val="20"/>
        </w:rPr>
        <w:t>) at which such Term Lender is willing to allow prepayment of any or all of its then outstanding Term Loans of the applicable Class or Classes and the maximum aggregate principal amount and Classes of such Term Lender’s Term Loans (the “</w:t>
      </w:r>
      <w:r>
        <w:rPr>
          <w:rFonts w:ascii="Times New Roman;serif" w:hAnsi="Times New Roman;serif"/>
          <w:b w:val="false"/>
          <w:sz w:val="20"/>
          <w:u w:val="single"/>
        </w:rPr>
        <w:t>Submitted Amount</w:t>
      </w:r>
      <w:r>
        <w:rPr/>
        <w:t>”</w:t>
      </w:r>
      <w:r>
        <w:rPr>
          <w:rFonts w:ascii="Times New Roman;serif" w:hAnsi="Times New Roman;serif"/>
          <w:b w:val="false"/>
          <w:sz w:val="20"/>
        </w:rPr>
        <w: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The Auction Agent shall review all Discount Range Prepayment Offers received on or before the applicable Discount Range Prepayment Response Date and shall determine (in consultation with the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serif" w:hAnsi="Times New Roman;serif"/>
          <w:b w:val="false"/>
          <w:sz w:val="20"/>
          <w:u w:val="single"/>
        </w:rPr>
        <w:t>Applicable Discount</w:t>
      </w:r>
      <w:r>
        <w:rPr/>
        <w:t>”</w:t>
      </w:r>
      <w:r>
        <w:rPr>
          <w:rFonts w:ascii="Times New Roman;serif" w:hAnsi="Times New Roman;serif"/>
          <w:b w:val="false"/>
          <w:sz w:val="20"/>
        </w:rPr>
        <w:t>)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Term Lender, a “</w:t>
      </w:r>
      <w:r>
        <w:rPr>
          <w:rFonts w:ascii="Times New Roman;serif" w:hAnsi="Times New Roman;serif"/>
          <w:b w:val="false"/>
          <w:sz w:val="20"/>
          <w:u w:val="single"/>
        </w:rPr>
        <w:t>Participating Lender</w:t>
      </w:r>
      <w:r>
        <w:rPr/>
        <w: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0"/>
        <w:jc w:val="both"/>
        <w:rPr/>
      </w:pPr>
      <w:r>
        <w:rPr>
          <w:rFonts w:ascii="Times New Roman;serif" w:hAnsi="Times New Roman;serif"/>
          <w:b w:val="false"/>
          <w:sz w:val="20"/>
        </w:rPr>
        <w:t xml:space="preserve">If there is at least one Participating Lender, the Borrower will prepay the respective outstanding Term Loans of each Participating Lender in the aggregate principal amount and of the Classes specified in such Term Lender’s Discount Range Prepayment Offer at the Applicable Discount; </w:t>
      </w:r>
      <w:r>
        <w:rPr>
          <w:rFonts w:ascii="Times New Roman;serif" w:hAnsi="Times New Roman;serif"/>
          <w:b w:val="false"/>
          <w:sz w:val="20"/>
          <w:u w:val="single"/>
        </w:rPr>
        <w:t>provided</w:t>
      </w:r>
      <w:r>
        <w:rPr/>
        <w:t xml:space="preserve"> </w:t>
      </w:r>
      <w:r>
        <w:rPr>
          <w:rFonts w:ascii="Times New Roman;serif" w:hAnsi="Times New Roman;serif"/>
          <w:b w:val="false"/>
          <w:sz w:val="20"/>
        </w:rPr>
        <w:t>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serif" w:hAnsi="Times New Roman;serif"/>
          <w:b w:val="false"/>
          <w:sz w:val="20"/>
          <w:u w:val="single"/>
        </w:rPr>
        <w:t>Identified Participating Lenders</w:t>
      </w:r>
      <w:r>
        <w:rPr/>
        <w:t>”</w:t>
      </w:r>
      <w:r>
        <w:rPr>
          <w:rFonts w:ascii="Times New Roman;serif" w:hAnsi="Times New Roman;serif"/>
          <w:b w:val="false"/>
          <w:sz w:val="20"/>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Times New Roman;serif" w:hAnsi="Times New Roman;serif"/>
          <w:b w:val="false"/>
          <w:sz w:val="20"/>
          <w:u w:val="single"/>
        </w:rPr>
        <w:t>Discount Range Proration</w:t>
      </w:r>
      <w:r>
        <w:rPr/>
        <w:t>”</w:t>
      </w:r>
      <w:r>
        <w:rPr>
          <w:rFonts w:ascii="Times New Roman;serif" w:hAnsi="Times New Roman;serif"/>
          <w:b w:val="false"/>
          <w:sz w:val="20"/>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Classes to be prepaid, (II) each Term Lender of the Discounted Prepayment Effective Date, the Applicable Discount, and the aggregate principal amount and Classes of Term Loans to be prepaid at the Applicable Discount on such date, (III) each Participating Lender of the aggregate principal amount and Classes of such Term Lender to be prepaid at the Applicable Discount on such date, and (z) if applicable, each Identified Participating Lender of the Discount Range Proration. Each determination by the Auction Agent of the amounts stated in the foregoing notices to the Borrower and Term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Times New Roman;serif" w:hAnsi="Times New Roman;serif"/>
          <w:b w:val="false"/>
          <w:sz w:val="20"/>
          <w:u w:val="single"/>
        </w:rPr>
        <w:t>provided</w:t>
      </w:r>
      <w:r>
        <w:rPr/>
        <w:t xml:space="preserve"> </w:t>
      </w:r>
      <w:r>
        <w:rPr>
          <w:rFonts w:ascii="Times New Roman;serif" w:hAnsi="Times New Roman;serif"/>
          <w:b w:val="false"/>
          <w:sz w:val="20"/>
        </w:rPr>
        <w:t>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Times New Roman;serif" w:hAnsi="Times New Roman;serif"/>
          <w:b w:val="false"/>
          <w:sz w:val="20"/>
          <w:u w:val="single"/>
        </w:rPr>
        <w:t>Solicited Discounted Prepayment</w:t>
      </w:r>
      <w:r>
        <w:rPr/>
        <w:t xml:space="preserve"> </w:t>
      </w:r>
      <w:r>
        <w:rPr>
          <w:rFonts w:ascii="Times New Roman;serif" w:hAnsi="Times New Roman;serif"/>
          <w:b w:val="false"/>
          <w:sz w:val="20"/>
          <w:u w:val="single"/>
        </w:rPr>
        <w:t>Amount</w:t>
      </w:r>
      <w:r>
        <w:rPr/>
        <w:t>”</w:t>
      </w:r>
      <w:r>
        <w:rPr>
          <w:rFonts w:ascii="Times New Roman;serif" w:hAnsi="Times New Roman;serif"/>
          <w:b w:val="false"/>
          <w:sz w:val="20"/>
        </w:rPr>
        <w:t>) and the Class or Classes of Term Loans the Borrower is willing to prepay at a discount (it being understood that different Solicited Discounted Prepayment Amounts may be offered with respect to different Classes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serif" w:hAnsi="Times New Roman;serif"/>
          <w:b w:val="false"/>
          <w:sz w:val="20"/>
          <w:u w:val="single"/>
        </w:rPr>
        <w:t>Solicited Discounted Prepayment Response Date</w:t>
      </w:r>
      <w:r>
        <w:rPr/>
        <w:t>”</w:t>
      </w:r>
      <w:r>
        <w:rPr>
          <w:rFonts w:ascii="Times New Roman;serif" w:hAnsi="Times New Roman;serif"/>
          <w:b w:val="false"/>
          <w:sz w:val="20"/>
        </w:rPr>
        <w:t xml:space="preserve">). Each Term Lender’s Solicited Discounted Prepayment Offer shall (x) be irrevocable, (y) remain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outstanding until the Acceptance Date, and (z) specify both a discount to par (the “</w:t>
      </w:r>
      <w:r>
        <w:rPr>
          <w:rFonts w:ascii="Times New Roman;serif" w:hAnsi="Times New Roman;serif"/>
          <w:b w:val="false"/>
          <w:sz w:val="20"/>
          <w:u w:val="single"/>
        </w:rPr>
        <w:t>Offered Discount</w:t>
      </w:r>
      <w:r>
        <w:rPr/>
        <w:t>”</w:t>
      </w:r>
      <w:r>
        <w:rPr>
          <w:rFonts w:ascii="Times New Roman;serif" w:hAnsi="Times New Roman;serif"/>
          <w:b w:val="false"/>
          <w:sz w:val="20"/>
        </w:rPr>
        <w:t>) at which such Term Lender is willing to allow prepayment of its then outstanding Term Loan and the maximum aggregate principal amount and Classes of such Term Loans (the “</w:t>
      </w:r>
      <w:r>
        <w:rPr>
          <w:rFonts w:ascii="Times New Roman;serif" w:hAnsi="Times New Roman;serif"/>
          <w:b w:val="false"/>
          <w:sz w:val="20"/>
          <w:u w:val="single"/>
        </w:rPr>
        <w:t>Offered Amount</w:t>
      </w:r>
      <w:r>
        <w:rPr/>
        <w:t>”</w:t>
      </w:r>
      <w:r>
        <w:rPr>
          <w:rFonts w:ascii="Times New Roman;serif" w:hAnsi="Times New Roman;serif"/>
          <w:b w:val="false"/>
          <w:sz w:val="20"/>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0"/>
        <w:jc w:val="both"/>
        <w:rPr/>
      </w:pPr>
      <w:r>
        <w:rPr>
          <w:rFonts w:ascii="Times New Roman;serif" w:hAnsi="Times New Roman;serif"/>
          <w:b w:val="false"/>
          <w:sz w:val="20"/>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Times New Roman;serif" w:hAnsi="Times New Roman;serif"/>
          <w:b w:val="false"/>
          <w:sz w:val="20"/>
          <w:u w:val="single"/>
        </w:rPr>
        <w:t>Acceptable Discount</w:t>
      </w:r>
      <w:r>
        <w:rPr/>
        <w:t>”</w:t>
      </w:r>
      <w:r>
        <w:rPr>
          <w:rFonts w:ascii="Times New Roman;serif" w:hAnsi="Times New Roman;serif"/>
          <w:b w:val="false"/>
          <w:sz w:val="20"/>
        </w:rPr>
        <w:t>), if any. If the Borrower elects to accept any Offered Discount as the Acceptable Discount, then as soon as practicable after the determination of the Acceptable Discount, but in no event later than by the third Business Day after the date of receipt by the Borrower from the Auction Agent of a copy of all Solicited Discounted Prepayment Offers pursuant to the first sentence of this subsection (2) (the “</w:t>
      </w:r>
      <w:r>
        <w:rPr>
          <w:rFonts w:ascii="Times New Roman;serif" w:hAnsi="Times New Roman;serif"/>
          <w:b w:val="false"/>
          <w:sz w:val="20"/>
          <w:u w:val="single"/>
        </w:rPr>
        <w:t>Acceptance Date</w:t>
      </w:r>
      <w:r>
        <w:rPr/>
        <w:t>”</w:t>
      </w:r>
      <w:r>
        <w:rPr>
          <w:rFonts w:ascii="Times New Roman;serif" w:hAnsi="Times New Roman;serif"/>
          <w:b w:val="false"/>
          <w:sz w:val="20"/>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283"/>
        <w:jc w:val="both"/>
        <w:rPr/>
      </w:pPr>
      <w:r>
        <w:rPr>
          <w:rFonts w:ascii="Times New Roman;serif" w:hAnsi="Times New Roman;serif"/>
          <w:b w:val="false"/>
          <w:sz w:val="20"/>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serif" w:hAnsi="Times New Roman;serif"/>
          <w:b w:val="false"/>
          <w:sz w:val="20"/>
          <w:u w:val="single"/>
        </w:rPr>
        <w:t>Discounted Prepayment</w:t>
      </w:r>
      <w:r>
        <w:rPr/>
        <w:t xml:space="preserve"> </w:t>
      </w:r>
      <w:r>
        <w:rPr>
          <w:rFonts w:ascii="Times New Roman;serif" w:hAnsi="Times New Roman;serif"/>
          <w:b w:val="false"/>
          <w:sz w:val="20"/>
          <w:u w:val="single"/>
        </w:rPr>
        <w:t>Determination Date</w:t>
      </w:r>
      <w:r>
        <w:rPr/>
        <w:t>”</w:t>
      </w:r>
      <w:r>
        <w:rPr>
          <w:rFonts w:ascii="Times New Roman;serif" w:hAnsi="Times New Roman;serif"/>
          <w:b w:val="false"/>
          <w:sz w:val="20"/>
        </w:rPr>
        <w:t>), the Auction Agent will determine (in consultation with the Borrower and subject to rounding requirements of the Auction Agent made in its sole reasonable discretion) the aggregate principal amount and the Classes of Term Loans (the “</w:t>
      </w:r>
      <w:r>
        <w:rPr>
          <w:rFonts w:ascii="Times New Roman;serif" w:hAnsi="Times New Roman;serif"/>
          <w:b w:val="false"/>
          <w:sz w:val="20"/>
          <w:u w:val="single"/>
        </w:rPr>
        <w:t>Acceptable Prepayment Amount</w:t>
      </w:r>
      <w:r>
        <w:rPr/>
        <w:t>”</w:t>
      </w:r>
      <w:r>
        <w:rPr>
          <w:rFonts w:ascii="Times New Roman;serif" w:hAnsi="Times New Roman;serif"/>
          <w:b w:val="false"/>
          <w:sz w:val="20"/>
        </w:rPr>
        <w:t xml:space="preserve">) to be prepaid by the Borrower at the Acceptable Discount in accordance with this </w:t>
      </w:r>
      <w:r>
        <w:rPr>
          <w:rFonts w:ascii="Times New Roman;serif" w:hAnsi="Times New Roman;serif"/>
          <w:b w:val="false"/>
          <w:sz w:val="20"/>
          <w:u w:val="single"/>
        </w:rPr>
        <w:t>Section 2.11(a)(ii)(D)</w:t>
      </w:r>
      <w:r>
        <w:rPr>
          <w:rFonts w:ascii="Times New Roman;serif" w:hAnsi="Times New Roman;serif"/>
          <w:b w:val="false"/>
          <w:sz w:val="20"/>
        </w:rPr>
        <w:t>). If the Borrower elects to accept any Acceptable Discount, then the Borrower agree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Term Lender, a “</w:t>
      </w:r>
      <w:r>
        <w:rPr>
          <w:rFonts w:ascii="Times New Roman;serif" w:hAnsi="Times New Roman;serif"/>
          <w:b w:val="false"/>
          <w:sz w:val="20"/>
          <w:u w:val="single"/>
        </w:rPr>
        <w:t>Qualifying Lender</w:t>
      </w:r>
      <w:r>
        <w:rPr/>
        <w:t>”</w:t>
      </w:r>
      <w:r>
        <w:rPr>
          <w:rFonts w:ascii="Times New Roman;serif" w:hAnsi="Times New Roman;serif"/>
          <w:b w:val="false"/>
          <w:sz w:val="20"/>
        </w:rPr>
        <w:t xml:space="preserve">). The Borrower will prepay outstanding Term Loans pursuant to this subsection (D) to each Qualifying Lender in the aggregate principal amount and of the Classes specified in such Term Lender’s Solicited Discounted Prepayment Offer at the Acceptable Discount; </w:t>
      </w:r>
      <w:r>
        <w:rPr>
          <w:rFonts w:ascii="Times New Roman;serif" w:hAnsi="Times New Roman;serif"/>
          <w:b w:val="false"/>
          <w:sz w:val="20"/>
          <w:u w:val="single"/>
        </w:rPr>
        <w:t>provided</w:t>
      </w:r>
      <w:r>
        <w:rPr/>
        <w:t xml:space="preserve"> </w:t>
      </w:r>
      <w:r>
        <w:rPr>
          <w:rFonts w:ascii="Times New Roman;serif" w:hAnsi="Times New Roman;serif"/>
          <w:b w:val="false"/>
          <w:sz w:val="20"/>
        </w:rPr>
        <w:t>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serif" w:hAnsi="Times New Roman;serif"/>
          <w:b w:val="false"/>
          <w:sz w:val="20"/>
          <w:u w:val="single"/>
        </w:rPr>
        <w:t>Identified Qualifying Lenders</w:t>
      </w:r>
      <w:r>
        <w:rPr/>
        <w:t>”</w:t>
      </w:r>
      <w:r>
        <w:rPr>
          <w:rFonts w:ascii="Times New Roman;serif" w:hAnsi="Times New Roman;serif"/>
          <w:b w:val="false"/>
          <w:sz w:val="20"/>
        </w:rPr>
        <w:t>) shall be made pro 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Times New Roman;serif" w:hAnsi="Times New Roman;serif"/>
          <w:b w:val="false"/>
          <w:sz w:val="20"/>
          <w:u w:val="single"/>
        </w:rPr>
        <w:t>Solicited Discount Proration</w:t>
      </w:r>
      <w:r>
        <w:rPr/>
        <w:t>”</w:t>
      </w:r>
      <w:r>
        <w:rPr>
          <w:rFonts w:ascii="Times New Roman;serif" w:hAnsi="Times New Roman;serif"/>
          <w:b w:val="false"/>
          <w:sz w:val="20"/>
        </w:rPr>
        <w:t>). On or prior to the Discounted Prepayment Determination Date, the Auction Agent shall promptly notify (I) the Borrower of the Discounted Prepayment Effective Date and Acceptable Prepayment Amount comprising the Discounted Term Loan Prepayment and the Classes to be prepaid, (II) each Term Lender of the Discounted Prepayment Effective Date, the Acceptable Discount, and the Acceptable Prepayment Amount of all Term Loans and the Classes to be prepaid to be prepaid at the Applicable Discount on such date, (III) each Qualifying Lender of the aggregate principal amount and the Classes of such Term Lender to be prepaid at the Acceptable Discount on such date, and (IV) if applicable, each Identified Qualifying Lender of the Solicited Discount Proration. Each determination by the Auction Agent of the amounts stated in the foregoing notices to the Borrower and Term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connection with any Discounted Term Loan Prepayment, the Borrower and the Term Lenders acknowledge and agree that the Auction Agent may require as a condition to any Discounted Term Loan Prepayment, the payment of customary fees and expenses from the Borrower in connection therewith.</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pPr>
      <w:r>
        <w:rPr>
          <w:rFonts w:ascii="Times New Roman;serif" w:hAnsi="Times New Roman;serif"/>
          <w:b w:val="false"/>
          <w:sz w:val="20"/>
        </w:rPr>
        <w:t xml:space="preserve">If any Term Loan is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Class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serif" w:hAnsi="Times New Roman;serif"/>
          <w:b w:val="false"/>
          <w:sz w:val="20"/>
          <w:u w:val="single"/>
        </w:rPr>
        <w:t>Section 2.11(a)(ii)</w:t>
      </w:r>
      <w:r>
        <w:rPr/>
        <w:t xml:space="preserve"> </w:t>
      </w:r>
      <w:r>
        <w:rPr>
          <w:rFonts w:ascii="Times New Roman;serif" w:hAnsi="Times New Roman;serif"/>
          <w:b w:val="false"/>
          <w:sz w:val="20"/>
        </w:rPr>
        <w:t>shall be paid to the Discount Prepayment Accepting Lenders, Participating Lenders, or Qualifying Lenders, as applicable. The aggregate principal amount of the Classes and installments of the relevant Term Loans outstanding shall be deemed reduced by the full par value of the aggregate principal amount of the Classes of Term Loans prepaid on the Discounted Prepayment Effective Date in any Discounted Term Loan Prepayment.</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0"/>
        <w:jc w:val="both"/>
        <w:rPr/>
      </w:pPr>
      <w:r>
        <w:rPr>
          <w:rFonts w:ascii="Times New Roman;serif" w:hAnsi="Times New Roman;serif"/>
          <w:b w:val="false"/>
          <w:sz w:val="20"/>
        </w:rPr>
        <w:t xml:space="preserve">To the extent not expressly provided for herein, each Discounted Term Loan Prepayment shall be consummated pursuant to procedures consistent, with the provisions in this </w:t>
      </w:r>
      <w:r>
        <w:rPr>
          <w:rFonts w:ascii="Times New Roman;serif" w:hAnsi="Times New Roman;serif"/>
          <w:b w:val="false"/>
          <w:sz w:val="20"/>
          <w:u w:val="single"/>
        </w:rPr>
        <w:t>Section 2.11(a)(ii)</w:t>
      </w:r>
      <w:r>
        <w:rPr>
          <w:rFonts w:ascii="Times New Roman;serif" w:hAnsi="Times New Roman;serif"/>
          <w:b w:val="false"/>
          <w:sz w:val="20"/>
        </w:rPr>
        <w:t>, established by the Auction Agent acting in its reasonable discretion and as reasonably agreed by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pPr>
      <w:r>
        <w:rPr>
          <w:rFonts w:ascii="Times New Roman;serif" w:hAnsi="Times New Roman;serif"/>
          <w:b w:val="false"/>
          <w:sz w:val="20"/>
        </w:rPr>
        <w:t xml:space="preserve">Notwithstanding anything in any Loan Document to the contrary, for purposes of this </w:t>
      </w:r>
      <w:r>
        <w:rPr>
          <w:rFonts w:ascii="Times New Roman;serif" w:hAnsi="Times New Roman;serif"/>
          <w:b w:val="false"/>
          <w:sz w:val="20"/>
          <w:u w:val="single"/>
        </w:rPr>
        <w:t>Section 2.11(a)(ii)</w:t>
      </w:r>
      <w:r>
        <w:rPr>
          <w:rFonts w:ascii="Times New Roman;serif" w:hAnsi="Times New Roman;serif"/>
          <w:b w:val="false"/>
          <w:sz w:val="20"/>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notice or communication actually received outside of normal business hours shall be deemed to have been given as of the opening of business on the next Business Day.</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 xml:space="preserve">The Borrower and each of the Term Lenders acknowledges and agrees that the Auction Agent may perform any and all of its duties under this </w:t>
      </w:r>
      <w:r>
        <w:rPr>
          <w:rFonts w:ascii="Times New Roman;serif" w:hAnsi="Times New Roman;serif"/>
          <w:b w:val="false"/>
          <w:sz w:val="20"/>
          <w:u w:val="single"/>
        </w:rPr>
        <w:t>Section 2.11(a)(ii)</w:t>
      </w:r>
      <w:r>
        <w:rPr/>
        <w:t xml:space="preserve"> </w:t>
      </w:r>
      <w:r>
        <w:rPr>
          <w:rFonts w:ascii="Times New Roman;serif" w:hAnsi="Times New Roman;serif"/>
          <w:b w:val="false"/>
          <w:sz w:val="20"/>
        </w:rPr>
        <w:t xml:space="preserve">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serif" w:hAnsi="Times New Roman;serif"/>
          <w:b w:val="false"/>
          <w:sz w:val="20"/>
          <w:u w:val="single"/>
        </w:rPr>
        <w:t>Section 2.11(a)(ii)</w:t>
      </w:r>
      <w:r>
        <w:rPr/>
        <w:t xml:space="preserve"> </w:t>
      </w:r>
      <w:r>
        <w:rPr>
          <w:rFonts w:ascii="Times New Roman;serif" w:hAnsi="Times New Roman;serif"/>
          <w:b w:val="false"/>
          <w:sz w:val="20"/>
        </w:rPr>
        <w:t>as well as activities of the Auction Agent.</w:t>
      </w:r>
    </w:p>
    <w:p>
      <w:pPr>
        <w:pStyle w:val="TextBody"/>
        <w:bidi w:val="0"/>
        <w:spacing w:before="200" w:after="0"/>
        <w:jc w:val="both"/>
        <w:rPr>
          <w:rFonts w:ascii="Times New Roman" w:hAnsi="Times New Roman"/>
          <w:b w:val="false"/>
          <w:sz w:val="20"/>
        </w:rPr>
      </w:pPr>
      <w:r>
        <w:rPr>
          <w:rFonts w:ascii="Times New Roman" w:hAnsi="Times New Roman"/>
          <w:b w:val="false"/>
          <w:sz w:val="20"/>
        </w:rPr>
        <w:t>(J)</w:t>
      </w:r>
    </w:p>
    <w:p>
      <w:pPr>
        <w:pStyle w:val="TextBody"/>
        <w:bidi w:val="0"/>
        <w:spacing w:before="200" w:after="283"/>
        <w:jc w:val="both"/>
        <w:rPr/>
      </w:pPr>
      <w:r>
        <w:rPr>
          <w:rFonts w:ascii="Times New Roman;serif" w:hAnsi="Times New Roman;serif"/>
          <w:b w:val="false"/>
          <w:sz w:val="20"/>
        </w:rPr>
        <w:t xml:space="preserve">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this subclause (J), any failure by the Borrower to make any prepayment to a Term Lender, as applicable, pursuant to this </w:t>
      </w:r>
      <w:r>
        <w:rPr>
          <w:rFonts w:ascii="Times New Roman;serif" w:hAnsi="Times New Roman;serif"/>
          <w:b w:val="false"/>
          <w:sz w:val="20"/>
          <w:u w:val="single"/>
        </w:rPr>
        <w:t>Section 2.11(a)(ii)</w:t>
      </w:r>
      <w:r>
        <w:rPr/>
        <w:t xml:space="preserve"> </w:t>
      </w:r>
      <w:r>
        <w:rPr>
          <w:rFonts w:ascii="Times New Roman;serif" w:hAnsi="Times New Roman;serif"/>
          <w:b w:val="false"/>
          <w:sz w:val="20"/>
        </w:rPr>
        <w:t xml:space="preserve">shall not constitute a Default or Event of Default under </w:t>
      </w:r>
      <w:r>
        <w:rPr>
          <w:rFonts w:ascii="Times New Roman;serif" w:hAnsi="Times New Roman;serif"/>
          <w:b w:val="false"/>
          <w:sz w:val="20"/>
          <w:u w:val="single"/>
        </w:rPr>
        <w:t>Section 7.01</w:t>
      </w:r>
      <w:r>
        <w:rPr/>
        <w:t xml:space="preserve"> </w:t>
      </w:r>
      <w:r>
        <w:rPr>
          <w:rFonts w:ascii="Times New Roman;serif" w:hAnsi="Times New Roman;serif"/>
          <w:b w:val="false"/>
          <w:sz w:val="20"/>
        </w:rPr>
        <w:t>or otherwise).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anything to contrary, the provisions of this </w:t>
      </w:r>
      <w:r>
        <w:rPr>
          <w:rFonts w:ascii="Times New Roman;serif" w:hAnsi="Times New Roman;serif"/>
          <w:b w:val="false"/>
          <w:sz w:val="20"/>
          <w:u w:val="single"/>
        </w:rPr>
        <w:t>Section 2.11(a)(ii)</w:t>
      </w:r>
      <w:r>
        <w:rPr>
          <w:rFonts w:ascii="Times New Roman" w:hAnsi="Times New Roman"/>
          <w:sz w:val="20"/>
        </w:rPr>
        <w:t xml:space="preserve"> </w:t>
      </w:r>
      <w:r>
        <w:rPr>
          <w:rFonts w:ascii="Times New Roman;serif" w:hAnsi="Times New Roman;serif"/>
          <w:b w:val="false"/>
          <w:sz w:val="20"/>
        </w:rPr>
        <w:t>shall permit any transaction permitted by such section to be conducted on a Class by Class basis and on a non-pro rata basis across Classes (but not within a single Class), in each case, as selected by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In the event and on each occasion that the aggregate Revolving Exposures exceed the aggregate Revolving Commitments, the Borrower shall prepay Revolving Loan Borrowings (or, if no such Borrowings are outstanding, deposit Cash Collateral in an account with the Administrative Agent pursuant to </w:t>
      </w:r>
      <w:r>
        <w:rPr>
          <w:rFonts w:ascii="Times New Roman;serif" w:hAnsi="Times New Roman;serif"/>
          <w:b w:val="false"/>
          <w:sz w:val="20"/>
          <w:u w:val="single"/>
        </w:rPr>
        <w:t>Section 2.05(j)</w:t>
      </w:r>
      <w:r>
        <w:rPr>
          <w:rFonts w:ascii="Times New Roman;serif" w:hAnsi="Times New Roman;serif"/>
          <w:b w:val="false"/>
          <w:sz w:val="20"/>
        </w:rPr>
        <w:t>) in an aggregate amount necessary to eliminate such excess.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In the event and on each occasion that any Net Proceeds are received by or on behalf of Holdings, the Borrower or any of its Restricted Subsidiaries in respect of any Prepayment Event, the Borrower shall, within ten Business Days after such Net Proceeds are received (or, in the case of a Prepayment Event described in clause (b) of the definition of the term “Prepayment Event,” on the date of such Prepayment Event), prepay Term Loan Borrowings in an aggregate amount equal to the Disposition/Debt Percentage of the amount of such Net Proceeds;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in the case of any event described in clause (a) of the definition of the term “Prepayment Event” in reliance on clause (I) of the first proviso to </w:t>
      </w:r>
      <w:r>
        <w:rPr>
          <w:rFonts w:ascii="Times New Roman;serif" w:hAnsi="Times New Roman;serif"/>
          <w:b w:val="false"/>
          <w:sz w:val="20"/>
          <w:u w:val="single"/>
        </w:rPr>
        <w:t>Section 6.05(k)</w:t>
      </w:r>
      <w:r>
        <w:rPr>
          <w:rFonts w:ascii="Times New Roman;serif" w:hAnsi="Times New Roman;serif"/>
          <w:b w:val="false"/>
          <w:sz w:val="20"/>
        </w:rPr>
        <w:t xml:space="preserve">, if Holdings, the Borrower and the Restricted Subsidiaries invest (or commit to invest) the Net Proceeds from such event (or a portion thereof) within 450 days after receipt of such Net Proceeds in the business of Holdings and its Subsidiaries (including any acquisitions or other Investment permitted under </w:t>
      </w:r>
      <w:r>
        <w:rPr>
          <w:rFonts w:ascii="Times New Roman;serif" w:hAnsi="Times New Roman;serif"/>
          <w:b w:val="false"/>
          <w:sz w:val="20"/>
          <w:u w:val="single"/>
        </w:rPr>
        <w:t>Section 6.04</w:t>
      </w:r>
      <w:r>
        <w:rPr>
          <w:rFonts w:ascii="Times New Roman;serif" w:hAnsi="Times New Roman;serif"/>
          <w:b w:val="false"/>
          <w:sz w:val="20"/>
        </w:rPr>
        <w:t xml:space="preserve">),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450 day period (or if committed to be so invested within such 450 day period, have not been so invested within 630 days after receipt thereof), at which time a prepayment shall be required in an amount equal to such Net Proceeds that have not been so invested (or committed to be invested);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the Borrower may use a portion of such Net Proceeds to prepay or repurchase any other Indebtedness that is secured by a Lien on the Collateral that ranks equal in priority (but without regard to the control of remedies) with the Lien on the Collateral securing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Following the end of each fiscal year of the Borrower, commencing with the fiscal year ending December 31, 2021, the Borrower shall prepay Term Loan Borrowings in an aggregate amount equal to the ECF Percentage of Excess Cash Flow for such fiscal year;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at the Borrower’s option, such amount shall be reduced by the sum of (i) the aggregate amount of prepayments of (x) Term Loans (and, to the extent the Revolving Commitments are reduced in a corresponding amount pursuant to </w:t>
      </w:r>
      <w:r>
        <w:rPr>
          <w:rFonts w:ascii="Times New Roman;serif" w:hAnsi="Times New Roman;serif"/>
          <w:b w:val="false"/>
          <w:sz w:val="20"/>
          <w:u w:val="single"/>
        </w:rPr>
        <w:t>Section 2.08</w:t>
      </w:r>
      <w:r>
        <w:rPr>
          <w:rFonts w:ascii="Times New Roman;serif" w:hAnsi="Times New Roman;serif"/>
          <w:b w:val="false"/>
          <w:sz w:val="20"/>
        </w:rPr>
        <w:t xml:space="preserve">, Revolving Loans) made pursuant to </w:t>
      </w:r>
      <w:r>
        <w:rPr>
          <w:rFonts w:ascii="Times New Roman;serif" w:hAnsi="Times New Roman;serif"/>
          <w:b w:val="false"/>
          <w:sz w:val="20"/>
          <w:u w:val="single"/>
        </w:rPr>
        <w:t>Section 2.11(a)</w:t>
      </w:r>
      <w:r>
        <w:rPr/>
        <w:t xml:space="preserve"> </w:t>
      </w:r>
      <w:r>
        <w:rPr>
          <w:rFonts w:ascii="Times New Roman;serif" w:hAnsi="Times New Roman;serif"/>
          <w:b w:val="false"/>
          <w:sz w:val="20"/>
        </w:rPr>
        <w:t>or Section 2.11(a) of the Second Lien Credit Agreement during such fiscal year or after such fiscal year and prior to the time such prepayment is due as provided below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reduction as a result of prepayments pursuant to </w:t>
      </w:r>
      <w:r>
        <w:rPr>
          <w:rFonts w:ascii="Times New Roman;serif" w:hAnsi="Times New Roman;serif"/>
          <w:b w:val="false"/>
          <w:sz w:val="20"/>
          <w:u w:val="single"/>
        </w:rPr>
        <w:t>Section 2.11(a)(ii)</w:t>
      </w:r>
      <w:r>
        <w:rPr/>
        <w:t xml:space="preserve"> </w:t>
      </w:r>
      <w:r>
        <w:rPr>
          <w:rFonts w:ascii="Times New Roman;serif" w:hAnsi="Times New Roman;serif"/>
          <w:b w:val="false"/>
          <w:sz w:val="20"/>
        </w:rPr>
        <w:t>or Section 2.11(a)(ii) of the Second Lien Credit Agreement shall be limited to the actual amount of such cash prepayment)) and (y) other Consolidated First Lien Debt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in the case of the prepayment of any revolving commitments, there is a corresponding reduction in commitments), excluding, in each case, all such prepayments funded with the proceeds of other long-term Indebtedness or the issuance of Equity Interests and (ii) ECF Deductions and (B) no prepayment shall be required under this </w:t>
      </w:r>
      <w:r>
        <w:rPr>
          <w:rFonts w:ascii="Times New Roman;serif" w:hAnsi="Times New Roman;serif"/>
          <w:b w:val="false"/>
          <w:sz w:val="20"/>
          <w:u w:val="single"/>
        </w:rPr>
        <w:t>Section 2.11(d)</w:t>
      </w:r>
      <w:r>
        <w:rPr/>
        <w:t xml:space="preserve"> </w:t>
      </w:r>
      <w:r>
        <w:rPr>
          <w:rFonts w:ascii="Times New Roman;serif" w:hAnsi="Times New Roman;serif"/>
          <w:b w:val="false"/>
          <w:sz w:val="20"/>
        </w:rPr>
        <w:t xml:space="preserve">unless the amount thereof (after giving effect to the foregoing clause (A)) would equal or exceed $15,000,000. Each prepayment pursuant to this paragraph shall be made on or before the date that is ten Business Days after the date on which financial statements are required to be delivered pursuant to </w:t>
      </w:r>
      <w:r>
        <w:rPr>
          <w:rFonts w:ascii="Times New Roman;serif" w:hAnsi="Times New Roman;serif"/>
          <w:b w:val="false"/>
          <w:sz w:val="20"/>
          <w:u w:val="single"/>
        </w:rPr>
        <w:t>Section 5.01</w:t>
      </w:r>
      <w:r>
        <w:rPr/>
        <w:t xml:space="preserve"> </w:t>
      </w:r>
      <w:r>
        <w:rPr>
          <w:rFonts w:ascii="Times New Roman;serif" w:hAnsi="Times New Roman;serif"/>
          <w:b w:val="false"/>
          <w:sz w:val="20"/>
        </w:rPr>
        <w:t>with respect to the fiscal year for which Excess Cash Flow is being calculated.</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pPr>
      <w:r>
        <w:rPr>
          <w:rFonts w:ascii="Times New Roman;serif" w:hAnsi="Times New Roman;serif"/>
          <w:b w:val="false"/>
          <w:sz w:val="20"/>
        </w:rPr>
        <w:t xml:space="preserve">Prior to any optional or mandatory prepayment of Borrowings hereunder, the Borrower shall select the Borrowing or Borrowings to be prepaid and shall specify such selection in the notice of such prepayment pursuant to paragraph (f) of this Section (including in the event of any mandatory prepayment of Term Loan Borrowings made at a time when Term Loan Borrowings of more than one Class remain outstanding);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Term Lender (and, to the extent provided in the Refinancing Amendment or Loan Modification Offer for any Borrowing of Other Term Loans, any Lender that holds Other Term Loans of such Borrowing) may elect, by notice to the Administrative Agent by telephone (confirmed by hand delivery, facsimile or other electronic transmission) at least one Business Day prior to the prepayment date, to decline all or any portion of any prepayment of its Term Loans or Other Term Loans of any such Borrowing pursuant to this Section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Borrowing but was so declined shall be retained by Holdings, the Borrower and the Restricted Subsidiaries (such amounts, “</w:t>
      </w:r>
      <w:r>
        <w:rPr>
          <w:rFonts w:ascii="Times New Roman;serif" w:hAnsi="Times New Roman;serif"/>
          <w:b w:val="false"/>
          <w:sz w:val="20"/>
          <w:u w:val="single"/>
        </w:rPr>
        <w:t>Retained Declined Proceeds</w:t>
      </w:r>
      <w:r>
        <w:rPr/>
        <w:t>”</w:t>
      </w:r>
      <w:r>
        <w:rPr>
          <w:rFonts w:ascii="Times New Roman;serif" w:hAnsi="Times New Roman;serif"/>
          <w:b w:val="false"/>
          <w:sz w:val="20"/>
        </w:rPr>
        <w:t xml:space="preserve">). An amount equal to Retained Declined Proceeds may, to the extent permitted hereunder, be applied by the Borrower to prepay the loans under Second Lien Credit Agreement to the extent then outstanding and/or (at the Borrower’s election) Permitted Second Priority Refinancing Debt. Optional and mandatory prepayments of Term Loan Borrowings shall be allocated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among the Classes of Term Loan Borrowings as directed by the Borrower. In the absence of a designation by the Borrower as described in the preceding provisions of this paragraph of the Type of Borrowing of any Class, the Administrative Agent shall make such designation in its reasonable discretion with a view, but no obligation, to minimize breakage costs owing under </w:t>
      </w:r>
      <w:r>
        <w:rPr>
          <w:rFonts w:ascii="Times New Roman;serif" w:hAnsi="Times New Roman;serif"/>
          <w:b w:val="false"/>
          <w:sz w:val="20"/>
          <w:u w:val="single"/>
        </w:rPr>
        <w:t>Section</w:t>
      </w:r>
      <w:r>
        <w:rPr/>
        <w:t xml:space="preserve"> </w:t>
      </w:r>
      <w:r>
        <w:rPr>
          <w:rFonts w:ascii="Times New Roman;serif" w:hAnsi="Times New Roman;serif"/>
          <w:b w:val="false"/>
          <w:strike/>
          <w:sz w:val="20"/>
          <w:u w:val="single"/>
        </w:rPr>
        <w:t>2.16</w:t>
      </w:r>
      <w:r>
        <w:rPr>
          <w:rFonts w:ascii="Times New Roman;serif" w:hAnsi="Times New Roman;serif"/>
          <w:b w:val="false"/>
          <w:strike/>
          <w:sz w:val="20"/>
        </w:rPr>
        <w:t>.</w:t>
      </w:r>
      <w:r>
        <w:rPr/>
        <w:t xml:space="preserve"> </w:t>
      </w:r>
      <w:r>
        <w:rPr>
          <w:rFonts w:ascii="Times New Roman;serif" w:hAnsi="Times New Roman;serif"/>
          <w:b w:val="false"/>
          <w:sz w:val="20"/>
          <w:u w:val="single"/>
        </w:rPr>
        <w:t>2.16.</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pPr>
      <w:r>
        <w:rPr>
          <w:rFonts w:ascii="Times New Roman;serif" w:hAnsi="Times New Roman;serif"/>
          <w:b w:val="false"/>
          <w:sz w:val="20"/>
        </w:rPr>
        <w:t xml:space="preserve">The Borrower shall notify the Administrative Agent of any prepayment hereunder by telephone or delivering a Notice of Loan Prepayment;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unless otherwise agreed by the Administrative Agent, such notice must be received (i) in the case of prepayment of a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Borrowing, not later than 11:00 a.m., New York City time, three Business Days before the date of prepayment or (ii) in the case of prepayment of an ABR Borrowing, not later than 11:00 a.m., New York City time, one Business Day before the date of prepayment;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each telephonic notice shall be confirmed promptly by hand delivery, facsimile or other electronic transmission to the Administrative Agent of a written Notice of Loan Prepayment signed by a Responsible Officer of the Borrower.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serif" w:hAnsi="Times New Roman;serif"/>
          <w:b w:val="false"/>
          <w:sz w:val="20"/>
          <w:u w:val="single"/>
        </w:rPr>
        <w:t>Section 2.02</w:t>
      </w:r>
      <w:r>
        <w:rPr>
          <w:rFonts w:ascii="Times New Roman;serif" w:hAnsi="Times New Roman;serif"/>
          <w:b w:val="false"/>
          <w:sz w:val="2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serif" w:hAnsi="Times New Roman;serif"/>
          <w:b w:val="false"/>
          <w:sz w:val="20"/>
          <w:u w:val="single"/>
        </w:rPr>
        <w:t>Section 2.13</w:t>
      </w:r>
      <w:r>
        <w:rPr>
          <w:rFonts w:ascii="Times New Roman;serif" w:hAnsi="Times New Roman;serif"/>
          <w:b w:val="false"/>
          <w:sz w:val="20"/>
        </w:rPr>
        <w:t xml:space="preserve">. At the Borrower’s election in connection with any prepayment pursuant to this </w:t>
      </w:r>
      <w:r>
        <w:rPr>
          <w:rFonts w:ascii="Times New Roman;serif" w:hAnsi="Times New Roman;serif"/>
          <w:b w:val="false"/>
          <w:sz w:val="20"/>
          <w:u w:val="single"/>
        </w:rPr>
        <w:t>Section 2.11</w:t>
      </w:r>
      <w:r>
        <w:rPr>
          <w:rFonts w:ascii="Times New Roman;serif" w:hAnsi="Times New Roman;serif"/>
          <w:b w:val="false"/>
          <w:sz w:val="20"/>
        </w:rPr>
        <w:t>, such prepayment shall not be applied to any Term Loan or Revolving Loan of a Defaulting Lender and shall be allocated ratably among the relevant non-Defaulting Lenders.</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283"/>
        <w:jc w:val="both"/>
        <w:rPr/>
      </w:pPr>
      <w:r>
        <w:rPr>
          <w:rFonts w:ascii="Times New Roman;serif" w:hAnsi="Times New Roman;serif"/>
          <w:b w:val="false"/>
          <w:sz w:val="20"/>
        </w:rPr>
        <w:t xml:space="preserve">Notwithstanding any other provisions of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(d)</w:t>
      </w:r>
      <w:r>
        <w:rPr>
          <w:rFonts w:ascii="Times New Roman;serif" w:hAnsi="Times New Roman;serif"/>
          <w:b w:val="false"/>
          <w:sz w:val="20"/>
        </w:rPr>
        <w:t xml:space="preserve">, (A) to the extent that any of or all the Net Proceeds of any Prepayment Event set forth in clause (a) of the definition thereof by a Foreign Subsidiary giving rise to a prepayment pursuant to </w:t>
      </w:r>
      <w:r>
        <w:rPr>
          <w:rFonts w:ascii="Times New Roman;serif" w:hAnsi="Times New Roman;serif"/>
          <w:b w:val="false"/>
          <w:sz w:val="20"/>
          <w:u w:val="single"/>
        </w:rPr>
        <w:t>Section 2.11(c)</w:t>
      </w:r>
      <w:r>
        <w:rPr/>
        <w:t xml:space="preserve"> </w:t>
      </w:r>
      <w:r>
        <w:rPr>
          <w:rFonts w:ascii="Times New Roman;serif" w:hAnsi="Times New Roman;serif"/>
          <w:b w:val="false"/>
          <w:sz w:val="20"/>
        </w:rPr>
        <w:t>(a “</w:t>
      </w:r>
      <w:r>
        <w:rPr>
          <w:rFonts w:ascii="Times New Roman;serif" w:hAnsi="Times New Roman;serif"/>
          <w:b w:val="false"/>
          <w:sz w:val="20"/>
          <w:u w:val="single"/>
        </w:rPr>
        <w:t>Foreign Prepayment Event</w:t>
      </w:r>
      <w:r>
        <w:rPr/>
        <w:t>”</w:t>
      </w:r>
      <w:r>
        <w:rPr>
          <w:rFonts w:ascii="Times New Roman;serif" w:hAnsi="Times New Roman;serif"/>
          <w:b w:val="false"/>
          <w:sz w:val="20"/>
        </w:rPr>
        <w:t xml:space="preserve">) or Excess Cash Flow giving rise to a prepayment pursuant to </w:t>
      </w:r>
      <w:r>
        <w:rPr>
          <w:rFonts w:ascii="Times New Roman;serif" w:hAnsi="Times New Roman;serif"/>
          <w:b w:val="false"/>
          <w:sz w:val="20"/>
          <w:u w:val="single"/>
        </w:rPr>
        <w:t>Section 2.11(d)</w:t>
      </w:r>
      <w:r>
        <w:rPr/>
        <w:t xml:space="preserve"> </w:t>
      </w:r>
      <w:r>
        <w:rPr>
          <w:rFonts w:ascii="Times New Roman;serif" w:hAnsi="Times New Roman;serif"/>
          <w:b w:val="false"/>
          <w:sz w:val="20"/>
        </w:rPr>
        <w:t xml:space="preserve">are prohibited or delayed by any Requirement of Law from being repatriated to the Borrower, the portion of such Net Proceeds or Excess Cash Flow so affected will not be required to be applied to repay Term Loans at the times provided in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(d)</w:t>
      </w:r>
      <w:r>
        <w:rPr>
          <w:rFonts w:ascii="Times New Roman;serif" w:hAnsi="Times New Roman;serif"/>
          <w:b w:val="false"/>
          <w:sz w:val="20"/>
        </w:rPr>
        <w:t xml:space="preserve">, as the case may be, and such amounts may be retained by the applicable Foreign Subsidiary so long, but only so long, as the applicable Requirement of Law will not permit repatriation to the Borrower (the Borrower hereby agreeing to cause the applicable Foreign Subsidiary to promptly take all actions reasonably required by the applicable Requirement of Law to permit such repatriation), and once such repatriation of any of such affected Net Proceeds or Excess Cash Flow is permitted under the applicable Requirement of Law, such repatriation will be promptly effected and such repatriated Net Proceeds or Excess Cash Flow will be promptly (and in any event not later than three Business Days after such repatriation) applied (net of additional taxes payable or reserved against as a result thereof to the extent not taken into account by the definition of Net Proceeds or Excess Cash Flow, as applicable) to the repayment of the Term Loans pursuant to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(d)</w:t>
      </w:r>
      <w:r>
        <w:rPr>
          <w:rFonts w:ascii="Times New Roman;serif" w:hAnsi="Times New Roman;serif"/>
          <w:b w:val="false"/>
          <w:sz w:val="20"/>
        </w:rPr>
        <w:t xml:space="preserve">, as applicable, and (B) to the extent that and for so long as the Borrower has determined in good faith that repatriation of any of or all the Net Proceeds of any Foreign Prepayment Event or Excess Cash Flow would have a material adverse tax consequence (taking into account any foreign tax credit or benefit actually realized in connection with such repatriation) with respect to such Net Proceeds or Excess Cash Flow, the Net Proceeds or Excess Cash Flow so affected will not be required to be applied to repay Term Loans at the times provided in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(d)</w:t>
      </w:r>
      <w:r>
        <w:rPr>
          <w:rFonts w:ascii="Times New Roman;serif" w:hAnsi="Times New Roman;serif"/>
          <w:b w:val="false"/>
          <w:sz w:val="20"/>
        </w:rPr>
        <w:t xml:space="preserve">, as the case may be, and such amounts may be retained by the applicable Foreign Subsidiary;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when the Borrower determines in good faith that repatriation of any of or all the Net Proceeds of any Foreign Prepayment Event or Excess Cash Flow would no longer have a material adverse tax consequence (taking into account any foreign tax credit or benefit actually realized in connection with such repatriation) with respect to such Net Proceeds or Excess Cash Flow, such Net Proceeds or Excess Cash Flow shall be promptly (and in any event not later than three Business Days after such repatriation) applied (net of additional taxes payable or reserved against as a result thereof to the extent not taken into account by the definition of Net Proceeds or Excess Cash Flow, as applicable) to the repayment of the Term Loans pursuant to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(d)</w:t>
      </w:r>
      <w:r>
        <w:rPr>
          <w:rFonts w:ascii="Times New Roman;serif" w:hAnsi="Times New Roman;serif"/>
          <w:b w:val="false"/>
          <w:sz w:val="20"/>
        </w:rPr>
        <w:t>, as applicable.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283"/>
        <w:jc w:val="both"/>
        <w:rPr/>
      </w:pPr>
      <w:r>
        <w:rPr>
          <w:rFonts w:ascii="Times New Roman;serif" w:hAnsi="Times New Roman;serif"/>
          <w:b w:val="false"/>
          <w:sz w:val="20"/>
        </w:rPr>
        <w:t xml:space="preserve">Notwithstanding anything herein to the contrary, if, at the time that any prepayment would be required under </w:t>
      </w:r>
      <w:r>
        <w:rPr>
          <w:rFonts w:ascii="Times New Roman;serif" w:hAnsi="Times New Roman;serif"/>
          <w:b w:val="false"/>
          <w:sz w:val="20"/>
          <w:u w:val="single"/>
        </w:rPr>
        <w:t>Section 2.11(c)</w:t>
      </w:r>
      <w:r>
        <w:rPr/>
        <w:t xml:space="preserve"> </w:t>
      </w:r>
      <w:r>
        <w:rPr>
          <w:rFonts w:ascii="Times New Roman;serif" w:hAnsi="Times New Roman;serif"/>
          <w:b w:val="false"/>
          <w:sz w:val="20"/>
        </w:rPr>
        <w:t xml:space="preserve">(solely with respect to an Asset Sale Prepayment Event) or </w:t>
      </w:r>
      <w:r>
        <w:rPr>
          <w:rFonts w:ascii="Times New Roman;serif" w:hAnsi="Times New Roman;serif"/>
          <w:b w:val="false"/>
          <w:sz w:val="20"/>
          <w:u w:val="single"/>
        </w:rPr>
        <w:t>(d)</w:t>
      </w:r>
      <w:r>
        <w:rPr>
          <w:rFonts w:ascii="Times New Roman;serif" w:hAnsi="Times New Roman;serif"/>
          <w:b w:val="false"/>
          <w:sz w:val="20"/>
        </w:rPr>
        <w:t>, the Borrower or any Restricted Subsidiary is required to repay or repurchase any other Indebtedness (or offer to repay or repurchase such Indebtedness) that is secured by a Lien on the Collateral ranking equal in priority (but without regard to the control of remedies) to the Lien on the Collateral securing the Secured Obligation pursuant to the terms of the documentation governing such Indebtedness with the proceeds of such Asset Sale Prepayment Event or such Excess Cash Flow (such Indebtedness required to be so repaid or repurchased (or offered to be repaid or repurchased), the “</w:t>
      </w:r>
      <w:r>
        <w:rPr>
          <w:rFonts w:ascii="Times New Roman;serif" w:hAnsi="Times New Roman;serif"/>
          <w:b w:val="false"/>
          <w:sz w:val="20"/>
          <w:u w:val="single"/>
        </w:rPr>
        <w:t>Other Applicable Indebtedness</w:t>
      </w:r>
      <w:r>
        <w:rPr/>
        <w:t>”</w:t>
      </w:r>
      <w:r>
        <w:rPr>
          <w:rFonts w:ascii="Times New Roman;serif" w:hAnsi="Times New Roman;serif"/>
          <w:b w:val="false"/>
          <w:sz w:val="20"/>
        </w:rPr>
        <w:t xml:space="preserve">), then the relevant Person may apply the proceeds of such Asset Sale Prepayment Event or such Excess Cash Flow on a pro rata (or less than pro rata) basis to the prepayment, repurchase or repayment of the Other Applicable Indebtedness (determined on the basis of the aggregate outstanding principal amount of the Other Applicable Indebtedness (or accreted amount if such Other Applicable Indebtedness is issued with original issue discount) at such time); it being understood that (1) the portion of the proceeds of such Asset Sale Prepayment Event or such Excess Cash Flow allocated to the Other Applicable Indebtedness shall not exceed the amount of the proceeds of such Asset Sale Prepayment Event or such Excess Cash Flow required to be allocated to the Other Applicable Indebtedness pursuant to the terms thereof (and the remaining amount, if any, of the proceeds of such Asset Sale Prepayment Event or such Excess Cash Flow shall be allocated in accordance with the terms hereof), and the amount of the prepayment, repurchase or repayment of the Other Applicable Indebtedness that would have otherwise been required pursuant to this </w:t>
      </w:r>
      <w:r>
        <w:rPr>
          <w:rFonts w:ascii="Times New Roman;serif" w:hAnsi="Times New Roman;serif"/>
          <w:b w:val="false"/>
          <w:sz w:val="20"/>
          <w:u w:val="single"/>
        </w:rPr>
        <w:t>Section 2.11</w:t>
      </w:r>
      <w:r>
        <w:rPr/>
        <w:t xml:space="preserve"> </w:t>
      </w:r>
      <w:r>
        <w:rPr>
          <w:rFonts w:ascii="Times New Roman;serif" w:hAnsi="Times New Roman;serif"/>
          <w:b w:val="false"/>
          <w:sz w:val="20"/>
        </w:rPr>
        <w:t xml:space="preserve">shall be reduced accordingly and (2) to the extent the holders of the Other Applicable Indebtedness decline to have such Indebtedness prepaid, repaid or repurchased, the declined amount shall promptly (and in any event within ten Business Days after the date of such rejection) be applied in accordance with the terms hereof (without giving effect to this </w:t>
      </w:r>
      <w:r>
        <w:rPr>
          <w:rFonts w:ascii="Times New Roman;serif" w:hAnsi="Times New Roman;serif"/>
          <w:b w:val="false"/>
          <w:sz w:val="20"/>
          <w:u w:val="single"/>
        </w:rPr>
        <w:t>Section 2.11(h)</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2.12 </w:t>
      </w:r>
      <w:r>
        <w:rPr>
          <w:rFonts w:ascii="Times New Roman;serif" w:hAnsi="Times New Roman;serif"/>
          <w:b w:val="false"/>
          <w:sz w:val="20"/>
          <w:u w:val="single"/>
        </w:rPr>
        <w:t>Fees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The Borrower agrees to pay to the Administrative Agent in dollars for the account of each Revolving Lender a commitment fee, which shall accrue at the rate of 0.50% per annum (or at any time following delivery of the consolidated financial statements pursuant to </w:t>
      </w:r>
      <w:r>
        <w:rPr>
          <w:rFonts w:ascii="Times New Roman;serif" w:hAnsi="Times New Roman;serif"/>
          <w:b w:val="false"/>
          <w:sz w:val="20"/>
          <w:u w:val="single"/>
        </w:rPr>
        <w:t>Section 5.01(a)</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5.01(b)</w:t>
      </w:r>
      <w:r>
        <w:rPr/>
        <w:t xml:space="preserve"> </w:t>
      </w:r>
      <w:r>
        <w:rPr>
          <w:rFonts w:ascii="Times New Roman;serif" w:hAnsi="Times New Roman;serif"/>
          <w:b w:val="false"/>
          <w:sz w:val="20"/>
        </w:rPr>
        <w:t>as of and for the fiscal quarter ended June 30, 2020, (i) 0.375% per annum if the First Lien Leverage Ratio is less than or equal to 4.25 to 1.00, but greater than 3.75 to 1.00 and (ii) 0.25% per annum if the First Lien Leverage Ratio is less than or equal to 3.75 to 1.00 on the actual daily unused amount of the Revolving Commitment of such Lender during the period from and including the Effective Date to but excluding the date on which the Revolving Commitments terminate. Beginning with March 31, 2020,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The Borrower agrees to pay to the Administrative Agent for the account of each Revolving Lender (other than any Defaulting Lender) a participation fee with respect to its participations in Letters of Credit, which shall accrue at the Applicable Rate, in each case, used to determine the interest rate applicable to </w:t>
      </w:r>
      <w:r>
        <w:rPr>
          <w:rFonts w:ascii="Times New Roman;serif" w:hAnsi="Times New Roman;serif"/>
          <w:b w:val="false"/>
          <w:strike/>
          <w:sz w:val="20"/>
        </w:rPr>
        <w:t>Eurocurrency</w:t>
      </w:r>
      <w:r>
        <w:rPr>
          <w:rFonts w:ascii="Times New Roman;serif" w:hAnsi="Times New Roman;serif"/>
          <w:b w:val="false"/>
          <w:sz w:val="20"/>
          <w:u w:val="single"/>
        </w:rPr>
        <w:t>Term</w:t>
      </w:r>
      <w:r>
        <w:rPr/>
        <w:t xml:space="preserve"> </w:t>
      </w:r>
      <w:r>
        <w:rPr>
          <w:rFonts w:ascii="Times New Roman;serif" w:hAnsi="Times New Roman;serif"/>
          <w:b w:val="false"/>
          <w:sz w:val="20"/>
          <w:u w:val="single"/>
        </w:rPr>
        <w:t>SOFR</w:t>
      </w:r>
      <w:r>
        <w:rPr/>
        <w:t xml:space="preserve"> </w:t>
      </w:r>
      <w:r>
        <w:rPr>
          <w:rFonts w:ascii="Times New Roman;serif" w:hAnsi="Times New Roman;serif"/>
          <w:b w:val="false"/>
          <w:sz w:val="20"/>
        </w:rPr>
        <w:t xml:space="preserve">Revolving Loans on the daily amount of such Revolving Lender’s LC Exposure (excluding any portion thereof attributable to unreimbursed LC Disbursements), during the period from and including the Effective Date to but excluding the later of the date on which such Revolving Lender’s Revolving Commitment terminates and the date on which such Revolving Lender ceases to have any LC Exposure. In addition, the Borrower agrees to pay to each Issuing Bank, for its own account, a fronting fee, in respect of each Letter of Credit issued by such Issuing Bank to the Borrower for the period from the date of issuance of such Letter of Credit through the expiration date of such Letter of Credit (or if terminated on an earlier date to the termination date of such Letter of Credit), computed at a rate equal to 0.125% per annum or such other percentage per annum to be agreed upon between the Borrower and such Issuing Bank of the daily outstanding amount of such Letter of Credit,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last Business Day of each such month, commencing on March 31, 2020; </w:t>
      </w:r>
      <w:r>
        <w:rPr>
          <w:rFonts w:ascii="Times New Roman;serif" w:hAnsi="Times New Roman;serif"/>
          <w:b w:val="false"/>
          <w:sz w:val="20"/>
          <w:u w:val="single"/>
        </w:rPr>
        <w:t>provided</w:t>
      </w:r>
      <w:r>
        <w:rPr/>
        <w:t xml:space="preserve"> </w:t>
      </w:r>
      <w:r>
        <w:rPr>
          <w:rFonts w:ascii="Times New Roman;serif" w:hAnsi="Times New Roman;serif"/>
          <w:b w:val="false"/>
          <w:sz w:val="20"/>
        </w:rPr>
        <w:t>that all such fees shall be payable on the date on which the Revolving Commitments terminate and any such fees accruing after the date on which the Revolving Commitments terminate shall be payable on demand until the expiration or cancellation of all outstanding Letters of Credit. All participation fees and fronting fees shall be computed on the basis of a year of 360 days and shall be payable for the actual number of days elapsed.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Fees paid hereunder shall not be refundable under any circumstances.</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Borrower agrees to pay to the Administrative Agent, for its own account, an agency fee payable in the amount and at the times separately agreed upon between the Borrower and the Administrative Agent.</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pPr>
      <w:r>
        <w:rPr>
          <w:rFonts w:ascii="Times New Roman;serif" w:hAnsi="Times New Roman;serif"/>
          <w:b w:val="false"/>
          <w:sz w:val="20"/>
        </w:rPr>
        <w:t xml:space="preserve">Notwithstanding the foregoing, and subject to </w:t>
      </w:r>
      <w:r>
        <w:rPr>
          <w:rFonts w:ascii="Times New Roman;serif" w:hAnsi="Times New Roman;serif"/>
          <w:b w:val="false"/>
          <w:sz w:val="20"/>
          <w:u w:val="single"/>
        </w:rPr>
        <w:t>Section 2.22</w:t>
      </w:r>
      <w:r>
        <w:rPr>
          <w:rFonts w:ascii="Times New Roman;serif" w:hAnsi="Times New Roman;serif"/>
          <w:b w:val="false"/>
          <w:sz w:val="20"/>
        </w:rPr>
        <w:t xml:space="preserve">, the Borrower shall not be obligated to pay any amounts to any Defaulting Lender pursuant to this </w:t>
      </w:r>
      <w:r>
        <w:rPr>
          <w:rFonts w:ascii="Times New Roman;serif" w:hAnsi="Times New Roman;serif"/>
          <w:b w:val="false"/>
          <w:sz w:val="20"/>
          <w:u w:val="single"/>
        </w:rPr>
        <w:t>Section 2.12</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amounts shall be payable to any non-Defaulting Lender which assumes the obligations of a Defaulting Lender pursuant to </w:t>
      </w:r>
      <w:r>
        <w:rPr>
          <w:rFonts w:ascii="Times New Roman;serif" w:hAnsi="Times New Roman;serif"/>
          <w:b w:val="false"/>
          <w:sz w:val="20"/>
          <w:u w:val="single"/>
        </w:rPr>
        <w:t>Section 2.22(a)(iv)</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2.13 </w:t>
      </w:r>
      <w:r>
        <w:rPr>
          <w:rFonts w:ascii="Times New Roman;serif" w:hAnsi="Times New Roman;serif"/>
          <w:b w:val="false"/>
          <w:sz w:val="20"/>
          <w:u w:val="single"/>
        </w:rPr>
        <w:t>Interest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Loans comprising each ABR Borrowing shall bear interest at the Alternate Base Rate plus the Applicable Rate.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The Loans comprising each</w:t>
      </w:r>
      <w:r>
        <w:rPr/>
        <w:t xml:space="preserv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Borrowing shall bear interest at</w:t>
      </w:r>
      <w:r>
        <w:rPr/>
        <w:t xml:space="preserve"> </w:t>
      </w:r>
      <w:r>
        <w:rPr>
          <w:rFonts w:ascii="Times New Roman;serif" w:hAnsi="Times New Roman;serif"/>
          <w:b w:val="false"/>
          <w:strike/>
          <w:sz w:val="20"/>
        </w:rPr>
        <w:t xml:space="preserve">the </w:t>
      </w:r>
      <w:r>
        <w:rPr>
          <w:rFonts w:ascii="Times New Roman;serif" w:hAnsi="Times New Roman;serif"/>
          <w:b w:val="false"/>
          <w:sz w:val="20"/>
        </w:rPr>
        <w:t xml:space="preserve">Adjusted </w:t>
      </w:r>
      <w:r>
        <w:rPr>
          <w:rFonts w:ascii="Times New Roman;serif" w:hAnsi="Times New Roman;serif"/>
          <w:b w:val="false"/>
          <w:strike/>
          <w:sz w:val="20"/>
        </w:rPr>
        <w:t>LIBO Rate</w:t>
      </w:r>
      <w:r>
        <w:rPr>
          <w:rFonts w:ascii="Times New Roman;serif" w:hAnsi="Times New Roman;serif"/>
          <w:b w:val="false"/>
          <w:sz w:val="20"/>
          <w:u w:val="single"/>
        </w:rPr>
        <w:t>Term SOFR</w:t>
      </w:r>
      <w:r>
        <w:rPr/>
        <w:t xml:space="preserve"> </w:t>
      </w:r>
      <w:r>
        <w:rPr>
          <w:rFonts w:ascii="Times New Roman;serif" w:hAnsi="Times New Roman;serif"/>
          <w:b w:val="false"/>
          <w:sz w:val="20"/>
        </w:rPr>
        <w:t>for the Interest Period in effect for such Borrowing plus the Applicable Rate.</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Notwithstanding the foregoing, if any principal of or interest on any Loan or any fee or other amount payable by the Borrower hereunder is not paid when due, whether at stated maturity, upon acceleration or otherwise, during the continuance of an Event of Default under </w:t>
      </w:r>
      <w:r>
        <w:rPr>
          <w:rFonts w:ascii="Times New Roman;serif" w:hAnsi="Times New Roman;serif"/>
          <w:b w:val="false"/>
          <w:sz w:val="20"/>
          <w:u w:val="single"/>
        </w:rPr>
        <w:t>clauses (a)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7.01</w:t>
      </w:r>
      <w:r>
        <w:rPr>
          <w:rFonts w:ascii="Times New Roman;serif" w:hAnsi="Times New Roman;serif"/>
          <w:b w:val="false"/>
          <w:sz w:val="20"/>
        </w:rPr>
        <w:t xml:space="preserve">, such overdue amount shall bear interest, after as well as before judgment, at a rate per annum equal to (i) in the case of overdue principal of any Loan, 2.00% per annum plus the rate otherwise applicable to such Loan as provided in the preceding paragraphs of this Section or (ii) in the case of any other amount (including overdue interest), 2.00% per annum plus the rate applicable to ABR Revolving Loans as provided in paragraph (a) of this Section;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amount shall be payable pursuant to this </w:t>
      </w:r>
      <w:r>
        <w:rPr>
          <w:rFonts w:ascii="Times New Roman;serif" w:hAnsi="Times New Roman;serif"/>
          <w:b w:val="false"/>
          <w:sz w:val="20"/>
          <w:u w:val="single"/>
        </w:rPr>
        <w:t>Section 2.13(c)</w:t>
      </w:r>
      <w:r>
        <w:rPr/>
        <w:t xml:space="preserve"> </w:t>
      </w:r>
      <w:r>
        <w:rPr>
          <w:rFonts w:ascii="Times New Roman;serif" w:hAnsi="Times New Roman;serif"/>
          <w:b w:val="false"/>
          <w:sz w:val="20"/>
        </w:rPr>
        <w:t xml:space="preserve">to a Defaulting Lender so long as such Lender shall be a Defaulting Lender;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no amounts shall accrue pursuant to this </w:t>
      </w:r>
      <w:r>
        <w:rPr>
          <w:rFonts w:ascii="Times New Roman;serif" w:hAnsi="Times New Roman;serif"/>
          <w:b w:val="false"/>
          <w:sz w:val="20"/>
          <w:u w:val="single"/>
        </w:rPr>
        <w:t>Section 2.13(c)</w:t>
      </w:r>
      <w:r>
        <w:rPr/>
        <w:t xml:space="preserve"> </w:t>
      </w:r>
      <w:r>
        <w:rPr>
          <w:rFonts w:ascii="Times New Roman;serif" w:hAnsi="Times New Roman;serif"/>
          <w:b w:val="false"/>
          <w:sz w:val="20"/>
        </w:rPr>
        <w:t xml:space="preserve">on any overdue amount, reimbursement obligation in respect of any LC Disbursement or other amount payable to a Defaulting Lender so long as such Lender shall be a Defaulting Lender; </w:t>
      </w:r>
      <w:r>
        <w:rPr>
          <w:rFonts w:ascii="Times New Roman;serif" w:hAnsi="Times New Roman;serif"/>
          <w:b w:val="false"/>
          <w:sz w:val="20"/>
          <w:u w:val="single"/>
        </w:rPr>
        <w:t>provided</w:t>
      </w:r>
      <w:r>
        <w:rPr>
          <w:rFonts w:ascii="Times New Roman;serif" w:hAnsi="Times New Roman;serif"/>
          <w:b w:val="false"/>
          <w:sz w:val="20"/>
        </w:rPr>
        <w:t xml:space="preserve">, further, that such amounts shall be payable to any non-Defaulting Lender which assumes the obligations of a Defaulting Lender pursuant to </w:t>
      </w:r>
      <w:r>
        <w:rPr>
          <w:rFonts w:ascii="Times New Roman;serif" w:hAnsi="Times New Roman;serif"/>
          <w:b w:val="false"/>
          <w:sz w:val="20"/>
          <w:u w:val="single"/>
        </w:rPr>
        <w:t>Section 2.22(a)(iv)</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Accrued interest on each Loan shall be payable in arrears on each Interest Payment Date for such Loan and, in the case of Revolving Loans, upon termination of the Revolving Commitments,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Loan prior to the end of the current Interest Period therefor, accrued interest on such Loan shall be payable on the effective date of such conversion.</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pPr>
      <w:r>
        <w:rPr>
          <w:rFonts w:ascii="Times New Roman;serif" w:hAnsi="Times New Roman;serif"/>
          <w:b w:val="false"/>
          <w:sz w:val="20"/>
        </w:rPr>
        <w:t>All computations of interest for ABR Loans (including ABR Loans determined by reference to</w:t>
      </w:r>
      <w:r>
        <w:rPr/>
        <w:t xml:space="preserve">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rFonts w:ascii="Times New Roman;serif" w:hAnsi="Times New Roman;serif"/>
          <w:b w:val="false"/>
          <w:sz w:val="20"/>
        </w:rPr>
        <w:t xml:space="preserv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any Loan that is repaid on the same day on which it is made shall, subject to </w:t>
      </w:r>
      <w:r>
        <w:rPr>
          <w:rFonts w:ascii="Times New Roman;serif" w:hAnsi="Times New Roman;serif"/>
          <w:b w:val="false"/>
          <w:sz w:val="20"/>
          <w:u w:val="single"/>
        </w:rPr>
        <w:t>Section 2.18</w:t>
      </w:r>
      <w:r>
        <w:rPr>
          <w:rFonts w:ascii="Times New Roman;serif" w:hAnsi="Times New Roman;serif"/>
          <w:b w:val="false"/>
          <w:sz w:val="20"/>
        </w:rPr>
        <w:t>, bear interest for one day. Each determination by the Administrative Agent of an interest rate or fee hereunder shall be conclusive and binding for all purposes, absent manifest error.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2.14 </w:t>
      </w:r>
      <w:r>
        <w:rPr>
          <w:rFonts w:ascii="Times New Roman;serif" w:hAnsi="Times New Roman;serif"/>
          <w:b w:val="false"/>
          <w:sz w:val="20"/>
          <w:u w:val="single"/>
        </w:rPr>
        <w:t>Alternate Rate of Interest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Other than as set forth in clause (b) below, if at least two Business Days prior to the commencement of any Interest Period for a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Borrowing:</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trike/>
          <w:sz w:val="20"/>
        </w:rPr>
        <w:t>(i)</w:t>
      </w:r>
      <w:r>
        <w:rPr/>
        <w:t xml:space="preserve"> </w:t>
      </w:r>
      <w:r>
        <w:rPr>
          <w:rFonts w:ascii="Times New Roman;serif" w:hAnsi="Times New Roman;serif"/>
          <w:b w:val="false"/>
          <w:sz w:val="20"/>
        </w:rPr>
        <w:t xml:space="preserve">the Administrative Agent determines (which determination shall be conclusive absent manifest error) that adequate and reasonable means do not exist for ascertaining </w:t>
      </w:r>
      <w:r>
        <w:rPr>
          <w:rFonts w:ascii="Times New Roman;serif" w:hAnsi="Times New Roman;serif"/>
          <w:b w:val="false"/>
          <w:strike/>
          <w:sz w:val="20"/>
        </w:rPr>
        <w:t>the</w:t>
      </w:r>
      <w:r>
        <w:rPr/>
        <w:t xml:space="preserve"> </w:t>
      </w:r>
      <w:r>
        <w:rPr>
          <w:rFonts w:ascii="Times New Roman;serif" w:hAnsi="Times New Roman;serif"/>
          <w:b w:val="false"/>
          <w:sz w:val="20"/>
        </w:rPr>
        <w:t xml:space="preserve">Adjusted </w:t>
      </w:r>
      <w:r>
        <w:rPr>
          <w:rFonts w:ascii="Times New Roman;serif" w:hAnsi="Times New Roman;serif"/>
          <w:b w:val="false"/>
          <w:strike/>
          <w:sz w:val="20"/>
        </w:rPr>
        <w:t>LIBO</w:t>
      </w:r>
      <w:r>
        <w:rPr/>
        <w:t xml:space="preserve"> </w:t>
      </w:r>
      <w:r>
        <w:rPr>
          <w:rFonts w:ascii="Times New Roman;serif" w:hAnsi="Times New Roman;serif"/>
          <w:b w:val="false"/>
          <w:strike/>
          <w:sz w:val="20"/>
        </w:rPr>
        <w:t>Rate</w:t>
      </w:r>
      <w:r>
        <w:rPr>
          <w:rFonts w:ascii="Times New Roman;serif" w:hAnsi="Times New Roman;serif"/>
          <w:b w:val="false"/>
          <w:sz w:val="20"/>
          <w:u w:val="single"/>
        </w:rPr>
        <w:t>Term SOFR,</w:t>
      </w:r>
      <w:r>
        <w:rPr/>
        <w:t xml:space="preserve"> </w:t>
      </w:r>
      <w:r>
        <w:rPr>
          <w:rFonts w:ascii="Times New Roman;serif" w:hAnsi="Times New Roman;serif"/>
          <w:b w:val="false"/>
          <w:sz w:val="20"/>
        </w:rPr>
        <w:t>for such Interest Period; or</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283"/>
        <w:jc w:val="both"/>
        <w:rPr/>
      </w:pPr>
      <w:r>
        <w:rPr>
          <w:rFonts w:ascii="Times New Roman;serif" w:hAnsi="Times New Roman;serif"/>
          <w:b w:val="false"/>
          <w:strike/>
          <w:sz w:val="20"/>
        </w:rPr>
        <w:t>(ii)</w:t>
      </w:r>
      <w:r>
        <w:rPr/>
        <w:t xml:space="preserve"> </w:t>
      </w:r>
      <w:r>
        <w:rPr>
          <w:rFonts w:ascii="Times New Roman;serif" w:hAnsi="Times New Roman;serif"/>
          <w:b w:val="false"/>
          <w:sz w:val="20"/>
        </w:rPr>
        <w:t>the Administrative Agent is advised by the Required Lenders that</w:t>
      </w:r>
      <w:r>
        <w:rPr/>
        <w:t xml:space="preserve">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for such Interest Period will not adequately and fairly reflect the cost to such Lenders </w:t>
      </w:r>
      <w:r>
        <w:rPr>
          <w:rFonts w:ascii="Times New Roman;serif" w:hAnsi="Times New Roman;serif"/>
          <w:b w:val="false"/>
          <w:sz w:val="20"/>
          <w:u w:val="single"/>
        </w:rPr>
        <w:t>(or Lender)</w:t>
      </w:r>
      <w:r>
        <w:rPr/>
        <w:t xml:space="preserve"> </w:t>
      </w:r>
      <w:r>
        <w:rPr>
          <w:rFonts w:ascii="Times New Roman;serif" w:hAnsi="Times New Roman;serif"/>
          <w:b w:val="false"/>
          <w:sz w:val="20"/>
        </w:rPr>
        <w:t xml:space="preserve">of making or maintaining their Loans </w:t>
      </w:r>
      <w:r>
        <w:rPr>
          <w:rFonts w:ascii="Times New Roman;serif" w:hAnsi="Times New Roman;serif"/>
          <w:b w:val="false"/>
          <w:sz w:val="20"/>
          <w:u w:val="single"/>
        </w:rPr>
        <w:t>(or its Loan)</w:t>
      </w:r>
      <w:r>
        <w:rPr/>
        <w:t xml:space="preserve"> </w:t>
      </w:r>
      <w:r>
        <w:rPr>
          <w:rFonts w:ascii="Times New Roman;serif" w:hAnsi="Times New Roman;serif"/>
          <w:b w:val="false"/>
          <w:sz w:val="20"/>
        </w:rPr>
        <w:t>included in such Borrowing for such Interest Period (in each case with respect to the</w:t>
      </w:r>
      <w:r>
        <w:rPr>
          <w:u w:val="single"/>
        </w:rPr>
        <w:t xml:space="preserve"> </w:t>
      </w:r>
      <w:r>
        <w:rPr>
          <w:rFonts w:ascii="Times New Roman;serif" w:hAnsi="Times New Roman;serif"/>
          <w:b w:val="false"/>
          <w:sz w:val="20"/>
          <w:u w:val="single"/>
        </w:rPr>
        <w:t>applicable</w:t>
      </w:r>
      <w:r>
        <w:rPr/>
        <w:t xml:space="preserve"> </w:t>
      </w:r>
      <w:r>
        <w:rPr>
          <w:rFonts w:ascii="Times New Roman;serif" w:hAnsi="Times New Roman;serif"/>
          <w:b w:val="false"/>
          <w:sz w:val="20"/>
        </w:rPr>
        <w:t>Loans impacted by this clause (b) or clause (a) above, “</w:t>
      </w:r>
      <w:r>
        <w:rPr>
          <w:rFonts w:ascii="Times New Roman;serif" w:hAnsi="Times New Roman;serif"/>
          <w:b w:val="false"/>
          <w:sz w:val="20"/>
          <w:u w:val="single"/>
        </w:rPr>
        <w:t>Impacted Loans</w:t>
      </w:r>
      <w:r>
        <w:rPr/>
        <w:t>”</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w:t>
      </w:r>
      <w:r>
        <w:rPr>
          <w:rFonts w:ascii="Times New Roman;serif" w:hAnsi="Times New Roman;serif"/>
          <w:b w:val="false"/>
          <w:strike/>
          <w:sz w:val="20"/>
        </w:rPr>
        <w:t xml:space="preserve">(x) </w:t>
      </w:r>
      <w:r>
        <w:rPr>
          <w:rFonts w:ascii="Times New Roman;serif" w:hAnsi="Times New Roman;serif"/>
          <w:b w:val="false"/>
          <w:sz w:val="20"/>
        </w:rPr>
        <w:t xml:space="preserve">any Interest Election Request that requests the conversion of any Borrowing to, or continuation of any Borrowing as, a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Borrowing shall be ineffective and </w:t>
      </w:r>
      <w:r>
        <w:rPr>
          <w:rFonts w:ascii="Times New Roman;serif" w:hAnsi="Times New Roman;serif"/>
          <w:b w:val="false"/>
          <w:strike/>
          <w:sz w:val="20"/>
        </w:rPr>
        <w:t>(y) if</w:t>
      </w:r>
      <w:r>
        <w:rPr>
          <w:rFonts w:ascii="Times New Roman" w:hAnsi="Times New Roman"/>
          <w:sz w:val="20"/>
        </w:rPr>
        <w:t xml:space="preserve"> </w:t>
      </w:r>
      <w:r>
        <w:rPr>
          <w:rFonts w:ascii="Times New Roman;serif" w:hAnsi="Times New Roman;serif"/>
          <w:b w:val="false"/>
          <w:sz w:val="20"/>
        </w:rPr>
        <w:t>any Borrowing Request</w:t>
      </w:r>
      <w:r>
        <w:rPr>
          <w:rFonts w:ascii="Times New Roman" w:hAnsi="Times New Roman"/>
          <w:sz w:val="20"/>
          <w:u w:val="single"/>
        </w:rPr>
        <w:t xml:space="preserve"> </w:t>
      </w:r>
      <w:r>
        <w:rPr>
          <w:rFonts w:ascii="Times New Roman;serif" w:hAnsi="Times New Roman;serif"/>
          <w:b w:val="false"/>
          <w:sz w:val="20"/>
          <w:u w:val="single"/>
        </w:rPr>
        <w:t>that</w:t>
      </w:r>
      <w:r>
        <w:rPr>
          <w:rFonts w:ascii="Times New Roman" w:hAnsi="Times New Roman"/>
          <w:sz w:val="20"/>
        </w:rPr>
        <w:t xml:space="preserve"> </w:t>
      </w:r>
      <w:r>
        <w:rPr>
          <w:rFonts w:ascii="Times New Roman;serif" w:hAnsi="Times New Roman;serif"/>
          <w:b w:val="false"/>
          <w:sz w:val="20"/>
        </w:rPr>
        <w:t xml:space="preserve">requests a </w:t>
      </w:r>
      <w:r>
        <w:rPr>
          <w:rFonts w:ascii="Times New Roman;serif" w:hAnsi="Times New Roman;serif"/>
          <w:b w:val="false"/>
          <w:strike/>
          <w:sz w:val="20"/>
        </w:rPr>
        <w:t>Eurocurrency Borrowing then such</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Borrowing shall be made as an ABR Borrowing and the utilization of the </w:t>
      </w:r>
      <w:r>
        <w:rPr>
          <w:rFonts w:ascii="Times New Roman;serif" w:hAnsi="Times New Roman;serif"/>
          <w:b w:val="false"/>
          <w:strike/>
          <w:sz w:val="20"/>
        </w:rPr>
        <w:t>LIBO Rate</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component in determining the Alternate Base Rate shall be suspended; provided, however, that,</w:t>
      </w:r>
      <w:r>
        <w:rPr>
          <w:rFonts w:ascii="Times New Roman" w:hAnsi="Times New Roman"/>
          <w:strike/>
          <w:sz w:val="20"/>
        </w:rPr>
        <w:t xml:space="preserve"> </w:t>
      </w:r>
      <w:r>
        <w:rPr>
          <w:rFonts w:ascii="Times New Roman;serif" w:hAnsi="Times New Roman;serif"/>
          <w:b w:val="false"/>
          <w:strike/>
          <w:sz w:val="20"/>
        </w:rPr>
        <w:t>in each case,</w:t>
      </w:r>
      <w:r>
        <w:rPr>
          <w:rFonts w:ascii="Times New Roman" w:hAnsi="Times New Roman"/>
          <w:sz w:val="20"/>
        </w:rPr>
        <w:t xml:space="preserve"> </w:t>
      </w:r>
      <w:r>
        <w:rPr>
          <w:rFonts w:ascii="Times New Roman;serif" w:hAnsi="Times New Roman;serif"/>
          <w:b w:val="false"/>
          <w:sz w:val="20"/>
        </w:rPr>
        <w:t>the Borrower may revoke any Borrowing Request that is pending when such notice is received.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the foregoing, if the Administrative Agent has made the determination described in clause (i) of this </w:t>
      </w:r>
      <w:r>
        <w:rPr>
          <w:rFonts w:ascii="Times New Roman;serif" w:hAnsi="Times New Roman;serif"/>
          <w:b w:val="false"/>
          <w:sz w:val="20"/>
          <w:u w:val="single"/>
        </w:rPr>
        <w:t>Section 2.14(a)</w:t>
      </w:r>
      <w:r>
        <w:rPr>
          <w:rFonts w:ascii="Times New Roman" w:hAnsi="Times New Roman"/>
          <w:sz w:val="20"/>
        </w:rPr>
        <w:t xml:space="preserve"> </w:t>
      </w:r>
      <w:r>
        <w:rPr>
          <w:rFonts w:ascii="Times New Roman;serif" w:hAnsi="Times New Roman;serif"/>
          <w:b w:val="false"/>
          <w:sz w:val="20"/>
        </w:rPr>
        <w:t xml:space="preserve">and/or is advised by the Required Lenders of their determination in accordance with clause (ii) of this </w:t>
      </w:r>
      <w:r>
        <w:rPr>
          <w:rFonts w:ascii="Times New Roman;serif" w:hAnsi="Times New Roman;serif"/>
          <w:b w:val="false"/>
          <w:sz w:val="20"/>
          <w:u w:val="single"/>
        </w:rPr>
        <w:t>Section 2.14(a)</w:t>
      </w:r>
      <w:r>
        <w:rPr>
          <w:rFonts w:ascii="Times New Roman" w:hAnsi="Times New Roman"/>
          <w:sz w:val="20"/>
        </w:rPr>
        <w:t xml:space="preserve"> </w:t>
      </w:r>
      <w:r>
        <w:rPr>
          <w:rFonts w:ascii="Times New Roman;serif" w:hAnsi="Times New Roman;serif"/>
          <w:b w:val="false"/>
          <w:sz w:val="20"/>
        </w:rPr>
        <w:t>and the Borrower shall so request, the Administrative Agent, the Required Lenders and the Borrower shall negotiate in good faith to amend the definition of “</w:t>
      </w:r>
      <w:r>
        <w:rPr>
          <w:rFonts w:ascii="Times New Roman;serif" w:hAnsi="Times New Roman;serif"/>
          <w:b w:val="false"/>
          <w:strike/>
          <w:sz w:val="20"/>
        </w:rPr>
        <w:t>LIBO Rate</w:t>
      </w:r>
      <w:r>
        <w:rPr>
          <w:rFonts w:ascii="Times New Roman;serif" w:hAnsi="Times New Roman;serif"/>
          <w:b w:val="false"/>
          <w:sz w:val="20"/>
          <w:u w:val="single"/>
        </w:rPr>
        <w:t>Adjusted Term SOFR</w:t>
      </w:r>
      <w:r>
        <w:rPr>
          <w:rFonts w:ascii="Times New Roman" w:hAnsi="Times New Roman"/>
          <w:sz w:val="20"/>
        </w:rPr>
        <w:t xml:space="preserve">” </w:t>
      </w:r>
      <w:r>
        <w:rPr>
          <w:rFonts w:ascii="Times New Roman;serif" w:hAnsi="Times New Roman;serif"/>
          <w:b w:val="false"/>
          <w:sz w:val="20"/>
        </w:rPr>
        <w:t xml:space="preserve">and other applicable provisions to preserve the original intent thereof in light of such change;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until so amended, such Impacted Loans will be handled as otherwise provided pursuant to the terms of this </w:t>
      </w:r>
      <w:r>
        <w:rPr>
          <w:rFonts w:ascii="Times New Roman;serif" w:hAnsi="Times New Roman;serif"/>
          <w:b w:val="false"/>
          <w:sz w:val="20"/>
          <w:u w:val="single"/>
        </w:rPr>
        <w:t>Section 2.14</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any amended definition of “</w:t>
      </w:r>
      <w:r>
        <w:rPr>
          <w:rFonts w:ascii="Times New Roman;serif" w:hAnsi="Times New Roman;serif"/>
          <w:b w:val="false"/>
          <w:strike/>
          <w:sz w:val="20"/>
        </w:rPr>
        <w:t>LIBO Rate</w:t>
      </w:r>
      <w:r>
        <w:rPr>
          <w:rFonts w:ascii="Times New Roman;serif" w:hAnsi="Times New Roman;serif"/>
          <w:b w:val="false"/>
          <w:sz w:val="20"/>
          <w:u w:val="single"/>
        </w:rPr>
        <w:t>Adjusted Term SOFR</w:t>
      </w:r>
      <w:r>
        <w:rPr>
          <w:rFonts w:ascii="Times New Roman" w:hAnsi="Times New Roman"/>
          <w:sz w:val="20"/>
        </w:rPr>
        <w:t xml:space="preserve">” </w:t>
      </w:r>
      <w:r>
        <w:rPr>
          <w:rFonts w:ascii="Times New Roman;serif" w:hAnsi="Times New Roman;serif"/>
          <w:b w:val="false"/>
          <w:sz w:val="20"/>
        </w:rPr>
        <w:t xml:space="preserve">shall provide that in no event shall such amended </w:t>
      </w:r>
      <w:r>
        <w:rPr>
          <w:rFonts w:ascii="Times New Roman;serif" w:hAnsi="Times New Roman;serif"/>
          <w:b w:val="false"/>
          <w:strike/>
          <w:sz w:val="20"/>
        </w:rPr>
        <w:t>LIBO Rate</w:t>
      </w:r>
      <w:r>
        <w:rPr>
          <w:rFonts w:ascii="Times New Roman;serif" w:hAnsi="Times New Roman;serif"/>
          <w:b w:val="false"/>
          <w:sz w:val="20"/>
          <w:u w:val="single"/>
        </w:rPr>
        <w:t>Adjusted Term SOFR</w:t>
      </w:r>
      <w:r>
        <w:rPr>
          <w:rFonts w:ascii="Times New Roman" w:hAnsi="Times New Roman"/>
          <w:sz w:val="20"/>
        </w:rPr>
        <w:t xml:space="preserve"> </w:t>
      </w:r>
      <w:r>
        <w:rPr>
          <w:rFonts w:ascii="Times New Roman;serif" w:hAnsi="Times New Roman;serif"/>
          <w:b w:val="false"/>
          <w:sz w:val="20"/>
        </w:rPr>
        <w:t>be less than zero for purposes of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Notwithstanding anything to the contrary in this Agreement or any other Loan Documents, if the Administrative Agent determines (which determination shall be conclusive absent manifest error), or the Borrower notifies the Administrative Agent that the Borrower has determined, that: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adequate and reasonable means do not exist for ascertaining</w:t>
      </w:r>
      <w:r>
        <w:rPr/>
        <w:t xml:space="preserve"> </w:t>
      </w:r>
      <w:r>
        <w:rPr>
          <w:rFonts w:ascii="Times New Roman;serif" w:hAnsi="Times New Roman;serif"/>
          <w:b w:val="false"/>
          <w:strike/>
          <w:sz w:val="20"/>
        </w:rPr>
        <w:t>LIBOR</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for any requested Interest Period, including, without limitation, because the </w:t>
      </w:r>
      <w:r>
        <w:rPr>
          <w:rFonts w:ascii="Times New Roman;serif" w:hAnsi="Times New Roman;serif"/>
          <w:b w:val="false"/>
          <w:strike/>
          <w:sz w:val="20"/>
        </w:rPr>
        <w:t>LIBOR Screen</w:t>
      </w:r>
      <w:r>
        <w:rPr>
          <w:rFonts w:ascii="Times New Roman;serif" w:hAnsi="Times New Roman;serif"/>
          <w:b w:val="false"/>
          <w:sz w:val="20"/>
          <w:u w:val="single"/>
        </w:rPr>
        <w:t>Term SOFR Reference</w:t>
      </w:r>
      <w:r>
        <w:rPr/>
        <w:t xml:space="preserve"> </w:t>
      </w:r>
      <w:r>
        <w:rPr>
          <w:rFonts w:ascii="Times New Roman;serif" w:hAnsi="Times New Roman;serif"/>
          <w:b w:val="false"/>
          <w:sz w:val="20"/>
        </w:rPr>
        <w:t>Rate is not available or published on a current basis, and such circumstances are unlikely to be temporary; or</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pPr>
      <w:r>
        <w:rPr>
          <w:rFonts w:ascii="Times New Roman;serif" w:hAnsi="Times New Roman;serif"/>
          <w:b w:val="false"/>
          <w:sz w:val="20"/>
        </w:rPr>
        <w:t>the administrator of the</w:t>
      </w:r>
      <w:r>
        <w:rPr/>
        <w:t xml:space="preserve"> </w:t>
      </w:r>
      <w:r>
        <w:rPr>
          <w:rFonts w:ascii="Times New Roman;serif" w:hAnsi="Times New Roman;serif"/>
          <w:b w:val="false"/>
          <w:strike/>
          <w:sz w:val="20"/>
        </w:rPr>
        <w:t>LIBOR Screen</w:t>
      </w:r>
      <w:r>
        <w:rPr>
          <w:rFonts w:ascii="Times New Roman;serif" w:hAnsi="Times New Roman;serif"/>
          <w:b w:val="false"/>
          <w:sz w:val="20"/>
          <w:u w:val="single"/>
        </w:rPr>
        <w:t>Term SOFR Reference</w:t>
      </w:r>
      <w:r>
        <w:rPr/>
        <w:t xml:space="preserve"> </w:t>
      </w:r>
      <w:r>
        <w:rPr>
          <w:rFonts w:ascii="Times New Roman;serif" w:hAnsi="Times New Roman;serif"/>
          <w:b w:val="false"/>
          <w:sz w:val="20"/>
        </w:rPr>
        <w:t xml:space="preserve">Rate or a Governmental Authority having jurisdiction over the Administrative Agent has made a public statement identifying a specific date after which </w:t>
      </w:r>
      <w:r>
        <w:rPr>
          <w:rFonts w:ascii="Times New Roman;serif" w:hAnsi="Times New Roman;serif"/>
          <w:b w:val="false"/>
          <w:strike/>
          <w:sz w:val="20"/>
        </w:rPr>
        <w:t>LIBOR</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or the </w:t>
      </w:r>
      <w:r>
        <w:rPr>
          <w:rFonts w:ascii="Times New Roman;serif" w:hAnsi="Times New Roman;serif"/>
          <w:b w:val="false"/>
          <w:strike/>
          <w:sz w:val="20"/>
        </w:rPr>
        <w:t>LIBOR Screen</w:t>
      </w:r>
      <w:r>
        <w:rPr>
          <w:rFonts w:ascii="Times New Roman;serif" w:hAnsi="Times New Roman;serif"/>
          <w:b w:val="false"/>
          <w:sz w:val="20"/>
          <w:u w:val="single"/>
        </w:rPr>
        <w:t>Term SOFR Reference</w:t>
      </w:r>
      <w:r>
        <w:rPr/>
        <w:t xml:space="preserve"> </w:t>
      </w:r>
      <w:r>
        <w:rPr>
          <w:rFonts w:ascii="Times New Roman;serif" w:hAnsi="Times New Roman;serif"/>
          <w:b w:val="false"/>
          <w:sz w:val="20"/>
        </w:rPr>
        <w:t xml:space="preserve">Rate shall no longer be made available, or used for determining the interest rate of loans;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at the time of such statement, there is no successor administrator that is satisfactory to the Administrative Agent and the Borrower that will continue to provide </w:t>
      </w:r>
      <w:r>
        <w:rPr>
          <w:rFonts w:ascii="Times New Roman;serif" w:hAnsi="Times New Roman;serif"/>
          <w:b w:val="false"/>
          <w:strike/>
          <w:sz w:val="20"/>
        </w:rPr>
        <w:t>LIBOR</w:t>
      </w:r>
      <w:r>
        <w:rPr>
          <w:rFonts w:ascii="Times New Roman;serif" w:hAnsi="Times New Roman;serif"/>
          <w:b w:val="false"/>
          <w:sz w:val="20"/>
          <w:u w:val="single"/>
        </w:rPr>
        <w:t>Term SOFR</w:t>
      </w:r>
      <w:r>
        <w:rPr/>
        <w:t xml:space="preserve"> </w:t>
      </w:r>
      <w:r>
        <w:rPr>
          <w:rFonts w:ascii="Times New Roman;serif" w:hAnsi="Times New Roman;serif"/>
          <w:b w:val="false"/>
          <w:sz w:val="20"/>
        </w:rPr>
        <w:t>after such specific date (such specific date, the “</w:t>
      </w:r>
      <w:r>
        <w:rPr>
          <w:rFonts w:ascii="Times New Roman;serif" w:hAnsi="Times New Roman;serif"/>
          <w:b w:val="false"/>
          <w:sz w:val="20"/>
          <w:u w:val="single"/>
        </w:rPr>
        <w:t>Scheduled Unavailability Date</w:t>
      </w:r>
      <w:r>
        <w:rPr/>
        <w:t>”</w:t>
      </w:r>
      <w:r>
        <w:rPr>
          <w:rFonts w:ascii="Times New Roman;serif" w:hAnsi="Times New Roman;serif"/>
          <w:b w:val="false"/>
          <w:sz w:val="20"/>
        </w:rPr>
        <w:t>), or</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283"/>
        <w:jc w:val="both"/>
        <w:rPr/>
      </w:pPr>
      <w:r>
        <w:rPr>
          <w:rFonts w:ascii="Times New Roman;serif" w:hAnsi="Times New Roman;serif"/>
          <w:b w:val="false"/>
          <w:sz w:val="20"/>
        </w:rPr>
        <w:t xml:space="preserve">syndicated loans currently being executed, or that include language similar to that contained in this Section, are being executed or amended (as applicable) to incorporate or adopt a new benchmark interest rate to replace </w:t>
      </w:r>
      <w:r>
        <w:rPr>
          <w:rFonts w:ascii="Times New Roman;serif" w:hAnsi="Times New Roman;serif"/>
          <w:b w:val="false"/>
          <w:strike/>
          <w:sz w:val="20"/>
        </w:rPr>
        <w:t>LIBOR</w:t>
      </w:r>
      <w:r>
        <w:rPr>
          <w:rFonts w:ascii="Times New Roman;serif" w:hAnsi="Times New Roman;serif"/>
          <w:b w:val="false"/>
          <w:sz w:val="20"/>
          <w:u w:val="single"/>
        </w:rPr>
        <w:t>Term SOFR</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then, reasonably promptly after such determination by the Administrative Agent or receipt by the Administrative Agent of such notice, as applicable, the Administrative Agent and the Borrower may amend this Agreement in accordance with this </w:t>
      </w:r>
      <w:r>
        <w:rPr>
          <w:rFonts w:ascii="Times New Roman;serif" w:hAnsi="Times New Roman;serif"/>
          <w:b w:val="false"/>
          <w:sz w:val="20"/>
          <w:u w:val="single"/>
        </w:rPr>
        <w:t>Section 2.14</w:t>
      </w:r>
      <w:r>
        <w:rPr>
          <w:rFonts w:ascii="Times New Roman" w:hAnsi="Times New Roman"/>
          <w:sz w:val="20"/>
        </w:rPr>
        <w:t xml:space="preserve"> </w:t>
      </w:r>
      <w:r>
        <w:rPr>
          <w:rFonts w:ascii="Times New Roman;serif" w:hAnsi="Times New Roman;serif"/>
          <w:b w:val="false"/>
          <w:sz w:val="20"/>
        </w:rPr>
        <w:t xml:space="preserve">to replace </w:t>
      </w:r>
      <w:r>
        <w:rPr>
          <w:rFonts w:ascii="Times New Roman;serif" w:hAnsi="Times New Roman;serif"/>
          <w:b w:val="false"/>
          <w:strike/>
          <w:sz w:val="20"/>
        </w:rPr>
        <w:t>LIBOR</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with one or more alternate benchmark rates,</w:t>
      </w:r>
      <w:r>
        <w:rPr>
          <w:rFonts w:ascii="Times New Roman" w:hAnsi="Times New Roman"/>
          <w:strike/>
          <w:sz w:val="20"/>
        </w:rPr>
        <w:t xml:space="preserve"> </w:t>
      </w:r>
      <w:r>
        <w:rPr>
          <w:rFonts w:ascii="Times New Roman;serif" w:hAnsi="Times New Roman;serif"/>
          <w:b w:val="false"/>
          <w:strike/>
          <w:sz w:val="20"/>
        </w:rPr>
        <w:t>which</w:t>
      </w:r>
      <w:r>
        <w:rPr>
          <w:rFonts w:ascii="Times New Roman" w:hAnsi="Times New Roman"/>
          <w:sz w:val="20"/>
        </w:rPr>
        <w:t xml:space="preserve"> </w:t>
      </w:r>
      <w:r>
        <w:rPr>
          <w:rFonts w:ascii="Times New Roman;serif" w:hAnsi="Times New Roman;serif"/>
          <w:b w:val="false"/>
          <w:strike/>
          <w:sz w:val="20"/>
        </w:rPr>
        <w:t>may be one or more SOFR-Based Rates</w:t>
      </w:r>
      <w:r>
        <w:rPr>
          <w:rFonts w:ascii="Times New Roman;serif" w:hAnsi="Times New Roman;serif"/>
          <w:b w:val="false"/>
          <w:sz w:val="20"/>
        </w:rPr>
        <w:t>, giving due consideration to any evolving or then existing convention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similar dollar denominated syndicated credit facilities for such alternate benchmark rates (any such proposed rate, a “</w:t>
      </w:r>
      <w:r>
        <w:rPr>
          <w:rFonts w:ascii="Times New Roman;serif" w:hAnsi="Times New Roman;serif"/>
          <w:b w:val="false"/>
          <w:strike/>
          <w:sz w:val="20"/>
          <w:u w:val="single"/>
        </w:rPr>
        <w:t xml:space="preserve">LIBOR </w:t>
      </w:r>
      <w:r>
        <w:rPr>
          <w:rFonts w:ascii="Times New Roman;serif" w:hAnsi="Times New Roman;serif"/>
          <w:b w:val="false"/>
          <w:sz w:val="20"/>
          <w:u w:val="single"/>
        </w:rPr>
        <w:t>Successor Rate</w:t>
      </w:r>
      <w:r>
        <w:rPr>
          <w:rFonts w:ascii="Times New Roman" w:hAnsi="Times New Roman"/>
          <w:sz w:val="20"/>
        </w:rPr>
        <w:t>”</w:t>
      </w:r>
      <w:r>
        <w:rPr>
          <w:rFonts w:ascii="Times New Roman;serif" w:hAnsi="Times New Roman;serif"/>
          <w:b w:val="false"/>
          <w:sz w:val="20"/>
        </w:rPr>
        <w:t>) and, in each case, including any mathematical or other adjustments to any such benchmark or any method for calculating such adjustment, giving due consideration to any evolving or then existing convention for similar dollar denominated syndicated credit facilities for such benchmarks, which adjustment or method for calculating such adjustment shall be published on an information service as selected by the Administrative Agent from time to time in its reasonable discretion (in consultation with the Borrower) and may be periodically updated (</w:t>
      </w:r>
      <w:r>
        <w:rPr>
          <w:rFonts w:ascii="Times New Roman;serif" w:hAnsi="Times New Roman;serif"/>
          <w:b w:val="false"/>
          <w:strike/>
          <w:sz w:val="20"/>
        </w:rPr>
        <w:t>the “</w:t>
      </w:r>
      <w:r>
        <w:rPr>
          <w:rFonts w:ascii="Times New Roman;serif" w:hAnsi="Times New Roman;serif"/>
          <w:b w:val="false"/>
          <w:strike/>
          <w:sz w:val="20"/>
          <w:u w:val="single"/>
        </w:rPr>
        <w:t>Adjustment</w:t>
      </w:r>
      <w:r>
        <w:rPr>
          <w:rFonts w:ascii="Times New Roman" w:hAnsi="Times New Roman"/>
          <w:strike/>
          <w:sz w:val="20"/>
        </w:rPr>
        <w:t>”</w:t>
      </w:r>
      <w:r>
        <w:rPr>
          <w:rFonts w:ascii="Times New Roman;serif" w:hAnsi="Times New Roman;serif"/>
          <w:b w:val="false"/>
          <w:strike/>
          <w:sz w:val="20"/>
        </w:rPr>
        <w:t>,</w:t>
      </w:r>
      <w:r>
        <w:rPr>
          <w:rFonts w:ascii="Times New Roman" w:hAnsi="Times New Roman"/>
          <w:sz w:val="20"/>
        </w:rPr>
        <w:t xml:space="preserve"> </w:t>
      </w:r>
      <w:r>
        <w:rPr>
          <w:rFonts w:ascii="Times New Roman;serif" w:hAnsi="Times New Roman;serif"/>
          <w:b w:val="false"/>
          <w:sz w:val="20"/>
        </w:rPr>
        <w:t xml:space="preserve">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w:t>
      </w:r>
      <w:r>
        <w:rPr>
          <w:rFonts w:ascii="Times New Roman;serif" w:hAnsi="Times New Roman;serif"/>
          <w:b w:val="false"/>
          <w:strike/>
          <w:sz w:val="20"/>
        </w:rPr>
        <w:t>(A) in the case of an amendment to replace LIBOR</w:t>
      </w:r>
      <w:r>
        <w:rPr>
          <w:rFonts w:ascii="Times New Roman" w:hAnsi="Times New Roman"/>
          <w:sz w:val="20"/>
        </w:rPr>
        <w:t xml:space="preserve"> </w:t>
      </w:r>
      <w:r>
        <w:rPr>
          <w:rFonts w:ascii="Times New Roman;serif" w:hAnsi="Times New Roman;serif"/>
          <w:b w:val="false"/>
          <w:strike/>
          <w:sz w:val="20"/>
        </w:rPr>
        <w:t>with one or more SOFR-Based Rates, object to the applicable Adjustment, or (B) in the case of an amendment to</w:t>
      </w:r>
      <w:r>
        <w:rPr>
          <w:rFonts w:ascii="Times New Roman" w:hAnsi="Times New Roman"/>
          <w:sz w:val="20"/>
        </w:rPr>
        <w:t xml:space="preserve"> </w:t>
      </w:r>
      <w:r>
        <w:rPr>
          <w:rFonts w:ascii="Times New Roman;serif" w:hAnsi="Times New Roman;serif"/>
          <w:b w:val="false"/>
          <w:strike/>
          <w:sz w:val="20"/>
        </w:rPr>
        <w:t xml:space="preserve">replace LIBOR with any other alternate benchmark rate, object to such amendment; </w:t>
      </w:r>
      <w:r>
        <w:rPr>
          <w:rFonts w:ascii="Times New Roman;serif" w:hAnsi="Times New Roman;serif"/>
          <w:b w:val="false"/>
          <w:strike/>
          <w:sz w:val="20"/>
          <w:u w:val="single"/>
        </w:rPr>
        <w:t xml:space="preserve">provided </w:t>
      </w:r>
      <w:r>
        <w:rPr>
          <w:rFonts w:ascii="Times New Roman;serif" w:hAnsi="Times New Roman;serif"/>
          <w:b w:val="false"/>
          <w:strike/>
          <w:sz w:val="20"/>
        </w:rPr>
        <w:t>that, for the avoidance of doubt, in the case of clause (A) the Required Lenders shall not be entitled to object to any SOFR-Based Rate</w:t>
      </w:r>
      <w:r>
        <w:rPr>
          <w:rFonts w:ascii="Times New Roman" w:hAnsi="Times New Roman"/>
          <w:sz w:val="20"/>
        </w:rPr>
        <w:t xml:space="preserve"> </w:t>
      </w:r>
      <w:r>
        <w:rPr>
          <w:rFonts w:ascii="Times New Roman;serif" w:hAnsi="Times New Roman;serif"/>
          <w:b w:val="false"/>
          <w:strike/>
          <w:sz w:val="20"/>
        </w:rPr>
        <w:t>contained in any</w:t>
      </w:r>
      <w:r>
        <w:rPr>
          <w:rFonts w:ascii="Times New Roman;serif" w:hAnsi="Times New Roman;serif"/>
          <w:b w:val="false"/>
          <w:sz w:val="20"/>
          <w:u w:val="single"/>
        </w:rPr>
        <w:t>object to</w:t>
      </w:r>
      <w:r>
        <w:rPr>
          <w:rFonts w:ascii="Times New Roman" w:hAnsi="Times New Roman"/>
          <w:sz w:val="20"/>
        </w:rPr>
        <w:t xml:space="preserve"> </w:t>
      </w:r>
      <w:r>
        <w:rPr>
          <w:rFonts w:ascii="Times New Roman;serif" w:hAnsi="Times New Roman;serif"/>
          <w:b w:val="false"/>
          <w:sz w:val="20"/>
        </w:rPr>
        <w:t>such amendment.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If no </w:t>
      </w:r>
      <w:r>
        <w:rPr>
          <w:rFonts w:ascii="Times New Roman;serif" w:hAnsi="Times New Roman;serif"/>
          <w:b w:val="false"/>
          <w:strike/>
          <w:sz w:val="20"/>
        </w:rPr>
        <w:t>LIBOR</w:t>
      </w:r>
      <w:r>
        <w:rPr>
          <w:rFonts w:ascii="Times New Roman" w:hAnsi="Times New Roman"/>
          <w:sz w:val="20"/>
        </w:rPr>
        <w:t xml:space="preserve"> </w:t>
      </w:r>
      <w:r>
        <w:rPr>
          <w:rFonts w:ascii="Times New Roman;serif" w:hAnsi="Times New Roman;serif"/>
          <w:b w:val="false"/>
          <w:sz w:val="20"/>
        </w:rPr>
        <w:t xml:space="preserve">Successor Rate has been determined and the circumstances under clause (i) above exist or the Scheduled Unavailability Date has occurred (as applicable), the Administrative Agent will promptly so notify the Borrower and each Lender. Thereafter, (x) the obligation of the Lenders to make, continue or convert into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shall be suspended (to the extent of the affected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or Interest Periods), and (y) the </w:t>
      </w:r>
      <w:r>
        <w:rPr>
          <w:rFonts w:ascii="Times New Roman;serif" w:hAnsi="Times New Roman;serif"/>
          <w:b w:val="false"/>
          <w:strike/>
          <w:sz w:val="20"/>
        </w:rPr>
        <w:t>Adjusted LIBO Rate</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component shall no longer be utilized in determining the Alternate Base Rate. Upon receipt of such notice, the Borrower may revoke any pending request for a Borrowing of, conversion to or continuation of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(to the extent of the affected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Loans or Interest Periods) or, failing that, will be deemed to have converted such request into a request for a Borrowing of ABR Loans (subject to the foregoing clause (y)) in the amount specified therein.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anything else herein, any definition of </w:t>
      </w:r>
      <w:r>
        <w:rPr>
          <w:rFonts w:ascii="Times New Roman;serif" w:hAnsi="Times New Roman;serif"/>
          <w:b w:val="false"/>
          <w:strike/>
          <w:sz w:val="20"/>
        </w:rPr>
        <w:t>LIBOR Successor</w:t>
      </w:r>
      <w:r>
        <w:rPr>
          <w:rFonts w:ascii="Times New Roman;serif" w:hAnsi="Times New Roman;serif"/>
          <w:b w:val="false"/>
          <w:sz w:val="20"/>
          <w:u w:val="single"/>
        </w:rPr>
        <w:t>Term SOFR Reference</w:t>
      </w:r>
      <w:r>
        <w:rPr>
          <w:rFonts w:ascii="Times New Roman" w:hAnsi="Times New Roman"/>
          <w:sz w:val="20"/>
        </w:rPr>
        <w:t xml:space="preserve"> </w:t>
      </w:r>
      <w:r>
        <w:rPr>
          <w:rFonts w:ascii="Times New Roman;serif" w:hAnsi="Times New Roman;serif"/>
          <w:b w:val="false"/>
          <w:sz w:val="20"/>
        </w:rPr>
        <w:t xml:space="preserve">Rate shall provide that in no event shall such </w:t>
      </w:r>
      <w:r>
        <w:rPr>
          <w:rFonts w:ascii="Times New Roman;serif" w:hAnsi="Times New Roman;serif"/>
          <w:b w:val="false"/>
          <w:strike/>
          <w:sz w:val="20"/>
        </w:rPr>
        <w:t>LIBOR Successor</w:t>
      </w:r>
      <w:r>
        <w:rPr>
          <w:rFonts w:ascii="Times New Roman;serif" w:hAnsi="Times New Roman;serif"/>
          <w:b w:val="false"/>
          <w:sz w:val="20"/>
          <w:u w:val="single"/>
        </w:rPr>
        <w:t>Term SOFR Reference</w:t>
      </w:r>
      <w:r>
        <w:rPr>
          <w:rFonts w:ascii="Times New Roman" w:hAnsi="Times New Roman"/>
          <w:sz w:val="20"/>
        </w:rPr>
        <w:t xml:space="preserve"> </w:t>
      </w:r>
      <w:r>
        <w:rPr>
          <w:rFonts w:ascii="Times New Roman;serif" w:hAnsi="Times New Roman;serif"/>
          <w:b w:val="false"/>
          <w:sz w:val="20"/>
        </w:rPr>
        <w:t>Rate be less than zero for purposes of this Agreement.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In connection with the </w:t>
      </w:r>
      <w:r>
        <w:rPr>
          <w:rFonts w:ascii="Times New Roman;serif" w:hAnsi="Times New Roman;serif"/>
          <w:b w:val="false"/>
          <w:sz w:val="20"/>
          <w:u w:val="single"/>
        </w:rPr>
        <w:t>use, administration, adoption or</w:t>
      </w:r>
      <w:r>
        <w:rPr>
          <w:rFonts w:ascii="Times New Roman" w:hAnsi="Times New Roman"/>
          <w:sz w:val="20"/>
        </w:rPr>
        <w:t xml:space="preserve"> </w:t>
      </w:r>
      <w:r>
        <w:rPr>
          <w:rFonts w:ascii="Times New Roman;serif" w:hAnsi="Times New Roman;serif"/>
          <w:b w:val="false"/>
          <w:sz w:val="20"/>
        </w:rPr>
        <w:t xml:space="preserve">implementation of a </w:t>
      </w:r>
      <w:r>
        <w:rPr>
          <w:rFonts w:ascii="Times New Roman;serif" w:hAnsi="Times New Roman;serif"/>
          <w:b w:val="false"/>
          <w:strike/>
          <w:sz w:val="20"/>
        </w:rPr>
        <w:t>LIBOR</w:t>
      </w:r>
      <w:r>
        <w:rPr>
          <w:rFonts w:ascii="Times New Roman" w:hAnsi="Times New Roman"/>
          <w:sz w:val="20"/>
        </w:rPr>
        <w:t xml:space="preserve"> </w:t>
      </w:r>
      <w:r>
        <w:rPr>
          <w:rFonts w:ascii="Times New Roman;serif" w:hAnsi="Times New Roman;serif"/>
          <w:b w:val="false"/>
          <w:sz w:val="20"/>
        </w:rPr>
        <w:t xml:space="preserve">Successor Rate, the Administrative Agent </w:t>
      </w:r>
      <w:r>
        <w:rPr>
          <w:rFonts w:ascii="Times New Roman;serif" w:hAnsi="Times New Roman;serif"/>
          <w:b w:val="false"/>
          <w:strike/>
          <w:sz w:val="20"/>
        </w:rPr>
        <w:t>and the Borrower</w:t>
      </w:r>
      <w:r>
        <w:rPr>
          <w:rFonts w:ascii="Times New Roman" w:hAnsi="Times New Roman"/>
          <w:sz w:val="20"/>
        </w:rPr>
        <w:t xml:space="preserve"> </w:t>
      </w:r>
      <w:r>
        <w:rPr>
          <w:rFonts w:ascii="Times New Roman;serif" w:hAnsi="Times New Roman;serif"/>
          <w:b w:val="false"/>
          <w:sz w:val="20"/>
        </w:rPr>
        <w:t>will have the right to make</w:t>
      </w:r>
      <w:r>
        <w:rPr>
          <w:rFonts w:ascii="Times New Roman" w:hAnsi="Times New Roman"/>
          <w:strike/>
          <w:sz w:val="20"/>
        </w:rPr>
        <w:t xml:space="preserve"> </w:t>
      </w:r>
      <w:r>
        <w:rPr>
          <w:rFonts w:ascii="Times New Roman;serif" w:hAnsi="Times New Roman;serif"/>
          <w:b w:val="false"/>
          <w:strike/>
          <w:sz w:val="20"/>
        </w:rPr>
        <w:t>LIBOR Successor Rate</w:t>
      </w:r>
      <w:r>
        <w:rPr>
          <w:rFonts w:ascii="Times New Roman" w:hAnsi="Times New Roman"/>
          <w:sz w:val="20"/>
        </w:rPr>
        <w:t xml:space="preserve"> </w:t>
      </w:r>
      <w:r>
        <w:rPr>
          <w:rFonts w:ascii="Times New Roman;serif" w:hAnsi="Times New Roman;serif"/>
          <w:b w:val="false"/>
          <w:sz w:val="20"/>
        </w:rPr>
        <w:t>Conforming Changes from time to time and, notwithstanding anything to the contrary herein or in any other Loan Document, any amendments implementing such</w:t>
      </w:r>
      <w:r>
        <w:rPr>
          <w:rFonts w:ascii="Times New Roman" w:hAnsi="Times New Roman"/>
          <w:strike/>
          <w:sz w:val="20"/>
        </w:rPr>
        <w:t xml:space="preserve"> </w:t>
      </w:r>
      <w:r>
        <w:rPr>
          <w:rFonts w:ascii="Times New Roman;serif" w:hAnsi="Times New Roman;serif"/>
          <w:b w:val="false"/>
          <w:strike/>
          <w:sz w:val="20"/>
        </w:rPr>
        <w:t>LIBOR Successor Rate</w:t>
      </w:r>
      <w:r>
        <w:rPr>
          <w:rFonts w:ascii="Times New Roman" w:hAnsi="Times New Roman"/>
          <w:sz w:val="20"/>
        </w:rPr>
        <w:t xml:space="preserve"> </w:t>
      </w:r>
      <w:r>
        <w:rPr>
          <w:rFonts w:ascii="Times New Roman;serif" w:hAnsi="Times New Roman;serif"/>
          <w:b w:val="false"/>
          <w:sz w:val="20"/>
        </w:rPr>
        <w:t xml:space="preserve">Conforming Changes will become effective without any further action or consent of any other party to this Agreement;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with respect to any such amendment effected, the Administrative Agent shall post each such amendment implementing such</w:t>
      </w:r>
      <w:r>
        <w:rPr>
          <w:rFonts w:ascii="Times New Roman" w:hAnsi="Times New Roman"/>
          <w:strike/>
          <w:sz w:val="20"/>
        </w:rPr>
        <w:t xml:space="preserve"> </w:t>
      </w:r>
      <w:r>
        <w:rPr>
          <w:rFonts w:ascii="Times New Roman;serif" w:hAnsi="Times New Roman;serif"/>
          <w:b w:val="false"/>
          <w:strike/>
          <w:sz w:val="20"/>
        </w:rPr>
        <w:t>LIBOR Successor</w:t>
      </w:r>
      <w:r>
        <w:rPr>
          <w:rFonts w:ascii="Times New Roman" w:hAnsi="Times New Roman"/>
          <w:sz w:val="20"/>
        </w:rPr>
        <w:t xml:space="preserve"> </w:t>
      </w:r>
      <w:r>
        <w:rPr>
          <w:rFonts w:ascii="Times New Roman;serif" w:hAnsi="Times New Roman;serif"/>
          <w:b w:val="false"/>
          <w:sz w:val="20"/>
        </w:rPr>
        <w:t>Conforming Changes to the Lenders reasonably promptly after such amendment becomes effective.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2.15 </w:t>
      </w:r>
      <w:r>
        <w:rPr>
          <w:rFonts w:ascii="Times New Roman;serif" w:hAnsi="Times New Roman;serif"/>
          <w:b w:val="false"/>
          <w:sz w:val="20"/>
          <w:u w:val="single"/>
        </w:rPr>
        <w:t>Increased Costs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any Change in Law shall:</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impose, modify or deem applicable any reserve, special deposit, compulsory loan, insurance charge or similar requirement against assets of, deposits with or for the account of, or credit extended by, any Lender or any Issuing Bank</w:t>
      </w:r>
      <w:r>
        <w:rPr>
          <w:strike/>
        </w:rPr>
        <w:t xml:space="preserve"> </w:t>
      </w:r>
      <w:r>
        <w:rPr>
          <w:rFonts w:ascii="Times New Roman;serif" w:hAnsi="Times New Roman;serif"/>
          <w:b w:val="false"/>
          <w:strike/>
          <w:sz w:val="20"/>
        </w:rPr>
        <w:t>(except any such reserve requirement reflected in the</w:t>
      </w:r>
      <w:r>
        <w:rPr/>
        <w:t xml:space="preserve"> </w:t>
      </w:r>
      <w:r>
        <w:rPr>
          <w:rFonts w:ascii="Times New Roman;serif" w:hAnsi="Times New Roman;serif"/>
          <w:b w:val="false"/>
          <w:strike/>
          <w:sz w:val="20"/>
        </w:rPr>
        <w:t>Adjusted LIBO Rate)</w:t>
      </w:r>
      <w:r>
        <w:rPr>
          <w:rFonts w:ascii="Times New Roman;serif" w:hAnsi="Times New Roman;serif"/>
          <w:b w:val="false"/>
          <w:sz w:val="20"/>
        </w:rPr>
        <w:t>; or</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pPr>
      <w:r>
        <w:rPr>
          <w:rFonts w:ascii="Times New Roman;serif" w:hAnsi="Times New Roman;serif"/>
          <w:b w:val="false"/>
          <w:sz w:val="20"/>
        </w:rPr>
        <w:t>impose on any Lender or any Issuing Bank or the</w:t>
      </w:r>
      <w:r>
        <w:rPr/>
        <w:t xml:space="preserve"> </w:t>
      </w:r>
      <w:r>
        <w:rPr>
          <w:rFonts w:ascii="Times New Roman;serif" w:hAnsi="Times New Roman;serif"/>
          <w:b w:val="false"/>
          <w:strike/>
          <w:sz w:val="20"/>
        </w:rPr>
        <w:t>London</w:t>
      </w:r>
      <w:r>
        <w:rPr/>
        <w:t xml:space="preserve"> </w:t>
      </w:r>
      <w:r>
        <w:rPr>
          <w:rFonts w:ascii="Times New Roman;serif" w:hAnsi="Times New Roman;serif"/>
          <w:b w:val="false"/>
          <w:sz w:val="20"/>
        </w:rPr>
        <w:t xml:space="preserve">interbank market any other condition, cost or expense (other than with respect to Taxes) affecting this Agreement or </w:t>
      </w:r>
      <w:r>
        <w:rPr>
          <w:rFonts w:ascii="Times New Roman;serif" w:hAnsi="Times New Roman;serif"/>
          <w:b w:val="false"/>
          <w:strike/>
          <w:sz w:val="20"/>
        </w:rPr>
        <w:t>Eurocurrency</w:t>
      </w:r>
      <w:r>
        <w:rPr>
          <w:rFonts w:ascii="Times New Roman;serif" w:hAnsi="Times New Roman;serif"/>
          <w:b w:val="false"/>
          <w:sz w:val="20"/>
          <w:u w:val="single"/>
        </w:rPr>
        <w:t>Term</w:t>
      </w:r>
      <w:r>
        <w:rPr/>
        <w:t xml:space="preserve"> </w:t>
      </w:r>
      <w:r>
        <w:rPr>
          <w:rFonts w:ascii="Times New Roman;serif" w:hAnsi="Times New Roman;serif"/>
          <w:b w:val="false"/>
          <w:sz w:val="20"/>
          <w:u w:val="single"/>
        </w:rPr>
        <w:t>SOFR</w:t>
      </w:r>
      <w:r>
        <w:rPr/>
        <w:t xml:space="preserve"> </w:t>
      </w:r>
      <w:r>
        <w:rPr>
          <w:rFonts w:ascii="Times New Roman;serif" w:hAnsi="Times New Roman;serif"/>
          <w:b w:val="false"/>
          <w:sz w:val="20"/>
        </w:rPr>
        <w:t>Loans made by such Lender or any Letter of Credit or participation therein; or</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subject any Lender to any Taxes (other than Indemnified Taxes, Other Taxes or Excluded Taxes) on its Loans, letters of credit, Commitments, or other obligations, or its deposits, reserves, other liabilities or capital attributable thereto;</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and the result of any of the foregoing shall be to increase the actual cost to such Lender of making or maintaining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Loan (or of maintaining its obligation to make any such Loan) or to increase the actual cost to such Lender or Issuing Bank of participating in, issuing or maintaining any Letter of Credit (or of maintaining its obligation to participate in or issue any Letter of Credit) or to reduce the amount of any sum received or receivable by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to the extent any such costs or reductions are incurred by any Lender as a result of any requests, rules, guidelines or directives enacted or promulgated under the Dodd-Frank Wall Street Reform and Consumer Protection Act of 2010 and Basel III after the Effective Date, then such Lender shall be compensated pursuant to this </w:t>
      </w:r>
      <w:r>
        <w:rPr>
          <w:rFonts w:ascii="Times New Roman;serif" w:hAnsi="Times New Roman;serif"/>
          <w:b w:val="false"/>
          <w:sz w:val="20"/>
          <w:u w:val="single"/>
        </w:rPr>
        <w:t>Section 2.15(a)</w:t>
      </w:r>
      <w:r>
        <w:rPr>
          <w:rFonts w:ascii="Times New Roman" w:hAnsi="Times New Roman"/>
          <w:sz w:val="20"/>
        </w:rPr>
        <w:t xml:space="preserve"> </w:t>
      </w:r>
      <w:r>
        <w:rPr>
          <w:rFonts w:ascii="Times New Roman;serif" w:hAnsi="Times New Roman;serif"/>
          <w:b w:val="false"/>
          <w:sz w:val="20"/>
        </w:rPr>
        <w:t>only to the extent such Lender certified that it is imposing such charges on similarly situated borrowers under the other syndicated credit facilities that such Lender is a lender under.</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any Lender or Issuing Bank determines that any Change in Law regarding liquidity or capital requirements has the effect of reducing the rate of return on such Lender’s or Issuing Bank’s (or Lender’s or Issuing Bank’s Lending Office)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liquidity or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certificate of a Lender or an Issuing Bank setting forth the amount or amounts necessary to compensate such Lender or Issuing Bank or its holding company in reasonable detail, as the case may be, as specified in paragraph (a) or (b) of this Section delivered to the Borrower shall be conclusive absent manifest error. The Borrower shall pay such Lender or Issuing Bank, as the case may be, the amount shown as due on any such certificate within 15 Business Days after receipt thereof.</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rPr>
        <w:t xml:space="preserve">Failure or delay on the part of any Lender or Issuing Bank to demand compensation pursuant to this Section shall not constitute a waiver of such Lender’s or Issuing Bank’s right to demand such compensation,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Borrower shall not be required to compensate a Lender or Issuing Bank pursuant to this </w:t>
      </w:r>
      <w:r>
        <w:rPr>
          <w:rFonts w:ascii="Times New Roman;serif" w:hAnsi="Times New Roman;serif"/>
          <w:b w:val="false"/>
          <w:sz w:val="20"/>
          <w:u w:val="single"/>
        </w:rPr>
        <w:t>Section 2.15</w:t>
      </w:r>
      <w:r>
        <w:rPr/>
        <w:t xml:space="preserve"> </w:t>
      </w:r>
      <w:r>
        <w:rPr>
          <w:rFonts w:ascii="Times New Roman;serif" w:hAnsi="Times New Roman;serif"/>
          <w:b w:val="false"/>
          <w:sz w:val="20"/>
        </w:rPr>
        <w:t xml:space="preserve">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if the Change in Law giving rise to such increased costs or reductions is retroactive, then the 180-day period referred to above shall be extended to include the period of retroactive effect thereof.</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2.16 </w:t>
      </w:r>
      <w:r>
        <w:rPr>
          <w:rFonts w:ascii="Times New Roman;serif" w:hAnsi="Times New Roman;serif"/>
          <w:b w:val="false"/>
          <w:sz w:val="20"/>
          <w:u w:val="single"/>
        </w:rPr>
        <w:t>Break Funding Payments</w:t>
      </w:r>
      <w:r>
        <w:rPr>
          <w:rFonts w:ascii="Times New Roman;serif" w:hAnsi="Times New Roman;serif"/>
          <w:b w:val="false"/>
          <w:sz w:val="20"/>
        </w:rPr>
        <w:t xml:space="preserve">. In the event of (a) the payment of any principal of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other than on the last day of an Interest Period applicable thereto (including as a result of an Event of Default), (b) the conversion of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other than on the last day of the Interest Period applicable thereto, (c) the failure to borrow, convert, continue or prepay any Revolving Loan or Term Loan on the date specified in any notice delivered pursuant hereto (regardless of whether such notice may be revoked under </w:t>
      </w:r>
      <w:r>
        <w:rPr>
          <w:rFonts w:ascii="Times New Roman;serif" w:hAnsi="Times New Roman;serif"/>
          <w:b w:val="false"/>
          <w:sz w:val="20"/>
          <w:u w:val="single"/>
        </w:rPr>
        <w:t>Section 2.11(f)</w:t>
      </w:r>
      <w:r>
        <w:rPr>
          <w:rFonts w:ascii="Times New Roman" w:hAnsi="Times New Roman"/>
          <w:sz w:val="20"/>
        </w:rPr>
        <w:t xml:space="preserve"> </w:t>
      </w:r>
      <w:r>
        <w:rPr>
          <w:rFonts w:ascii="Times New Roman;serif" w:hAnsi="Times New Roman;serif"/>
          <w:b w:val="false"/>
          <w:sz w:val="20"/>
        </w:rPr>
        <w:t xml:space="preserve">and is revoked in accordance therewith) or (d) the assignment of any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other than on the last day of the Interest Period applicable thereto as a result of a request by the Borrower pursuant to </w:t>
      </w:r>
      <w:r>
        <w:rPr>
          <w:rFonts w:ascii="Times New Roman;serif" w:hAnsi="Times New Roman;serif"/>
          <w:b w:val="false"/>
          <w:sz w:val="20"/>
          <w:u w:val="single"/>
        </w:rPr>
        <w:t>Section 2.19</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9.02(c)</w:t>
      </w:r>
      <w:r>
        <w:rPr>
          <w:rFonts w:ascii="Times New Roman;serif" w:hAnsi="Times New Roman;serif"/>
          <w:b w:val="false"/>
          <w:sz w:val="20"/>
        </w:rPr>
        <w:t xml:space="preserve">, then, in any such event, the Borrower shall, after receipt of a written request by any Lender affected by any such event (which request shall set forth in reasonable detail the basis for requesting such amount), compensate each Lender for the actual loss, cost and expense attributable to such event. For purposes of calculating amounts payable by the Borrower to the Lenders under this </w:t>
      </w:r>
      <w:r>
        <w:rPr>
          <w:rFonts w:ascii="Times New Roman;serif" w:hAnsi="Times New Roman;serif"/>
          <w:b w:val="false"/>
          <w:sz w:val="20"/>
          <w:u w:val="single"/>
        </w:rPr>
        <w:t>Section 2.16</w:t>
      </w:r>
      <w:r>
        <w:rPr>
          <w:rFonts w:ascii="Times New Roman;serif" w:hAnsi="Times New Roman;serif"/>
          <w:b w:val="false"/>
          <w:sz w:val="20"/>
        </w:rPr>
        <w:t xml:space="preserve">, each Lender shall be deemed to have funded each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made by it at </w:t>
      </w:r>
      <w:r>
        <w:rPr>
          <w:rFonts w:ascii="Times New Roman;serif" w:hAnsi="Times New Roman;serif"/>
          <w:b w:val="false"/>
          <w:strike/>
          <w:sz w:val="20"/>
        </w:rPr>
        <w:t>the</w:t>
      </w:r>
      <w:r>
        <w:rPr>
          <w:rFonts w:ascii="Times New Roman" w:hAnsi="Times New Roman"/>
          <w:sz w:val="20"/>
        </w:rPr>
        <w:t xml:space="preserve"> </w:t>
      </w:r>
      <w:r>
        <w:rPr>
          <w:rFonts w:ascii="Times New Roman;serif" w:hAnsi="Times New Roman;serif"/>
          <w:b w:val="false"/>
          <w:sz w:val="20"/>
        </w:rPr>
        <w:t xml:space="preserve">Adjusted </w:t>
      </w:r>
      <w:r>
        <w:rPr>
          <w:rFonts w:ascii="Times New Roman;serif" w:hAnsi="Times New Roman;serif"/>
          <w:b w:val="false"/>
          <w:strike/>
          <w:sz w:val="20"/>
        </w:rPr>
        <w:t>LIBO Rate</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(determined without giving effect to any interest rate “floor”) for such Loan by a matching deposit or other borrowing for a comparable amount and for a comparable period, whether or not such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 was in fact so funded. A certificate of any Lender setting forth any amount or amounts that such Lender is entitled to receive pursuant to this Section delivered to the Borrower shall be conclusive absent manifest error. The Borrower shall pay such Lender the amount shown as due on any such certificate within 15 Business Days after receipt of such demand. Notwithstanding the foregoing, this </w:t>
      </w:r>
      <w:r>
        <w:rPr>
          <w:rFonts w:ascii="Times New Roman;serif" w:hAnsi="Times New Roman;serif"/>
          <w:b w:val="false"/>
          <w:sz w:val="20"/>
          <w:u w:val="single"/>
        </w:rPr>
        <w:t>Section 2.16</w:t>
      </w:r>
      <w:r>
        <w:rPr>
          <w:rFonts w:ascii="Times New Roman" w:hAnsi="Times New Roman"/>
          <w:sz w:val="20"/>
        </w:rPr>
        <w:t xml:space="preserve"> </w:t>
      </w:r>
      <w:r>
        <w:rPr>
          <w:rFonts w:ascii="Times New Roman;serif" w:hAnsi="Times New Roman;serif"/>
          <w:b w:val="false"/>
          <w:sz w:val="20"/>
        </w:rPr>
        <w:t xml:space="preserve">will not apply to losses, costs or expenses resulting from Taxes, as to which </w:t>
      </w:r>
      <w:r>
        <w:rPr>
          <w:rFonts w:ascii="Times New Roman;serif" w:hAnsi="Times New Roman;serif"/>
          <w:b w:val="false"/>
          <w:sz w:val="20"/>
          <w:u w:val="single"/>
        </w:rPr>
        <w:t>Section 2.17</w:t>
      </w:r>
      <w:r>
        <w:rPr>
          <w:rFonts w:ascii="Times New Roman" w:hAnsi="Times New Roman"/>
          <w:sz w:val="20"/>
        </w:rPr>
        <w:t xml:space="preserve"> </w:t>
      </w:r>
      <w:r>
        <w:rPr>
          <w:rFonts w:ascii="Times New Roman;serif" w:hAnsi="Times New Roman;serif"/>
          <w:b w:val="false"/>
          <w:sz w:val="20"/>
        </w:rPr>
        <w:t>shall govern.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2.17 </w:t>
      </w:r>
      <w:r>
        <w:rPr>
          <w:rFonts w:ascii="Times New Roman;serif" w:hAnsi="Times New Roman;serif"/>
          <w:b w:val="false"/>
          <w:sz w:val="20"/>
          <w:u w:val="single"/>
        </w:rPr>
        <w:t>Taxes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Any and all payments by or on account of any obligation of any Loan Party under any Loan Document shall be made free and clear of and without deduction for any Taxes,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the applicable withholding agent shall be required by applicable Requirements of Law to withhold or deduct any Taxes from such payments, then (i) the applicable withholding agent shall make such withholdings or deductions, (ii) the applicable withholding agent shall timely pay the full amount withheld or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Times New Roman;serif" w:hAnsi="Times New Roman;serif"/>
          <w:b w:val="false"/>
          <w:sz w:val="20"/>
          <w:u w:val="single"/>
        </w:rPr>
        <w:t>Section 2.17</w:t>
      </w:r>
      <w:r>
        <w:rPr>
          <w:rFonts w:ascii="Times New Roman;serif" w:hAnsi="Times New Roman;serif"/>
          <w:b w:val="false"/>
          <w:sz w:val="20"/>
        </w:rPr>
        <w:t>) the applicable Lender (or, in the case of a payment received by the Administrative Agent for its own account, the Administrative Agent) receives an amount equal to the sum it would have received had no such deductions been made.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Without limiting the provisions of paragraph (a) above, the Borrower shall timely pay any Other Taxes to the relevant Governmental Authority in accordance with Requirements of Law.</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The Borrower shall indemnify the Administrative Agent and each Lender, within 30 days after written demand therefor, for the full amount of any Indemnified Taxes paid by the Administrative Agent or such Lender, as the case may be, and any Other Taxes (including Indemnified Taxes or Other Taxes imposed or asserted on or attributable to amounts payable under this </w:t>
      </w:r>
      <w:r>
        <w:rPr>
          <w:rFonts w:ascii="Times New Roman;serif" w:hAnsi="Times New Roman;serif"/>
          <w:b w:val="false"/>
          <w:sz w:val="20"/>
          <w:u w:val="single"/>
        </w:rPr>
        <w:t>Section 2.17</w:t>
      </w:r>
      <w:r>
        <w:rPr>
          <w:rFonts w:ascii="Times New Roman;serif" w:hAnsi="Times New Roman;serif"/>
          <w:b w:val="false"/>
          <w:sz w:val="20"/>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As soon as practicable after any payment of Taxes by a Loan Party to a Governmental Authority pursuant to this </w:t>
      </w:r>
      <w:r>
        <w:rPr>
          <w:rFonts w:ascii="Times New Roman;serif" w:hAnsi="Times New Roman;serif"/>
          <w:b w:val="false"/>
          <w:sz w:val="20"/>
          <w:u w:val="single"/>
        </w:rPr>
        <w:t>Section 2.17</w:t>
      </w:r>
      <w:r>
        <w:rPr>
          <w:rFonts w:ascii="Times New Roman;serif" w:hAnsi="Times New Roman;serif"/>
          <w:b w:val="false"/>
          <w:sz w:val="20"/>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withholding or information reporting requirements. Each Lender shall, whenever a lapse of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In addition, any Lender, at the time or times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such Lender is subject to backup withholding or information reporting requirements.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Without limiting the foregoing:</w:t>
      </w:r>
    </w:p>
    <w:p>
      <w:pPr>
        <w:pStyle w:val="TextBody"/>
        <w:bidi w:val="0"/>
        <w:spacing w:before="200" w:after="0"/>
        <w:jc w:val="both"/>
        <w:rPr>
          <w:rFonts w:ascii="Times New Roman" w:hAnsi="Times New Roman"/>
          <w:b w:val="false"/>
          <w:sz w:val="20"/>
        </w:rPr>
      </w:pPr>
      <w:r>
        <w:rPr>
          <w:rFonts w:ascii="Times New Roman" w:hAnsi="Times New Roman"/>
          <w:b w:val="false"/>
          <w:sz w:val="20"/>
        </w:rPr>
        <w:t>(1)</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Lender that is a “United States person” within the meaning of Section 7701(a)(30) of the Code shall deliver to the Borrower and the Administrative Agent on or before the date on which it becomes a party to this Agreement (and from time to time thereafter upon the request of the Borrower or the Administrative Agent) two properly completed and duly signed original copies of Internal Revenue Service Form W-9 (or any successor form) certifying that such Lender is exempt from U.S. federal backup withholding.</w:t>
      </w:r>
    </w:p>
    <w:p>
      <w:pPr>
        <w:pStyle w:val="TextBody"/>
        <w:bidi w:val="0"/>
        <w:spacing w:before="200" w:after="0"/>
        <w:jc w:val="both"/>
        <w:rPr>
          <w:rFonts w:ascii="Times New Roman" w:hAnsi="Times New Roman"/>
          <w:b w:val="false"/>
          <w:sz w:val="20"/>
        </w:rPr>
      </w:pPr>
      <w:r>
        <w:rPr>
          <w:rFonts w:ascii="Times New Roman" w:hAnsi="Times New Roman"/>
          <w:b w:val="false"/>
          <w:sz w:val="20"/>
        </w:rPr>
        <w:t>(2)</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Each Lender that is not a “United States person” within the meaning of Section 7701(a)(30) of the Code shall deliver to the Borrower and the Administrative Agent on or before the date on which it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becomes a party to this Agreement (and from time to time thereafter upon the request of the Borrower or the Administrative Agent) whichever of the following is applicable:</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two properly completed and duly signed original copies of Internal Revenue Service Form W-8BEN or W-8BEN-E (or any successor forms) claiming eligibility for the benefits of an income tax treaty to which the United States is a party,</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two properly completed and duly signed original copies of Internal Revenue Service Form W-8ECI (or any successor forms),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in the case of a Lender claiming the benefits of the exemption for portfolio interest under Section 871(h) or Section 881(c) of the Code, (x) two properly completed and duly signed certificates substantially in the form of </w:t>
      </w:r>
      <w:r>
        <w:rPr>
          <w:rFonts w:ascii="Times New Roman;serif" w:hAnsi="Times New Roman;serif"/>
          <w:b w:val="false"/>
          <w:sz w:val="20"/>
          <w:u w:val="single"/>
        </w:rPr>
        <w:t>Exhibit P-1</w:t>
      </w:r>
      <w:r>
        <w:rPr>
          <w:rFonts w:ascii="Times New Roman;serif" w:hAnsi="Times New Roman;serif"/>
          <w:b w:val="false"/>
          <w:sz w:val="20"/>
        </w:rPr>
        <w:t xml:space="preserve">, </w:t>
      </w:r>
      <w:r>
        <w:rPr>
          <w:rFonts w:ascii="Times New Roman;serif" w:hAnsi="Times New Roman;serif"/>
          <w:b w:val="false"/>
          <w:sz w:val="20"/>
          <w:u w:val="single"/>
        </w:rPr>
        <w:t>P-2</w:t>
      </w:r>
      <w:r>
        <w:rPr>
          <w:rFonts w:ascii="Times New Roman;serif" w:hAnsi="Times New Roman;serif"/>
          <w:b w:val="false"/>
          <w:sz w:val="20"/>
        </w:rPr>
        <w:t xml:space="preserve">, </w:t>
      </w:r>
      <w:r>
        <w:rPr>
          <w:rFonts w:ascii="Times New Roman;serif" w:hAnsi="Times New Roman;serif"/>
          <w:b w:val="false"/>
          <w:sz w:val="20"/>
          <w:u w:val="single"/>
        </w:rPr>
        <w:t>P-3</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P-4</w:t>
      </w:r>
      <w:r>
        <w:rPr>
          <w:rFonts w:ascii="Times New Roman;serif" w:hAnsi="Times New Roman;serif"/>
          <w:b w:val="false"/>
          <w:sz w:val="20"/>
        </w:rPr>
        <w:t>, as applicable, (any such certificate, a “</w:t>
      </w:r>
      <w:r>
        <w:rPr>
          <w:rFonts w:ascii="Times New Roman;serif" w:hAnsi="Times New Roman;serif"/>
          <w:b w:val="false"/>
          <w:sz w:val="20"/>
          <w:u w:val="single"/>
        </w:rPr>
        <w:t>U.S. Tax Compliance Certificate</w:t>
      </w:r>
      <w:r>
        <w:rPr/>
        <w:t>”</w:t>
      </w:r>
      <w:r>
        <w:rPr>
          <w:rFonts w:ascii="Times New Roman;serif" w:hAnsi="Times New Roman;serif"/>
          <w:b w:val="false"/>
          <w:sz w:val="20"/>
        </w:rPr>
        <w:t>) and (y) two properly completed and duly signed original copies of Internal Revenue Service Form W-8BEN or W-8BEN-E (or any successor forms),</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to the extent a Lender is not the beneficial owner (for example, where the Lender is a partnership or a participating Lender), two properly completed and duly signed original copies of Internal Revenue Service Form W-8IMY (or any successor forms) of the Lender, accompanied by Internal Revenue Service Form W-8ECI, W-8BEN, W-8BEN-E, Form W-9 or Form W-8IMY, a U.S. Tax Compliance Certificate or any other required information (or any successor forms) from each beneficial owner that would be required under this </w:t>
      </w:r>
      <w:r>
        <w:rPr>
          <w:rFonts w:ascii="Times New Roman;serif" w:hAnsi="Times New Roman;serif"/>
          <w:b w:val="false"/>
          <w:sz w:val="20"/>
          <w:u w:val="single"/>
        </w:rPr>
        <w:t>Section 2.17(e)</w:t>
      </w:r>
      <w:r>
        <w:rPr/>
        <w:t xml:space="preserve"> </w:t>
      </w:r>
      <w:r>
        <w:rPr>
          <w:rFonts w:ascii="Times New Roman;serif" w:hAnsi="Times New Roman;serif"/>
          <w:b w:val="false"/>
          <w:sz w:val="20"/>
        </w:rPr>
        <w:t>if such beneficial owner were a Lender, as applicable (</w:t>
      </w:r>
      <w:r>
        <w:rPr>
          <w:rFonts w:ascii="Times New Roman;serif" w:hAnsi="Times New Roman;serif"/>
          <w:b w:val="false"/>
          <w:sz w:val="20"/>
          <w:u w:val="single"/>
        </w:rPr>
        <w:t>provided</w:t>
      </w:r>
      <w:r>
        <w:rPr/>
        <w:t xml:space="preserve"> </w:t>
      </w:r>
      <w:r>
        <w:rPr>
          <w:rFonts w:ascii="Times New Roman;serif" w:hAnsi="Times New Roman;serif"/>
          <w:b w:val="false"/>
          <w:sz w:val="20"/>
        </w:rPr>
        <w:t>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two properly completed and duly signed original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Requirements of Law to permit the Borrower or the Administrative Agent to determine the withholding or deduction required to be made.</w:t>
      </w:r>
    </w:p>
    <w:p>
      <w:pPr>
        <w:pStyle w:val="TextBody"/>
        <w:bidi w:val="0"/>
        <w:spacing w:before="200" w:after="0"/>
        <w:jc w:val="both"/>
        <w:rPr>
          <w:rFonts w:ascii="Times New Roman" w:hAnsi="Times New Roman"/>
          <w:b w:val="false"/>
          <w:sz w:val="20"/>
        </w:rPr>
      </w:pPr>
      <w:r>
        <w:rPr>
          <w:rFonts w:ascii="Times New Roman" w:hAnsi="Times New Roman"/>
          <w:b w:val="false"/>
          <w:sz w:val="20"/>
        </w:rPr>
        <w:t>(3)</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If a payment made to a Lender under any Loan Document would be subject to U.S.federal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if necessary, to determine the amount, if any, to deduct and withhold from such payment. Solely for purposes of this clause (3), “FATCA” shall include any amendments made to FATCA after the date hereof.</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Notwithstanding any other provisions of this clause (e), a Lender shall not be required to deliver any form or other documentation that such Lender is not legally eligible to deliver.</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283"/>
        <w:jc w:val="both"/>
        <w:rPr/>
      </w:pPr>
      <w:r>
        <w:rPr>
          <w:rFonts w:ascii="Times New Roman;serif" w:hAnsi="Times New Roman;serif"/>
          <w:b w:val="false"/>
          <w:sz w:val="20"/>
        </w:rPr>
        <w:t xml:space="preserve">If the Borrower determines in good faith that a reasonable basis exists for contesting any Taxes for which indemnification has been demanded hereunder, the Administrative Agent or the relevant Lender, as applicable, shall use commercially reasonable efforts to cooperate with the Borrower in a reasonable challenge of such Taxes if so requested by the Borrower;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the Administrative Agent or such Lender determines in its reasonable discretion that it would not be subject to any unreimbursed third party cost or expense or otherwise be prejudiced by cooperating in such challenge, (b) the Borrower pays all related expenses of the Administrative Agent or such Lender, as applicable and (c) the Borrower indemnifies the Administrative Agent or such Lender, as applicable, for any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liabilities or other costs incurred by such party in connection with such challenge. The Administrative Agent or a Lender shall claim any refund that it determines is reasonably available to it, unless it concludes in its reasonable discretion that it would be adversely affected by making such a claim. If the Administrative Agent or a Lender receives a refund of any Indemnified Taxes or Other Taxes as to which it has been indemnified by the Borrower or with respect to which the Borrower has paid additional amounts pursuant to this </w:t>
      </w:r>
      <w:r>
        <w:rPr>
          <w:rFonts w:ascii="Times New Roman;serif" w:hAnsi="Times New Roman;serif"/>
          <w:b w:val="false"/>
          <w:sz w:val="20"/>
          <w:u w:val="single"/>
        </w:rPr>
        <w:t>Section 2.17</w:t>
      </w:r>
      <w:r>
        <w:rPr>
          <w:rFonts w:ascii="Times New Roman;serif" w:hAnsi="Times New Roman;serif"/>
          <w:b w:val="false"/>
          <w:sz w:val="20"/>
        </w:rPr>
        <w:t xml:space="preserve">, it shall pay over such refund to the Borrower (but only to the extent of indemnity payments made, or additional amounts paid, by the Borrower under this </w:t>
      </w:r>
      <w:r>
        <w:rPr>
          <w:rFonts w:ascii="Times New Roman;serif" w:hAnsi="Times New Roman;serif"/>
          <w:b w:val="false"/>
          <w:sz w:val="20"/>
          <w:u w:val="single"/>
        </w:rPr>
        <w:t>Section 2.17</w:t>
      </w:r>
      <w:r>
        <w:rPr/>
        <w:t xml:space="preserve"> </w:t>
      </w:r>
      <w:r>
        <w:rPr>
          <w:rFonts w:ascii="Times New Roman;serif" w:hAnsi="Times New Roman;serif"/>
          <w:b w:val="false"/>
          <w:sz w:val="20"/>
        </w:rPr>
        <w:t xml:space="preserve">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Administrative Agent or such Lender may delete any information therein that the Administrative Agent or such Lender deems confidential). Notwithstanding anything to the contrary, this </w:t>
      </w:r>
      <w:r>
        <w:rPr>
          <w:rFonts w:ascii="Times New Roman;serif" w:hAnsi="Times New Roman;serif"/>
          <w:b w:val="false"/>
          <w:sz w:val="20"/>
          <w:u w:val="single"/>
        </w:rPr>
        <w:t>Section 2.17(f)</w:t>
      </w:r>
      <w:r>
        <w:rPr/>
        <w:t xml:space="preserve"> </w:t>
      </w:r>
      <w:r>
        <w:rPr>
          <w:rFonts w:ascii="Times New Roman;serif" w:hAnsi="Times New Roman;serif"/>
          <w:b w:val="false"/>
          <w:sz w:val="20"/>
        </w:rPr>
        <w:t>shall not be construed to require the Administrative Agent or any Lender to make available its Tax returns (or any other information relating to Taxes which it deems confidential) to any Loan Party or any other Person.</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0"/>
        <w:jc w:val="both"/>
        <w:rPr/>
      </w:pPr>
      <w:r>
        <w:rPr>
          <w:rFonts w:ascii="Times New Roman;serif" w:hAnsi="Times New Roman;serif"/>
          <w:b w:val="false"/>
          <w:sz w:val="20"/>
        </w:rPr>
        <w:t xml:space="preserve">Each Lender hereby authorizes the Administrative Agent to deliver to the Loan Parties and to any successor Administrative Agent any documentation provided by such Lender to the Administrative Agent pursuant to </w:t>
      </w:r>
      <w:r>
        <w:rPr>
          <w:rFonts w:ascii="Times New Roman;serif" w:hAnsi="Times New Roman;serif"/>
          <w:b w:val="false"/>
          <w:sz w:val="20"/>
          <w:u w:val="single"/>
        </w:rPr>
        <w:t>Section 2.17(e)</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pPr>
      <w:r>
        <w:rPr>
          <w:rFonts w:ascii="Times New Roman;serif" w:hAnsi="Times New Roman;serif"/>
          <w:b w:val="false"/>
          <w:sz w:val="20"/>
        </w:rPr>
        <w:t xml:space="preserve">The agreements in this </w:t>
      </w:r>
      <w:r>
        <w:rPr>
          <w:rFonts w:ascii="Times New Roman;serif" w:hAnsi="Times New Roman;serif"/>
          <w:b w:val="false"/>
          <w:sz w:val="20"/>
          <w:u w:val="single"/>
        </w:rPr>
        <w:t>Section 2.17</w:t>
      </w:r>
      <w:r>
        <w:rPr/>
        <w:t xml:space="preserve"> </w:t>
      </w:r>
      <w:r>
        <w:rPr>
          <w:rFonts w:ascii="Times New Roman;serif" w:hAnsi="Times New Roman;serif"/>
          <w:b w:val="false"/>
          <w:sz w:val="20"/>
        </w:rPr>
        <w:t>shall survive the termination of this Agreement and the payment of the Loans and all other amounts payable hereunder.</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283"/>
        <w:jc w:val="both"/>
        <w:rPr/>
      </w:pPr>
      <w:r>
        <w:rPr>
          <w:rFonts w:ascii="Times New Roman;serif" w:hAnsi="Times New Roman;serif"/>
          <w:b w:val="false"/>
          <w:sz w:val="20"/>
        </w:rPr>
        <w:t xml:space="preserve">For purposes of this </w:t>
      </w:r>
      <w:r>
        <w:rPr>
          <w:rFonts w:ascii="Times New Roman;serif" w:hAnsi="Times New Roman;serif"/>
          <w:b w:val="false"/>
          <w:sz w:val="20"/>
          <w:u w:val="single"/>
        </w:rPr>
        <w:t>Section 2.17</w:t>
      </w:r>
      <w:r>
        <w:rPr>
          <w:rFonts w:ascii="Times New Roman;serif" w:hAnsi="Times New Roman;serif"/>
          <w:b w:val="false"/>
          <w:sz w:val="20"/>
        </w:rPr>
        <w:t>, the term “Lender” shall include any Issuing Bank.</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2.18 </w:t>
      </w:r>
      <w:r>
        <w:rPr>
          <w:rFonts w:ascii="Times New Roman;serif" w:hAnsi="Times New Roman;serif"/>
          <w:b w:val="false"/>
          <w:sz w:val="20"/>
          <w:u w:val="single"/>
        </w:rPr>
        <w:t>Payments Generally; Pro Rata Treatment; Sharing of Setoffs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The Borrower shall make each payment required to be made by it under any Loan Document (whether of principal, interest, fees, or reimbursement of LC Disbursement or of amounts payable under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2.15</w:t>
      </w:r>
      <w:r>
        <w:rPr>
          <w:rFonts w:ascii="Times New Roman;serif" w:hAnsi="Times New Roman;serif"/>
          <w:b w:val="false"/>
          <w:sz w:val="20"/>
        </w:rPr>
        <w:t xml:space="preserve">, </w:t>
      </w:r>
      <w:r>
        <w:rPr>
          <w:rFonts w:ascii="Times New Roman;serif" w:hAnsi="Times New Roman;serif"/>
          <w:b w:val="false"/>
          <w:sz w:val="20"/>
          <w:u w:val="single"/>
        </w:rPr>
        <w:t>2.16</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2.17</w:t>
      </w:r>
      <w:r>
        <w:rPr>
          <w:rFonts w:ascii="Times New Roman;serif" w:hAnsi="Times New Roman;serif"/>
          <w:b w:val="false"/>
          <w:sz w:val="20"/>
        </w:rPr>
        <w:t xml:space="preserve">, or otherwise) prior to the time expressly required hereunder or under such other Loan Document for such payment (or, if no such time is expressly required, prior to 2:00 p.m., New York City time), on the date when due, in immediately available funds, free and clear of and without setoff, recoupment, defense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shall be made as expressly provided herein and except that payments pursuant to </w:t>
      </w:r>
      <w:r>
        <w:rPr>
          <w:rFonts w:ascii="Times New Roman;serif" w:hAnsi="Times New Roman;serif"/>
          <w:b w:val="false"/>
          <w:sz w:val="20"/>
          <w:u w:val="single"/>
        </w:rPr>
        <w:t>Sections 2.15</w:t>
      </w:r>
      <w:r>
        <w:rPr>
          <w:rFonts w:ascii="Times New Roman;serif" w:hAnsi="Times New Roman;serif"/>
          <w:b w:val="false"/>
          <w:sz w:val="20"/>
        </w:rPr>
        <w:t xml:space="preserve">, </w:t>
      </w:r>
      <w:r>
        <w:rPr>
          <w:rFonts w:ascii="Times New Roman;serif" w:hAnsi="Times New Roman;serif"/>
          <w:b w:val="false"/>
          <w:strike/>
          <w:sz w:val="20"/>
          <w:u w:val="single"/>
        </w:rPr>
        <w:t>2.16</w:t>
      </w:r>
      <w:r>
        <w:rPr>
          <w:rFonts w:ascii="Times New Roman;serif" w:hAnsi="Times New Roman;serif"/>
          <w:b w:val="false"/>
          <w:strike/>
          <w:sz w:val="20"/>
        </w:rPr>
        <w:t>,</w:t>
      </w:r>
      <w:r>
        <w:rPr>
          <w:rFonts w:ascii="Times New Roman;serif" w:hAnsi="Times New Roman;serif"/>
          <w:b w:val="false"/>
          <w:sz w:val="20"/>
          <w:u w:val="single"/>
        </w:rPr>
        <w:t>2.16,</w:t>
      </w:r>
      <w:r>
        <w:rPr/>
        <w:t xml:space="preserve"> </w:t>
      </w:r>
      <w:r>
        <w:rPr>
          <w:rFonts w:ascii="Times New Roman;serif" w:hAnsi="Times New Roman;serif"/>
          <w:b w:val="false"/>
          <w:sz w:val="20"/>
          <w:u w:val="single"/>
        </w:rPr>
        <w:t>2.17</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9.03</w:t>
      </w:r>
      <w:r>
        <w:rPr/>
        <w:t xml:space="preserve"> </w:t>
      </w:r>
      <w:r>
        <w:rPr>
          <w:rFonts w:ascii="Times New Roman;serif" w:hAnsi="Times New Roman;serif"/>
          <w:b w:val="false"/>
          <w:sz w:val="20"/>
        </w:rPr>
        <w:t xml:space="preserve">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 xml:space="preserve">Loans) under any Loan Document shall be due on a day that is not a Business Day, the date for payment shall be extended to the next succeeding Business Day. If any payment on a </w:t>
      </w:r>
      <w:r>
        <w:rPr>
          <w:rFonts w:ascii="Times New Roman;serif" w:hAnsi="Times New Roman;serif"/>
          <w:b w:val="false"/>
          <w:strike/>
          <w:sz w:val="20"/>
        </w:rPr>
        <w:t>Eurocurrency</w:t>
      </w:r>
      <w:r>
        <w:rPr>
          <w:rFonts w:ascii="Times New Roman;serif" w:hAnsi="Times New Roman;serif"/>
          <w:b w:val="false"/>
          <w:sz w:val="20"/>
          <w:u w:val="single"/>
        </w:rPr>
        <w:t>Term SOFR</w:t>
      </w:r>
      <w:r>
        <w:rPr/>
        <w:t xml:space="preserve"> </w:t>
      </w:r>
      <w:r>
        <w:rPr>
          <w:rFonts w:ascii="Times New Roman;serif" w:hAnsi="Times New Roman;serif"/>
          <w:b w:val="false"/>
          <w:sz w:val="20"/>
        </w:rPr>
        <w:t>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shall be made in the currency in which such Loan is denominated, all reimbursements of any LC Disbursements shall be made in dollars, all payments of accrued interest payable on a Loan or LC Disbursement shall be made in dollars, and all other payments under each Loan Document shall be made in dollars.</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If at any time insufficient funds are received by and available to the Administrative Agent to pay fully all applicable amounts of principal, unreimbursed LC Disbursements, interest and fees then due hereunder, such funds shall be applied (i) first, towards payment of applicable interest and fees then due hereunder, ratably among the parties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entitled thereto in accordance with the applicable amounts of interest and fees then due to such parties, and (ii) second, towards payment of applicable principal and unreimbursed LC Disbursements then due hereunder, ratably among the parties entitled thereto in accordance with the amounts of principal and unreimbursed LC Disbursements then due to such parties.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If any Lender shall, by exercising any right of setoff or counterclaim or otherwise, obtain payment in respect of any principal of or interest on any of its Loans of a given Class or participations in LC Disbursements resulting in such Lender receiving payment of a greater proportion of the aggregate amount of its Loans of such Class or participations in LC Disbursements and accrued interest thereon than the proportion received by any other Lender with outstanding Loans of the same Class or participations in LC Disbursements, then the Lender receiving such greater proportion shall purchase (for cash at face value) participations in the Loans of such Class or participations in LC Disbursements of other Lenders to the extent necessary so that the benefit of all such payments shall be shared by the Lenders ratably in accordance with the aggregate amount of principal of and accrued interest on their respective Loans of such Class or participations in LC Disbursements; </w:t>
      </w:r>
      <w:r>
        <w:rPr>
          <w:rFonts w:ascii="Times New Roman;serif" w:hAnsi="Times New Roman;serif"/>
          <w:b w:val="false"/>
          <w:sz w:val="20"/>
          <w:u w:val="single"/>
        </w:rPr>
        <w:t>provided</w:t>
      </w:r>
      <w:r>
        <w:rPr/>
        <w:t xml:space="preserve"> </w:t>
      </w:r>
      <w:r>
        <w:rPr>
          <w:rFonts w:ascii="Times New Roman;serif" w:hAnsi="Times New Roman;serif"/>
          <w:b w:val="false"/>
          <w:sz w:val="20"/>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Holdings or the Borrower pursuant to and in accordance with the express terms of this Agreement (including the application of funds arising from existence of a Defaulting Lender), (B) any payment obtained by a Lender as consideration for the assignment of or sale of a participation in any of its Loans or participations in LC Disbursements to any assignee or participant (including a Purchasing Borrower Party)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Holdings and the Borrower consents to the foregoing and agrees, to the extent it may effectively do so under applicable law, that any Lender acquiring a participation pursuant to the foregoing arrangements may exercise against Holdings or the Borrower rights of setoff and counterclaim with respect to such participation as fully as if such Lender were a direct creditor of Holdings or the Borrower, as applicable, in the amount of such participation.</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Unless the Administrative Agent shall have received notice from Holdings or the Borrower prior to the date on which any payment is due to the Administrative Agent for the account of the Lenders or the Issuing Banks hereunder that Holdings or the Borrower will not make such payment, the Administrative Agent may assume that Holdings or the Borrower has made such payment on such date in accordance herewith and may, in reliance upon such assumption and in its sole discretion, distribute to the Lenders or the Issuing Banks, as the case may be, the amount due. In such event, if Holdings or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pPr>
      <w:r>
        <w:rPr>
          <w:rFonts w:ascii="Times New Roman;serif" w:hAnsi="Times New Roman;serif"/>
          <w:b w:val="false"/>
          <w:sz w:val="20"/>
        </w:rPr>
        <w:t xml:space="preserve">If any Lender shall fail to make any payment required to be made by it pursuant to </w:t>
      </w:r>
      <w:r>
        <w:rPr>
          <w:rFonts w:ascii="Times New Roman;serif" w:hAnsi="Times New Roman;serif"/>
          <w:b w:val="false"/>
          <w:sz w:val="20"/>
          <w:u w:val="single"/>
        </w:rPr>
        <w:t>Section 2.05(e)</w:t>
      </w:r>
      <w:r>
        <w:rPr>
          <w:rFonts w:ascii="Times New Roman;serif" w:hAnsi="Times New Roman;serif"/>
          <w:b w:val="false"/>
          <w:sz w:val="20"/>
        </w:rPr>
        <w:t xml:space="preserve">, </w:t>
      </w:r>
      <w:r>
        <w:rPr>
          <w:rFonts w:ascii="Times New Roman;serif" w:hAnsi="Times New Roman;serif"/>
          <w:b w:val="false"/>
          <w:sz w:val="20"/>
          <w:u w:val="single"/>
        </w:rPr>
        <w:t>Section 2.05(f)</w:t>
      </w:r>
      <w:r>
        <w:rPr>
          <w:rFonts w:ascii="Times New Roman;serif" w:hAnsi="Times New Roman;serif"/>
          <w:b w:val="false"/>
          <w:sz w:val="20"/>
        </w:rPr>
        <w:t xml:space="preserve">, </w:t>
      </w:r>
      <w:r>
        <w:rPr>
          <w:rFonts w:ascii="Times New Roman;serif" w:hAnsi="Times New Roman;serif"/>
          <w:b w:val="false"/>
          <w:sz w:val="20"/>
          <w:u w:val="single"/>
        </w:rPr>
        <w:t>Section 2.06(a)</w:t>
      </w:r>
      <w:r>
        <w:rPr>
          <w:rFonts w:ascii="Times New Roman;serif" w:hAnsi="Times New Roman;serif"/>
          <w:b w:val="false"/>
          <w:sz w:val="20"/>
        </w:rPr>
        <w:t xml:space="preserve">, </w:t>
      </w:r>
      <w:r>
        <w:rPr>
          <w:rFonts w:ascii="Times New Roman;serif" w:hAnsi="Times New Roman;serif"/>
          <w:b w:val="false"/>
          <w:sz w:val="20"/>
          <w:u w:val="single"/>
        </w:rPr>
        <w:t>Section 2.06(b)</w:t>
      </w:r>
      <w:r>
        <w:rPr>
          <w:rFonts w:ascii="Times New Roman;serif" w:hAnsi="Times New Roman;serif"/>
          <w:b w:val="false"/>
          <w:sz w:val="20"/>
        </w:rPr>
        <w:t xml:space="preserve">, </w:t>
      </w:r>
      <w:r>
        <w:rPr>
          <w:rFonts w:ascii="Times New Roman;serif" w:hAnsi="Times New Roman;serif"/>
          <w:b w:val="false"/>
          <w:sz w:val="20"/>
          <w:u w:val="single"/>
        </w:rPr>
        <w:t>Section 2.06(c)</w:t>
      </w:r>
      <w:r>
        <w:rPr>
          <w:rFonts w:ascii="Times New Roman;serif" w:hAnsi="Times New Roman;serif"/>
          <w:b w:val="false"/>
          <w:sz w:val="20"/>
        </w:rPr>
        <w:t xml:space="preserve">, </w:t>
      </w:r>
      <w:r>
        <w:rPr>
          <w:rFonts w:ascii="Times New Roman;serif" w:hAnsi="Times New Roman;serif"/>
          <w:b w:val="false"/>
          <w:sz w:val="20"/>
          <w:u w:val="single"/>
        </w:rPr>
        <w:t>Section 2.18(d)</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9.03(c)</w:t>
      </w:r>
      <w:r>
        <w:rPr>
          <w:rFonts w:ascii="Times New Roman;serif" w:hAnsi="Times New Roman;serif"/>
          <w:b w:val="false"/>
          <w:sz w:val="20"/>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283"/>
        <w:jc w:val="both"/>
        <w:rPr/>
      </w:pPr>
      <w:r>
        <w:rPr>
          <w:rFonts w:ascii="Times New Roman;serif" w:hAnsi="Times New Roman;serif"/>
          <w:b w:val="false"/>
          <w:sz w:val="20"/>
        </w:rPr>
        <w:t xml:space="preserve">If any Lender makes available to the Administrative Agent funds for any Loan to be made by such Lender as provided in the foregoing provisions of this </w:t>
      </w:r>
      <w:r>
        <w:rPr>
          <w:rFonts w:ascii="Times New Roman;serif" w:hAnsi="Times New Roman;serif"/>
          <w:b w:val="false"/>
          <w:sz w:val="20"/>
          <w:u w:val="single"/>
        </w:rPr>
        <w:t>Article II</w:t>
      </w:r>
      <w:r>
        <w:rPr>
          <w:rFonts w:ascii="Times New Roman;serif" w:hAnsi="Times New Roman;serif"/>
          <w:b w:val="false"/>
          <w:sz w:val="20"/>
        </w:rPr>
        <w:t xml:space="preserve">, and such funds are not made available to the Borrower by the Administrative Agent because the conditions to the applicable Borrowing set forth in </w:t>
      </w:r>
      <w:r>
        <w:rPr>
          <w:rFonts w:ascii="Times New Roman;serif" w:hAnsi="Times New Roman;serif"/>
          <w:b w:val="false"/>
          <w:sz w:val="20"/>
          <w:u w:val="single"/>
        </w:rPr>
        <w:t>Article IV</w:t>
      </w:r>
      <w:r>
        <w:rPr/>
        <w:t xml:space="preserve"> </w:t>
      </w:r>
      <w:r>
        <w:rPr>
          <w:rFonts w:ascii="Times New Roman;serif" w:hAnsi="Times New Roman;serif"/>
          <w:b w:val="false"/>
          <w:sz w:val="20"/>
        </w:rPr>
        <w:t>are not satisfied or waived in accordance with the terms hereof, the Administrative Agent shall return such funds (in like funds as received from such Lender) to such Lender, without interest.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2.19 </w:t>
      </w:r>
      <w:r>
        <w:rPr>
          <w:rFonts w:ascii="Times New Roman;serif" w:hAnsi="Times New Roman;serif"/>
          <w:b w:val="false"/>
          <w:sz w:val="20"/>
          <w:u w:val="single"/>
        </w:rPr>
        <w:t>Mitigation Obligations; Replacement of Lenders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Each Lender may make any Loans or each Issuing Bank may issue Letters of Credit to the Borrower through any Lending Office, provided that the exercise of this option shall not affect the obligation of the Borrower to repay the Loans or Letters of Credit in accordance with the terms of this Agreement. If any Lender requests compensation under </w:t>
      </w:r>
      <w:r>
        <w:rPr>
          <w:rFonts w:ascii="Times New Roman;serif" w:hAnsi="Times New Roman;serif"/>
          <w:b w:val="false"/>
          <w:sz w:val="20"/>
          <w:u w:val="single"/>
        </w:rPr>
        <w:t>Section 2.15</w:t>
      </w:r>
      <w:r>
        <w:rPr>
          <w:rFonts w:ascii="Times New Roman;serif" w:hAnsi="Times New Roman;serif"/>
          <w:b w:val="false"/>
          <w:sz w:val="20"/>
        </w:rPr>
        <w:t xml:space="preserve">, or if the Borrower is required to pay any additional amount to any Lender or any Governmental Authority for the account of any Lender pursuant to </w:t>
      </w:r>
      <w:r>
        <w:rPr>
          <w:rFonts w:ascii="Times New Roman;serif" w:hAnsi="Times New Roman;serif"/>
          <w:b w:val="false"/>
          <w:sz w:val="20"/>
          <w:u w:val="single"/>
        </w:rPr>
        <w:t>Section 2.17</w:t>
      </w:r>
      <w:r>
        <w:rPr/>
        <w:t xml:space="preserve"> </w:t>
      </w:r>
      <w:r>
        <w:rPr>
          <w:rFonts w:ascii="Times New Roman;serif" w:hAnsi="Times New Roman;serif"/>
          <w:b w:val="false"/>
          <w:sz w:val="20"/>
        </w:rPr>
        <w:t xml:space="preserve">or any event that gives rise to the operation of </w:t>
      </w:r>
      <w:r>
        <w:rPr>
          <w:rFonts w:ascii="Times New Roman;serif" w:hAnsi="Times New Roman;serif"/>
          <w:b w:val="false"/>
          <w:sz w:val="20"/>
          <w:u w:val="single"/>
        </w:rPr>
        <w:t>Section 2.23</w:t>
      </w:r>
      <w:r>
        <w:rPr>
          <w:rFonts w:ascii="Times New Roman;serif" w:hAnsi="Times New Roman;serif"/>
          <w:b w:val="false"/>
          <w:sz w:val="20"/>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Times New Roman;serif" w:hAnsi="Times New Roman;serif"/>
          <w:b w:val="false"/>
          <w:sz w:val="20"/>
          <w:u w:val="single"/>
        </w:rPr>
        <w:t>Section 2.15</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2.17</w:t>
      </w:r>
      <w:r>
        <w:rPr/>
        <w:t xml:space="preserve"> </w:t>
      </w:r>
      <w:r>
        <w:rPr>
          <w:rFonts w:ascii="Times New Roman;serif" w:hAnsi="Times New Roman;serif"/>
          <w:b w:val="false"/>
          <w:sz w:val="20"/>
        </w:rPr>
        <w:t xml:space="preserve">or mitigate the applicability of </w:t>
      </w:r>
      <w:r>
        <w:rPr>
          <w:rFonts w:ascii="Times New Roman;serif" w:hAnsi="Times New Roman;serif"/>
          <w:b w:val="false"/>
          <w:sz w:val="20"/>
          <w:u w:val="single"/>
        </w:rPr>
        <w:t>Section 2.23</w:t>
      </w:r>
      <w:r>
        <w:rPr>
          <w:rFonts w:ascii="Times New Roman;serif" w:hAnsi="Times New Roman;serif"/>
          <w:b w:val="false"/>
          <w:sz w:val="20"/>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If (i) any Lender requests compensation under </w:t>
      </w:r>
      <w:r>
        <w:rPr>
          <w:rFonts w:ascii="Times New Roman;serif" w:hAnsi="Times New Roman;serif"/>
          <w:b w:val="false"/>
          <w:sz w:val="20"/>
          <w:u w:val="single"/>
        </w:rPr>
        <w:t>Section 2.15</w:t>
      </w:r>
      <w:r>
        <w:rPr/>
        <w:t xml:space="preserve"> </w:t>
      </w:r>
      <w:r>
        <w:rPr>
          <w:rFonts w:ascii="Times New Roman;serif" w:hAnsi="Times New Roman;serif"/>
          <w:b w:val="false"/>
          <w:sz w:val="20"/>
        </w:rPr>
        <w:t xml:space="preserve">or gives notice under </w:t>
      </w:r>
      <w:r>
        <w:rPr>
          <w:rFonts w:ascii="Times New Roman;serif" w:hAnsi="Times New Roman;serif"/>
          <w:b w:val="false"/>
          <w:sz w:val="20"/>
          <w:u w:val="single"/>
        </w:rPr>
        <w:t>Section 2.23</w:t>
      </w:r>
      <w:r>
        <w:rPr>
          <w:rFonts w:ascii="Times New Roman;serif" w:hAnsi="Times New Roman;serif"/>
          <w:b w:val="false"/>
          <w:sz w:val="20"/>
        </w:rPr>
        <w:t xml:space="preserve">, (ii) Holdings or the Borrower are required to pay any additional amount to any Lender or to any Governmental Authority for the account of any Lender pursuant to </w:t>
      </w:r>
      <w:r>
        <w:rPr>
          <w:rFonts w:ascii="Times New Roman;serif" w:hAnsi="Times New Roman;serif"/>
          <w:b w:val="false"/>
          <w:sz w:val="20"/>
          <w:u w:val="single"/>
        </w:rPr>
        <w:t>Section 2.17</w:t>
      </w:r>
      <w:r>
        <w:rPr>
          <w:rFonts w:ascii="Times New Roman;serif" w:hAnsi="Times New Roman;serif"/>
          <w:b w:val="false"/>
          <w:sz w:val="20"/>
        </w:rPr>
        <w:t xml:space="preserve">, or (iii) any Lender becomes or is a Defaulting Lender, then Borrower may, at its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sz w:val="20"/>
          <w:u w:val="single"/>
        </w:rPr>
        <w:t>Section 9.04</w:t>
      </w:r>
      <w:r>
        <w:rPr>
          <w:rFonts w:ascii="Times New Roman;serif" w:hAnsi="Times New Roman;serif"/>
          <w:b w:val="false"/>
          <w:sz w:val="20"/>
        </w:rPr>
        <w:t xml:space="preserve">), all its interests, rights and obligations under this Agreement and the other Loan Documents to an Eligible Assignee that shall assume such obligations (which assignee may be another Lender or an Affiliated Lender, if a Lender accepts such assignment and delegation),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Holdings or the Borrower shall have received the prior written consent of the Administrative Agent to the extent such consent would be required under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9.04(b)</w:t>
      </w:r>
      <w:r>
        <w:rPr/>
        <w:t xml:space="preserve"> </w:t>
      </w:r>
      <w:r>
        <w:rPr>
          <w:rFonts w:ascii="Times New Roman;serif" w:hAnsi="Times New Roman;serif"/>
          <w:b w:val="false"/>
          <w:sz w:val="20"/>
        </w:rPr>
        <w:t xml:space="preserve">for an assignment of Loans or Commitments, as applicable (and if a Revolving Commitment is being assigned and delegated, each Issuing Bank), which consents, in each case, shall not unreasonably be withheld or delayed, (B) such Lender shall have received payment of an amount equal to the outstanding principal of its Loans and unreimbursed participations in LC Disbursements, accrued but unpaid interest thereon, accrued but unpaid fees and all other amounts payable to it hereunder from the assignee (to the extent of such outstanding principal and accrued interest and fees) or Holdings or the Borrower (in the case of all other amounts), (C) the Borrower or such assignee shall have paid (unless waived) to the Administrative Agent the processing and recordation fee specified in </w:t>
      </w:r>
      <w:r>
        <w:rPr>
          <w:rFonts w:ascii="Times New Roman;serif" w:hAnsi="Times New Roman;serif"/>
          <w:b w:val="false"/>
          <w:sz w:val="20"/>
          <w:u w:val="single"/>
        </w:rPr>
        <w:t>Section 9.04(b)(ii)</w:t>
      </w:r>
      <w:r>
        <w:rPr/>
        <w:t xml:space="preserve"> </w:t>
      </w:r>
      <w:r>
        <w:rPr>
          <w:rFonts w:ascii="Times New Roman;serif" w:hAnsi="Times New Roman;serif"/>
          <w:b w:val="false"/>
          <w:sz w:val="20"/>
        </w:rPr>
        <w:t xml:space="preserve">and (D) in the case of any such assignment resulting from a claim for compensation under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2.15</w:t>
      </w:r>
      <w:r>
        <w:rPr>
          <w:rFonts w:ascii="Times New Roman;serif" w:hAnsi="Times New Roman;serif"/>
          <w:b w:val="false"/>
          <w:sz w:val="20"/>
        </w:rPr>
        <w:t xml:space="preserve">, payment required to be made pursuant to </w:t>
      </w:r>
      <w:r>
        <w:rPr>
          <w:rFonts w:ascii="Times New Roman;serif" w:hAnsi="Times New Roman;serif"/>
          <w:b w:val="false"/>
          <w:sz w:val="20"/>
          <w:u w:val="single"/>
        </w:rPr>
        <w:t>Section 2.17</w:t>
      </w:r>
      <w:r>
        <w:rPr/>
        <w:t xml:space="preserve"> </w:t>
      </w:r>
      <w:r>
        <w:rPr>
          <w:rFonts w:ascii="Times New Roman;serif" w:hAnsi="Times New Roman;serif"/>
          <w:b w:val="false"/>
          <w:sz w:val="20"/>
        </w:rPr>
        <w:t xml:space="preserve">or a notice given under </w:t>
      </w:r>
      <w:r>
        <w:rPr>
          <w:rFonts w:ascii="Times New Roman;serif" w:hAnsi="Times New Roman;serif"/>
          <w:b w:val="false"/>
          <w:sz w:val="20"/>
          <w:u w:val="single"/>
        </w:rPr>
        <w:t>Section 2.23</w:t>
      </w:r>
      <w:r>
        <w:rPr>
          <w:rFonts w:ascii="Times New Roman;serif" w:hAnsi="Times New Roman;serif"/>
          <w:b w:val="false"/>
          <w:sz w:val="20"/>
        </w:rPr>
        <w:t>,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2.20 </w:t>
      </w:r>
      <w:r>
        <w:rPr>
          <w:rFonts w:ascii="Times New Roman;serif" w:hAnsi="Times New Roman;serif"/>
          <w:b w:val="false"/>
          <w:sz w:val="20"/>
          <w:u w:val="single"/>
        </w:rPr>
        <w:t>Incremental Credit Extension</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283"/>
        <w:jc w:val="both"/>
        <w:rPr/>
      </w:pPr>
      <w:r>
        <w:rPr>
          <w:rFonts w:ascii="Times New Roman;serif" w:hAnsi="Times New Roman;serif"/>
          <w:b w:val="false"/>
          <w:sz w:val="20"/>
        </w:rPr>
        <w:t>The Borrower or any Subsidiary Loan Party may at any time and from time to time after the Effective Date, subject to the terms and conditions set forth herein, by notice to the Administrative Agent request (i) one or more additional Classes of term loans or additional term loans of the same Class of any existing Class of term loans (the “</w:t>
      </w:r>
      <w:r>
        <w:rPr>
          <w:rFonts w:ascii="Times New Roman;serif" w:hAnsi="Times New Roman;serif"/>
          <w:b w:val="false"/>
          <w:sz w:val="20"/>
          <w:u w:val="single"/>
        </w:rPr>
        <w:t>Incremental Term Loans</w:t>
      </w:r>
      <w:r>
        <w:rPr/>
        <w:t>”</w:t>
      </w:r>
      <w:r>
        <w:rPr>
          <w:rFonts w:ascii="Times New Roman;serif" w:hAnsi="Times New Roman;serif"/>
          <w:b w:val="false"/>
          <w:sz w:val="20"/>
        </w:rPr>
        <w:t>), (ii) one or more increases in the amount of the Revolving Commitments of any Class (each such increase, an “</w:t>
      </w:r>
      <w:r>
        <w:rPr>
          <w:rFonts w:ascii="Times New Roman;serif" w:hAnsi="Times New Roman;serif"/>
          <w:b w:val="false"/>
          <w:sz w:val="20"/>
          <w:u w:val="single"/>
        </w:rPr>
        <w:t>Incremental Revolving Commitment Increase</w:t>
      </w:r>
      <w:r>
        <w:rPr/>
        <w:t>”</w:t>
      </w:r>
      <w:r>
        <w:rPr>
          <w:rFonts w:ascii="Times New Roman;serif" w:hAnsi="Times New Roman;serif"/>
          <w:b w:val="false"/>
          <w:sz w:val="20"/>
        </w:rPr>
        <w:t>) or (iii) one or more additional Classes of Revolving Commitments (the “</w:t>
      </w:r>
      <w:r>
        <w:rPr>
          <w:rFonts w:ascii="Times New Roman;serif" w:hAnsi="Times New Roman;serif"/>
          <w:b w:val="false"/>
          <w:sz w:val="20"/>
          <w:u w:val="single"/>
        </w:rPr>
        <w:t>Additional/Replacement Revolving Commitments</w:t>
      </w:r>
      <w:r>
        <w:rPr>
          <w:rFonts w:ascii="Times New Roman;serif" w:hAnsi="Times New Roman;serif"/>
          <w:b w:val="false"/>
          <w:sz w:val="20"/>
        </w:rPr>
        <w:t>,” and, together with the Incremental Term Loans and the Incremental Revolving Commitment Increases, the “</w:t>
      </w:r>
      <w:r>
        <w:rPr>
          <w:rFonts w:ascii="Times New Roman;serif" w:hAnsi="Times New Roman;serif"/>
          <w:b w:val="false"/>
          <w:sz w:val="20"/>
          <w:u w:val="single"/>
        </w:rPr>
        <w:t>Incremental Facilities</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subject to </w:t>
      </w:r>
      <w:r>
        <w:rPr>
          <w:rFonts w:ascii="Times New Roman;serif" w:hAnsi="Times New Roman;serif"/>
          <w:b w:val="false"/>
          <w:sz w:val="20"/>
          <w:u w:val="single"/>
        </w:rPr>
        <w:t>Section 1.07</w:t>
      </w:r>
      <w:r>
        <w:rPr>
          <w:rFonts w:ascii="Times New Roman;serif" w:hAnsi="Times New Roman;serif"/>
          <w:b w:val="false"/>
          <w:sz w:val="20"/>
        </w:rPr>
        <w:t xml:space="preserve">, after giving effect to the effectiveness of any Incremental Facility Amendment referred to below and at the time that any such Incremental Term Loan, Incremental Revolving Commitment Increase or Additional/Replacement Revolving Commitment is made or effected, no Event of Default shall have occurred and be continuing or would result therefrom (except, in the case of the incurrence or provision of any Incremental Facility in connection with a Permitted Acquisition or other Investment not prohibited by the terms of this Agreement, which shall be subject to no Event of Default under </w:t>
      </w:r>
      <w:r>
        <w:rPr>
          <w:rFonts w:ascii="Times New Roman;serif" w:hAnsi="Times New Roman;serif"/>
          <w:b w:val="false"/>
          <w:sz w:val="20"/>
          <w:u w:val="single"/>
        </w:rPr>
        <w:t>clause (a)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7.01</w:t>
      </w:r>
      <w:r>
        <w:rPr>
          <w:rFonts w:ascii="Times New Roman;serif" w:hAnsi="Times New Roman;serif"/>
          <w:b w:val="false"/>
          <w:sz w:val="20"/>
        </w:rPr>
        <w:t xml:space="preserve">). Notwithstanding anything to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contrary herein, the sum of (i) the aggregate principal amount of the Incremental Facilities, and (ii) the aggregate outstanding principal amount of Incremental Equivalent Debt shall not at the time of incurrence of any such Incremental Facilities or Incremental Equivalent Debt (and after giving effect to such incurrence) exceed the Incremental Cap at such time (calculated in a manner consistent with the definition of “Incremental Cap”).</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Each Incremental Term Loan shall comply with the following clauses (A) through (E): (A) except with respect to (I) the Maturity Carveout Amount, (II) Customary Bridge Loans which would either automatically be converted into or required to be exchanged for permanent financing which does not mature earlier than the Term Maturity Date and (III) Incremental Term Loans incurred in connection with an Acquisition Transaction or other Investment, the maturity date of any Incremental Term Loans shall not be earlier than the Term Maturity Date and the Weighted Average Life to Maturity of the Incremental Term Loans shall not be shorter than the remaining Weighted Average Life to Maturity of the Term Loans, (B) the pricing (including any “MFN” or other pricing terms), interest rate margins, rate floors, fees, premiums (including prepayment premiums), funding discounts and, subject to clause (A), the maturity and amortization schedule for any Incremental Term Loans shall be determined by the Borrower and the applicable Additional Lenders;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prior to the date that is six months after the Effective Date, with respect to any Incremental Term Loans or Incremental Equivalent Debt in the form of broadly syndicated term B loans (but not, for the avoidance of doubt, in the form of debt securities) incurred pursuant to clause (a), (b) or (d) of the definition of “Incremental Cap” (other than (1) any Specified Incremental Term Loans or (2) any Incremental Term Loans or Incremental Equivalent Debt incurred in connection with an Acquisition Transaction or other Investment) that have a maturity date earlier than one year after the Term Maturity Date and are denominated in dollars, in the event that the interest rate margins for any Incremental Term Loan are greater than the Applicable Rates for the Term Loans by more than 0.75% per annum, then the Applicable Rates for the Term Loans shall be increased to the extent necessary so that the Applicable Rates for the Term Loans are equal to the interest rate margins for such Incremental Term Loans </w:t>
      </w:r>
      <w:r>
        <w:rPr>
          <w:rFonts w:ascii="Times New Roman;serif" w:hAnsi="Times New Roman;serif"/>
          <w:b w:val="false"/>
          <w:sz w:val="20"/>
          <w:u w:val="single"/>
        </w:rPr>
        <w:t>minus</w:t>
      </w:r>
      <w:r>
        <w:rPr/>
        <w:t xml:space="preserve"> </w:t>
      </w:r>
      <w:r>
        <w:rPr>
          <w:rFonts w:ascii="Times New Roman;serif" w:hAnsi="Times New Roman;serif"/>
          <w:b w:val="false"/>
          <w:sz w:val="20"/>
        </w:rPr>
        <w:t>0.75% per annum (the “</w:t>
      </w:r>
      <w:r>
        <w:rPr>
          <w:rFonts w:ascii="Times New Roman;serif" w:hAnsi="Times New Roman;serif"/>
          <w:b w:val="false"/>
          <w:sz w:val="20"/>
          <w:u w:val="single"/>
        </w:rPr>
        <w:t>MFN Protection</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with respect to any Incremental Term Loans that do not bear interest at a rate determined by reference to</w:t>
      </w:r>
      <w:r>
        <w:rPr>
          <w:strike/>
        </w:rPr>
        <w:t xml:space="preserve"> </w:t>
      </w:r>
      <w:r>
        <w:rPr>
          <w:rFonts w:ascii="Times New Roman;serif" w:hAnsi="Times New Roman;serif"/>
          <w:b w:val="false"/>
          <w:strike/>
          <w:sz w:val="20"/>
        </w:rPr>
        <w:t>the</w:t>
      </w:r>
      <w:r>
        <w:rPr/>
        <w:t xml:space="preserve"> </w:t>
      </w:r>
      <w:r>
        <w:rPr>
          <w:rFonts w:ascii="Times New Roman;serif" w:hAnsi="Times New Roman;serif"/>
          <w:b w:val="false"/>
          <w:sz w:val="20"/>
        </w:rPr>
        <w:t>Adjusted</w:t>
      </w:r>
      <w:r>
        <w:rPr/>
        <w:t xml:space="preserve"> </w:t>
      </w:r>
      <w:r>
        <w:rPr>
          <w:rFonts w:ascii="Times New Roman;serif" w:hAnsi="Times New Roman;serif"/>
          <w:b w:val="false"/>
          <w:strike/>
          <w:sz w:val="20"/>
        </w:rPr>
        <w:t>LIBO Rate</w:t>
      </w:r>
      <w:r>
        <w:rPr>
          <w:rFonts w:ascii="Times New Roman;serif" w:hAnsi="Times New Roman;serif"/>
          <w:b w:val="false"/>
          <w:sz w:val="20"/>
          <w:u w:val="single"/>
        </w:rPr>
        <w:t>Term SOFR</w:t>
      </w:r>
      <w:r>
        <w:rPr>
          <w:rFonts w:ascii="Times New Roman;serif" w:hAnsi="Times New Roman;serif"/>
          <w:b w:val="false"/>
          <w:sz w:val="20"/>
        </w:rPr>
        <w:t xml:space="preserve">, for purposes of calculating the applicable increase (if any) in the Applicable Rates for the Term Loans in the preceding provisos, the interest rate margin for such Incremental Term Loans shall be deemed to be the interest rate (calculated after giving effect to any increases required pursuant to the immediately succeeding proviso) of such Incremental Term Loans </w:t>
      </w:r>
      <w:r>
        <w:rPr>
          <w:rFonts w:ascii="Times New Roman;serif" w:hAnsi="Times New Roman;serif"/>
          <w:b w:val="false"/>
          <w:sz w:val="20"/>
          <w:u w:val="single"/>
        </w:rPr>
        <w:t>less</w:t>
      </w:r>
      <w:r>
        <w:rPr/>
        <w:t xml:space="preserve"> </w:t>
      </w:r>
      <w:r>
        <w:rPr>
          <w:rFonts w:ascii="Times New Roman;serif" w:hAnsi="Times New Roman;serif"/>
          <w:b w:val="false"/>
          <w:sz w:val="20"/>
        </w:rPr>
        <w:t>the then applicable</w:t>
      </w:r>
      <w:r>
        <w:rPr/>
        <w:t xml:space="preserve"> </w:t>
      </w:r>
      <w:r>
        <w:rPr>
          <w:rFonts w:ascii="Times New Roman;serif" w:hAnsi="Times New Roman;serif"/>
          <w:b w:val="false"/>
          <w:strike/>
          <w:sz w:val="20"/>
        </w:rPr>
        <w:t>LIBO</w:t>
      </w:r>
      <w:r>
        <w:rPr>
          <w:rFonts w:ascii="Times New Roman;serif" w:hAnsi="Times New Roman;serif"/>
          <w:b w:val="false"/>
          <w:sz w:val="20"/>
          <w:u w:val="single"/>
        </w:rPr>
        <w:t>Term SOFR Reference</w:t>
      </w:r>
      <w:r>
        <w:rPr/>
        <w:t xml:space="preserve"> </w:t>
      </w:r>
      <w:r>
        <w:rPr>
          <w:rFonts w:ascii="Times New Roman;serif" w:hAnsi="Times New Roman;serif"/>
          <w:b w:val="false"/>
          <w:sz w:val="20"/>
        </w:rPr>
        <w:t xml:space="preserve">Rate;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in determining the Applicable Rates applicable to the Term Loans and the interest rate margins applicable to the Incremental Term Loans, (x) original issue discount (“</w:t>
      </w:r>
      <w:r>
        <w:rPr>
          <w:rFonts w:ascii="Times New Roman;serif" w:hAnsi="Times New Roman;serif"/>
          <w:b w:val="false"/>
          <w:sz w:val="20"/>
          <w:u w:val="single"/>
        </w:rPr>
        <w:t>OID</w:t>
      </w:r>
      <w:r>
        <w:rPr/>
        <w:t>”</w:t>
      </w:r>
      <w:r>
        <w:rPr>
          <w:rFonts w:ascii="Times New Roman;serif" w:hAnsi="Times New Roman;serif"/>
          <w:b w:val="false"/>
          <w:sz w:val="20"/>
        </w:rPr>
        <w:t xml:space="preserve">) or upfront fees (which shall be deemed, solely for purposes of this </w:t>
      </w:r>
      <w:r>
        <w:rPr>
          <w:rFonts w:ascii="Times New Roman;serif" w:hAnsi="Times New Roman;serif"/>
          <w:b w:val="false"/>
          <w:sz w:val="20"/>
          <w:u w:val="single"/>
        </w:rPr>
        <w:t>clause (x)</w:t>
      </w:r>
      <w:r>
        <w:rPr>
          <w:rFonts w:ascii="Times New Roman;serif" w:hAnsi="Times New Roman;serif"/>
          <w:b w:val="false"/>
          <w:sz w:val="20"/>
        </w:rPr>
        <w:t>, to constitute like amounts of OID) payable by the Borrower or the applicable Subsidiary Loan Party to the Lenders of the Term Loans and the Incremental Term Loans in the initial primary syndication thereof shall be included (with OID or upfront fees being equated to interest based on an assumed four-year life to maturity), (y) (1) with respect to the Term Loans, to the extent that the</w:t>
      </w:r>
      <w:r>
        <w:rPr/>
        <w:t xml:space="preserve"> </w:t>
      </w:r>
      <w:r>
        <w:rPr>
          <w:rFonts w:ascii="Times New Roman;serif" w:hAnsi="Times New Roman;serif"/>
          <w:b w:val="false"/>
          <w:strike/>
          <w:sz w:val="20"/>
        </w:rPr>
        <w:t>LIBO</w:t>
      </w:r>
      <w:r>
        <w:rPr>
          <w:rFonts w:ascii="Times New Roman;serif" w:hAnsi="Times New Roman;serif"/>
          <w:b w:val="false"/>
          <w:sz w:val="20"/>
          <w:u w:val="single"/>
        </w:rPr>
        <w:t>Term SOFR</w:t>
      </w:r>
      <w:r>
        <w:rPr/>
        <w:t xml:space="preserve"> </w:t>
      </w:r>
      <w:r>
        <w:rPr>
          <w:rFonts w:ascii="Times New Roman;serif" w:hAnsi="Times New Roman;serif"/>
          <w:b w:val="false"/>
          <w:sz w:val="20"/>
          <w:u w:val="single"/>
        </w:rPr>
        <w:t>Reference</w:t>
      </w:r>
      <w:r>
        <w:rPr/>
        <w:t xml:space="preserve"> </w:t>
      </w:r>
      <w:r>
        <w:rPr>
          <w:rFonts w:ascii="Times New Roman;serif" w:hAnsi="Times New Roman;serif"/>
          <w:b w:val="false"/>
          <w:sz w:val="20"/>
        </w:rPr>
        <w:t>Rate for a three-month interest period on the closing date of the Incremental Facility Amendment is less than the “</w:t>
      </w:r>
      <w:r>
        <w:rPr>
          <w:rFonts w:ascii="Times New Roman;serif" w:hAnsi="Times New Roman;serif"/>
          <w:b w:val="false"/>
          <w:strike/>
          <w:sz w:val="20"/>
        </w:rPr>
        <w:t>LIBOR</w:t>
      </w:r>
      <w:r>
        <w:rPr>
          <w:rFonts w:ascii="Times New Roman;serif" w:hAnsi="Times New Roman;serif"/>
          <w:b w:val="false"/>
          <w:sz w:val="20"/>
          <w:u w:val="single"/>
        </w:rPr>
        <w:t>SOFR</w:t>
      </w:r>
      <w:r>
        <w:rPr/>
        <w:t xml:space="preserve"> </w:t>
      </w:r>
      <w:r>
        <w:rPr>
          <w:rFonts w:ascii="Times New Roman;serif" w:hAnsi="Times New Roman;serif"/>
          <w:b w:val="false"/>
          <w:sz w:val="20"/>
        </w:rPr>
        <w:t>floor”, if any, applicable to the Term Loans, the amount of such difference shall be deemed added to the Applicable Rate for the Term Loans solely for the purpose of determining whether an increase in the Applicable Rate for the Term Loans shall be required and (2) with respect to the Incremental Term Loans, to the extent that the</w:t>
      </w:r>
      <w:r>
        <w:rPr/>
        <w:t xml:space="preserve"> </w:t>
      </w:r>
      <w:r>
        <w:rPr>
          <w:rFonts w:ascii="Times New Roman;serif" w:hAnsi="Times New Roman;serif"/>
          <w:b w:val="false"/>
          <w:strike/>
          <w:sz w:val="20"/>
        </w:rPr>
        <w:t>LIBO</w:t>
      </w:r>
      <w:r>
        <w:rPr>
          <w:rFonts w:ascii="Times New Roman;serif" w:hAnsi="Times New Roman;serif"/>
          <w:b w:val="false"/>
          <w:sz w:val="20"/>
          <w:u w:val="single"/>
        </w:rPr>
        <w:t>Term SOFR Reference</w:t>
      </w:r>
      <w:r>
        <w:rPr/>
        <w:t xml:space="preserve"> </w:t>
      </w:r>
      <w:r>
        <w:rPr>
          <w:rFonts w:ascii="Times New Roman;serif" w:hAnsi="Times New Roman;serif"/>
          <w:b w:val="false"/>
          <w:sz w:val="20"/>
        </w:rPr>
        <w:t xml:space="preserve">Rate for a three-month interest period on the closing date of the Incremental Facility Amendment is less than the interest rate floor, if any, applicable to the Incremental Term Loans, the amount of such difference shall be deemed added to the interest rate margin for the Incremental Term Loans solely for the purpose of determining whether an increase in the Applicable Rate for the Term Loans shall be required) and (z) customary arrangement, structuring, underwriting or commitment fees, ticking fees or other similar fees payable to the Lead Arrangers (or their respective Affiliates) in connection with the Term Loans or the Revolving Loans as applicable, or to one or more arrangers (or their Affiliates) of the Incremental Term Loans or Revolving Loans, as applicable, shall be excluded;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the MFN Protection may be waived at any time with the consent of the Required Lenders, (C)(i) to the extent secured, the Incremental Term Loans shall be secured solely by a Lien on the Collateral ranking equal in priority (but without regard to the control of remedies) with (or, subject to the First Lien/Second Lien Intercreditor Agreement, junior in priority to) the Lien on the Collateral securing the Secured Obligations and (ii) no Incremental Term Loans shall be guaranteed by entities other than the Guarantors or the Borrower, (D) Incremental Term Loans shall be on terms and pursuant to documentation to be determined by the Borrower and the applicable Additional Lenders;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to the extent such terms and documentation are not consistent with the Term Loans (except to the extent permitted by clause (A) or (B) above), they shall be reasonably satisfactory to the Administrative Agent (it being understood that, to the extent that any financial maintenance covenant or any other covenant is added for the benefit of any Incremental Term Loan, no consent shall be required from the Administrative Agent or any of the Term Lenders to the extent that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such financial maintenance covenant or other covenant is (1) also added for the benefit of any existing Loans or (2) only applicable after the Latest Maturity Date), and (E) such Incremental Term Loans may be provided in any currency as mutually agreed among the Administrative Agent, Borrower and the applicable Additional Lenders. Each Incremental Term Loan shall be in a minimum principal amount of $5,000,000 and integral multiples of $1,000,000 in excess thereof (unless the Borrower and the Administrative Agent otherwise agree);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amount may be less than $5,000,000, if such amount represents all the remaining availability under the aggregate principal amount of Incremental Term Loans set forth above.</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The Additional/Replacement Revolving Commitments (i) shall rank equal in right of payment with the Revolving Loans, shall be secured only by a Lien on the Collateral securing the Secured Obligations and shall be guaranteed only by the Loan Parties, (ii) shall not mature earlier than the Revolving Maturity Date and shall require no mandatory commitment reduction prior to the Revolving Maturity Date, (iii) shall have interest rates (including through fixed interest rates), interest margins, rate floors, upfront fees, undrawn commitment fees, funding discounts, original issue discounts, prepayment terms and premiums and commitment reduction and termination terms as determined by the borrower and the lenders providing such commitments, (iv) shall contain borrowing, repayment and termination of Commitment procedures as determined by the borrowers and the lenders providing such commitments, (v)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providing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(vi) may otherwise have terms and conditions different from those of the Revolving Credit Facility (including currency denomination); </w:t>
      </w:r>
      <w:r>
        <w:rPr>
          <w:rFonts w:ascii="Times New Roman;serif" w:hAnsi="Times New Roman;serif"/>
          <w:b w:val="false"/>
          <w:sz w:val="20"/>
          <w:u w:val="single"/>
        </w:rPr>
        <w:t>provided</w:t>
      </w:r>
      <w:r>
        <w:rPr/>
        <w:t xml:space="preserve"> </w:t>
      </w:r>
      <w:r>
        <w:rPr>
          <w:rFonts w:ascii="Times New Roman;serif" w:hAnsi="Times New Roman;serif"/>
          <w:b w:val="false"/>
          <w:sz w:val="20"/>
        </w:rPr>
        <w:t>that (x) except with respect to matters contemplated by clauses (i), (ii), (iii), (iv) and (v) above, any differences shall be reasonably satisfactory to the Administrative Agent (except for covenants and other provisions applicable only to the periods after the Latest Maturity Date) and (y) the documentation governing any Additional/Replacement Revolving Commitments may include a financial maintenance covenant or related equity cure so long as the Administrative Agent shall have been given prompt written notice thereof and this Agreement is amended to include such financial maintenance covenant or related equity cure for the benefit of each facility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if the applicable new financial maintenance covenant is a “springing” financial maintenance covenant for the benefit of such revolving credit facility or covenant only applicable to, or for the benefit of, a revolving credit facility, such financial maintenance covenant shall be automatically included in this Agreement only for the benefit of each revolving credit facility hereunder (and not for the benefit of any term loan facility hereunder)).</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pPr>
      <w:r>
        <w:rPr>
          <w:rFonts w:ascii="Times New Roman;serif" w:hAnsi="Times New Roman;serif"/>
          <w:b w:val="false"/>
          <w:sz w:val="20"/>
        </w:rPr>
        <w:t xml:space="preserve">Each notice from Holdings or the Borrower pursuant to this </w:t>
      </w:r>
      <w:r>
        <w:rPr>
          <w:rFonts w:ascii="Times New Roman;serif" w:hAnsi="Times New Roman;serif"/>
          <w:b w:val="false"/>
          <w:sz w:val="20"/>
          <w:u w:val="single"/>
        </w:rPr>
        <w:t>Section 2.20</w:t>
      </w:r>
      <w:r>
        <w:rPr/>
        <w:t xml:space="preserve"> </w:t>
      </w:r>
      <w:r>
        <w:rPr>
          <w:rFonts w:ascii="Times New Roman;serif" w:hAnsi="Times New Roman;serif"/>
          <w:b w:val="false"/>
          <w:sz w:val="20"/>
        </w:rPr>
        <w:t>shall set forth the requested amount of the relevant Incremental Term Loans, Incremental Revolving Commitment Increases or Additional/Replacement Revolving Commitments.</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283"/>
        <w:jc w:val="both"/>
        <w:rPr/>
      </w:pPr>
      <w:r>
        <w:rPr>
          <w:rFonts w:ascii="Times New Roman;serif" w:hAnsi="Times New Roman;serif"/>
          <w:b w:val="false"/>
          <w:sz w:val="20"/>
        </w:rPr>
        <w:t>Commitments in respect of Incremental Term Loans, Incremental Revolving Commitment Increases and Additional/Replacement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Times New Roman;serif" w:hAnsi="Times New Roman;serif"/>
          <w:b w:val="false"/>
          <w:sz w:val="20"/>
          <w:u w:val="single"/>
        </w:rPr>
        <w:t>Incremental Facility Amendment</w:t>
      </w:r>
      <w:r>
        <w:rPr/>
        <w:t>”</w:t>
      </w:r>
      <w:r>
        <w:rPr>
          <w:rFonts w:ascii="Times New Roman;serif" w:hAnsi="Times New Roman;serif"/>
          <w:b w:val="false"/>
          <w:sz w:val="20"/>
        </w:rPr>
        <w:t>) to this Agreement and, as appropriate, the other Loan Documents, executed by the Borrower and any applicable Subsidiary Loan Party, each Lender agreeing to provide such Commitment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Lender shall be obligated to provide any loans or commitments under any Incremental Facility unless it so agrees), if any, each Additional Lender, if any, the Administrative Agent (such consent not to be unreasonably withheld or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delayed) and, in the case of Incremental Revolving Commitment Increases, each Issuing Bank (such consent not to be unreasonably withheld or delayed). Incremental Term Loans and loans under Incremental Revolving Commitment Increases and Additional/Replacement Revolving Commitments shall be a “Loan” for all purposes of this Agreement and the other Loan Documents. The Incremental Facility Amendment may without the consent of any other Lenders, effect such amendments to this Agreement and the other Loan Documents as may be necessary, appropriate or advisable (including changing the amortization schedule or extending the call protection of existing Term Loans in a manner required to make the Incremental Term Loans fungible with such Term Loans), in the reasonable opinion of the Administrative Agent and the Borrower, to effect the provisions of this </w:t>
      </w:r>
      <w:r>
        <w:rPr>
          <w:rFonts w:ascii="Times New Roman;serif" w:hAnsi="Times New Roman;serif"/>
          <w:b w:val="false"/>
          <w:sz w:val="20"/>
          <w:u w:val="single"/>
        </w:rPr>
        <w:t>Section 2.20</w:t>
      </w:r>
      <w:r>
        <w:rPr/>
        <w:t xml:space="preserve"> </w:t>
      </w:r>
      <w:r>
        <w:rPr>
          <w:rFonts w:ascii="Times New Roman;serif" w:hAnsi="Times New Roman;serif"/>
          <w:b w:val="false"/>
          <w:sz w:val="20"/>
        </w:rPr>
        <w:t>(including, in connection with an Incremental Revolving Commitment Increase, to reallocate Revolving Exposure on a pro rata basis among the relevant Revolving Lenders). The effectiveness of any Incremental Facility Amendment and the occurrence of any credit event (including the making of a Loan and the issuance, increase in the amount, or extension of a letter of credit thereunder) pursuant to such Incremental Facility Amendment may be subject to the satisfaction of such additional conditions as the parties thereto shall agree. Holdings, the Borrower and any Restricted Subsidiary may use the proceeds of the Incremental Term Loans, Incremental Revolving Commitment Increases and Additional/Replacement Revolving Commitments for any purpose not prohibited by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283"/>
        <w:jc w:val="both"/>
        <w:rPr/>
      </w:pPr>
      <w:r>
        <w:rPr>
          <w:rFonts w:ascii="Times New Roman;serif" w:hAnsi="Times New Roman;serif"/>
          <w:b w:val="false"/>
          <w:sz w:val="20"/>
        </w:rPr>
        <w:t xml:space="preserve">Notwithstanding anything to the contrary, this </w:t>
      </w:r>
      <w:r>
        <w:rPr>
          <w:rFonts w:ascii="Times New Roman;serif" w:hAnsi="Times New Roman;serif"/>
          <w:b w:val="false"/>
          <w:sz w:val="20"/>
          <w:u w:val="single"/>
        </w:rPr>
        <w:t>Section 2.20</w:t>
      </w:r>
      <w:r>
        <w:rPr/>
        <w:t xml:space="preserve"> </w:t>
      </w:r>
      <w:r>
        <w:rPr>
          <w:rFonts w:ascii="Times New Roman;serif" w:hAnsi="Times New Roman;serif"/>
          <w:b w:val="false"/>
          <w:sz w:val="20"/>
        </w:rPr>
        <w:t xml:space="preserve">shall supersede any provisions in </w:t>
      </w:r>
      <w:r>
        <w:rPr>
          <w:rFonts w:ascii="Times New Roman;serif" w:hAnsi="Times New Roman;serif"/>
          <w:b w:val="false"/>
          <w:sz w:val="20"/>
          <w:u w:val="single"/>
        </w:rPr>
        <w:t>Section 2.18</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9.02</w:t>
      </w:r>
      <w:r>
        <w:rPr/>
        <w:t xml:space="preserve"> </w:t>
      </w:r>
      <w:r>
        <w:rPr>
          <w:rFonts w:ascii="Times New Roman;serif" w:hAnsi="Times New Roman;serif"/>
          <w:b w:val="false"/>
          <w:sz w:val="20"/>
        </w:rPr>
        <w:t>to the contrary.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2.21 </w:t>
      </w:r>
      <w:r>
        <w:rPr>
          <w:rFonts w:ascii="Times New Roman;serif" w:hAnsi="Times New Roman;serif"/>
          <w:b w:val="false"/>
          <w:sz w:val="20"/>
          <w:u w:val="single"/>
        </w:rPr>
        <w:t>Refinancing Amendments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283"/>
        <w:jc w:val="both"/>
        <w:rPr/>
      </w:pPr>
      <w:r>
        <w:rPr>
          <w:rFonts w:ascii="Times New Roman;serif" w:hAnsi="Times New Roman;serif"/>
          <w:b w:val="false"/>
          <w:sz w:val="20"/>
        </w:rPr>
        <w:t xml:space="preserve">At any time after the Effective Date, the Borrower may obtain, from any Lender or any Additional Lender, Credit Agreement Refinancing Indebtedness in respect of (a) all or any portion of any Class of Term Loans then outstanding under this Agreement (which for purposes of this clause (a) will be deemed to include any then outstanding Other Term Loans) or (b) all or any portion of the Revolving Loans (or unused Revolving Commitments) under this Agreement (which for purposes of this clause (b) will be deemed to include any then outstanding Other Revolving Loans and Other Revolving Commitments), in the form of (i) Other Term Loans or Other Term Commitments or (ii) Other Revolving Loans or Other Revolving Commitments, as the case may be, in each case pursuant to a Refinancing Amendment;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Net Proceeds of such Credit Agreement Refinancing Indebtedness shall be applied, substantially concurrently with the incurrence thereof, to the prepayment of outstanding Term Loans or reduction of Revolving Commitments being so refinanced, as the case may be;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Each Class of Credit Agreement Refinancing Indebtedness incurred under this </w:t>
      </w:r>
      <w:r>
        <w:rPr>
          <w:rFonts w:ascii="Times New Roman;serif" w:hAnsi="Times New Roman;serif"/>
          <w:b w:val="false"/>
          <w:sz w:val="20"/>
          <w:u w:val="single"/>
        </w:rPr>
        <w:t>Section 2.21</w:t>
      </w:r>
      <w:r>
        <w:rPr/>
        <w:t xml:space="preserve"> </w:t>
      </w:r>
      <w:r>
        <w:rPr>
          <w:rFonts w:ascii="Times New Roman;serif" w:hAnsi="Times New Roman;serif"/>
          <w:b w:val="false"/>
          <w:sz w:val="20"/>
        </w:rPr>
        <w:t xml:space="preserve">shall be in an aggregate principal amount that is (x) not less than $5,000,000 in the case of Other Term Loans or $5,000,000 in the case of Other Revolving Loans and (y) an integral multiple of $1,000,000 in excess thereof (in each case unless the Borrower and the Administrative Agent otherwise agree). Any Refinancing Amendment may provide for the issuance of Letters of Credit for the account of the Borrower pursuant to any Other Revolving Commitments established thereby, in each case on terms substantially equivalent to the terms applicable to Letters of Credit under the Revolving Commitments. The Administrative Agent shall promptly notify each applicable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Notwithstanding anything to the contrary, this </w:t>
      </w:r>
      <w:r>
        <w:rPr>
          <w:rFonts w:ascii="Times New Roman;serif" w:hAnsi="Times New Roman;serif"/>
          <w:b w:val="false"/>
          <w:sz w:val="20"/>
          <w:u w:val="single"/>
        </w:rPr>
        <w:t>Section 2.21</w:t>
      </w:r>
      <w:r>
        <w:rPr/>
        <w:t xml:space="preserve"> </w:t>
      </w:r>
      <w:r>
        <w:rPr>
          <w:rFonts w:ascii="Times New Roman;serif" w:hAnsi="Times New Roman;serif"/>
          <w:b w:val="false"/>
          <w:sz w:val="20"/>
        </w:rPr>
        <w:t xml:space="preserve">shall supersede any provisions in </w:t>
      </w:r>
      <w:r>
        <w:rPr>
          <w:rFonts w:ascii="Times New Roman;serif" w:hAnsi="Times New Roman;serif"/>
          <w:b w:val="false"/>
          <w:sz w:val="20"/>
          <w:u w:val="single"/>
        </w:rPr>
        <w:t>Section 2.18</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9.02</w:t>
      </w:r>
      <w:r>
        <w:rPr/>
        <w:t xml:space="preserve"> </w:t>
      </w:r>
      <w:r>
        <w:rPr>
          <w:rFonts w:ascii="Times New Roman;serif" w:hAnsi="Times New Roman;serif"/>
          <w:b w:val="false"/>
          <w:sz w:val="20"/>
        </w:rPr>
        <w:t>to the contrary.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2.22 </w:t>
      </w:r>
      <w:r>
        <w:rPr>
          <w:rFonts w:ascii="Times New Roman;serif" w:hAnsi="Times New Roman;serif"/>
          <w:b w:val="false"/>
          <w:sz w:val="20"/>
          <w:u w:val="single"/>
        </w:rPr>
        <w:t>Defaulting Lenders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u w:val="single"/>
        </w:rPr>
        <w:t>General</w:t>
      </w:r>
      <w:r>
        <w:rPr>
          <w:rFonts w:ascii="Times New Roman;serif" w:hAnsi="Times New Roman;serif"/>
          <w:b w:val="false"/>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u w:val="single"/>
        </w:rPr>
        <w:t>Waivers and Amendments</w:t>
      </w:r>
      <w:r>
        <w:rPr>
          <w:rFonts w:ascii="Times New Roman;serif" w:hAnsi="Times New Roman;serif"/>
          <w:b w:val="false"/>
          <w:sz w:val="20"/>
        </w:rPr>
        <w:t xml:space="preserve">. Such Defaulting Lender’s right to approve or disapprove any amendment, waiver or consent with respect to this Agreement shall be restricted as set forth in </w:t>
      </w:r>
      <w:r>
        <w:rPr>
          <w:rFonts w:ascii="Times New Roman;serif" w:hAnsi="Times New Roman;serif"/>
          <w:b w:val="false"/>
          <w:sz w:val="20"/>
          <w:u w:val="single"/>
        </w:rPr>
        <w:t>Section 9.02</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pPr>
      <w:r>
        <w:rPr>
          <w:rFonts w:ascii="Times New Roman;serif" w:hAnsi="Times New Roman;serif"/>
          <w:b w:val="false"/>
          <w:sz w:val="20"/>
          <w:u w:val="single"/>
        </w:rPr>
        <w:t>Reallocation of Payments</w:t>
      </w:r>
      <w:r>
        <w:rPr>
          <w:rFonts w:ascii="Times New Roman;serif" w:hAnsi="Times New Roman;serif"/>
          <w:b w:val="false"/>
          <w:sz w:val="20"/>
        </w:rPr>
        <w:t xml:space="preserve">. Subject to the last sentence of </w:t>
      </w:r>
      <w:r>
        <w:rPr>
          <w:rFonts w:ascii="Times New Roman;serif" w:hAnsi="Times New Roman;serif"/>
          <w:b w:val="false"/>
          <w:sz w:val="20"/>
          <w:u w:val="single"/>
        </w:rPr>
        <w:t>Section 2.11(f)</w:t>
      </w:r>
      <w:r>
        <w:rPr>
          <w:rFonts w:ascii="Times New Roman;serif" w:hAnsi="Times New Roman;serif"/>
          <w:b w:val="false"/>
          <w:sz w:val="20"/>
        </w:rPr>
        <w:t xml:space="preserve">,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sz w:val="20"/>
          <w:u w:val="single"/>
        </w:rPr>
        <w:t>Article VII</w:t>
      </w:r>
      <w:r>
        <w:rPr/>
        <w:t xml:space="preserve"> </w:t>
      </w:r>
      <w:r>
        <w:rPr>
          <w:rFonts w:ascii="Times New Roman;serif" w:hAnsi="Times New Roman;serif"/>
          <w:b w:val="false"/>
          <w:sz w:val="20"/>
        </w:rPr>
        <w:t xml:space="preserve">or otherwise, and including any amounts made available to the Administrative Agent by that Defaulting Lender pursuant to </w:t>
      </w:r>
      <w:r>
        <w:rPr>
          <w:rFonts w:ascii="Times New Roman;serif" w:hAnsi="Times New Roman;serif"/>
          <w:b w:val="false"/>
          <w:sz w:val="20"/>
          <w:u w:val="single"/>
        </w:rPr>
        <w:t>Section 9.08</w:t>
      </w:r>
      <w:r>
        <w:rPr>
          <w:rFonts w:ascii="Times New Roman;serif" w:hAnsi="Times New Roman;serif"/>
          <w:b w:val="false"/>
          <w:sz w:val="20"/>
        </w:rPr>
        <w:t xml:space="preserve">), shall be applied at such time or times as may be determined by the Administrative Agent as follows: </w:t>
      </w:r>
      <w:r>
        <w:rPr>
          <w:rFonts w:ascii="Times New Roman;serif" w:hAnsi="Times New Roman;serif"/>
          <w:b w:val="false"/>
          <w:sz w:val="20"/>
          <w:u w:val="single"/>
        </w:rPr>
        <w:t>first</w:t>
      </w:r>
      <w:r>
        <w:rPr>
          <w:rFonts w:ascii="Times New Roman;serif" w:hAnsi="Times New Roman;serif"/>
          <w:b w:val="false"/>
          <w:sz w:val="20"/>
        </w:rPr>
        <w:t xml:space="preserve">, to the payment of any amounts owing by that Defaulting Lender to the Administrative Agent hereunder; </w:t>
      </w:r>
      <w:r>
        <w:rPr>
          <w:rFonts w:ascii="Times New Roman;serif" w:hAnsi="Times New Roman;serif"/>
          <w:b w:val="false"/>
          <w:sz w:val="20"/>
          <w:u w:val="single"/>
        </w:rPr>
        <w:t>second</w:t>
      </w:r>
      <w:r>
        <w:rPr>
          <w:rFonts w:ascii="Times New Roman;serif" w:hAnsi="Times New Roman;serif"/>
          <w:b w:val="false"/>
          <w:sz w:val="20"/>
        </w:rPr>
        <w:t xml:space="preserve">, in the case of a Revolving Lender, to the payment on a pro rata basis of any amounts owing by that Defaulting Lender to each Issuing Bank hereunder; </w:t>
      </w:r>
      <w:r>
        <w:rPr>
          <w:rFonts w:ascii="Times New Roman;serif" w:hAnsi="Times New Roman;serif"/>
          <w:b w:val="false"/>
          <w:sz w:val="20"/>
          <w:u w:val="single"/>
        </w:rPr>
        <w:t>third</w:t>
      </w:r>
      <w:r>
        <w:rPr>
          <w:rFonts w:ascii="Times New Roman;serif" w:hAnsi="Times New Roman;serif"/>
          <w:b w:val="false"/>
          <w:sz w:val="20"/>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sz w:val="20"/>
          <w:u w:val="single"/>
        </w:rPr>
        <w:t>fourth</w:t>
      </w:r>
      <w:r>
        <w:rPr>
          <w:rFonts w:ascii="Times New Roman;serif" w:hAnsi="Times New Roman;serif"/>
          <w:b w:val="false"/>
          <w:sz w:val="20"/>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serif" w:hAnsi="Times New Roman;serif"/>
          <w:b w:val="false"/>
          <w:sz w:val="20"/>
          <w:u w:val="single"/>
        </w:rPr>
        <w:t>fifth</w:t>
      </w:r>
      <w:r>
        <w:rPr>
          <w:rFonts w:ascii="Times New Roman;serif" w:hAnsi="Times New Roman;serif"/>
          <w:b w:val="false"/>
          <w:sz w:val="20"/>
        </w:rPr>
        <w:t xml:space="preserve">, in the case of a Revolving Lender, if so determined by the Administrative Agent and the Borrower, to be held in a non-interest bearing deposit account and released in order to satisfy obligations of that Defaulting Lender to fund Loans under this Agreement; </w:t>
      </w:r>
      <w:r>
        <w:rPr>
          <w:rFonts w:ascii="Times New Roman;serif" w:hAnsi="Times New Roman;serif"/>
          <w:b w:val="false"/>
          <w:sz w:val="20"/>
          <w:u w:val="single"/>
        </w:rPr>
        <w:t>sixth</w:t>
      </w:r>
      <w:r>
        <w:rPr>
          <w:rFonts w:ascii="Times New Roman;serif" w:hAnsi="Times New Roman;serif"/>
          <w:b w:val="false"/>
          <w:sz w:val="20"/>
        </w:rPr>
        <w:t xml:space="preserve">, to the payment of any amounts owing to the Lenders or the Issuing Banks as a result of any judgment of a court of competent jurisdiction obtained by any Lender or such Issuing Bank against that Defaulting Lender as a result of that Defaulting Lender’s breach of its obligations under this Agreement; </w:t>
      </w:r>
      <w:r>
        <w:rPr>
          <w:rFonts w:ascii="Times New Roman;serif" w:hAnsi="Times New Roman;serif"/>
          <w:b w:val="false"/>
          <w:sz w:val="20"/>
          <w:u w:val="single"/>
        </w:rPr>
        <w:t>seventh</w:t>
      </w:r>
      <w:r>
        <w:rPr>
          <w:rFonts w:ascii="Times New Roman;serif" w:hAnsi="Times New Roman;serif"/>
          <w:b w:val="false"/>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serif" w:hAnsi="Times New Roman;serif"/>
          <w:b w:val="false"/>
          <w:sz w:val="20"/>
          <w:u w:val="single"/>
        </w:rPr>
        <w:t>eighth</w:t>
      </w:r>
      <w:r>
        <w:rPr>
          <w:rFonts w:ascii="Times New Roman;serif" w:hAnsi="Times New Roman;serif"/>
          <w:b w:val="false"/>
          <w:sz w:val="20"/>
        </w:rPr>
        <w:t xml:space="preserve">, to that Defaulting Lender or as otherwise directed by a court of competent jurisdiction;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Times New Roman;serif" w:hAnsi="Times New Roman;serif"/>
          <w:b w:val="false"/>
          <w:sz w:val="20"/>
          <w:u w:val="single"/>
        </w:rPr>
        <w:t>Section 2.05(j)</w:t>
      </w:r>
      <w:r>
        <w:rPr/>
        <w:t xml:space="preserve"> </w:t>
      </w:r>
      <w:r>
        <w:rPr>
          <w:rFonts w:ascii="Times New Roman;serif" w:hAnsi="Times New Roman;serif"/>
          <w:b w:val="false"/>
          <w:sz w:val="20"/>
        </w:rPr>
        <w:t xml:space="preserve">or this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2.22(a)(ii)</w:t>
      </w:r>
      <w:r>
        <w:rPr>
          <w:rFonts w:ascii="Times New Roman;serif" w:hAnsi="Times New Roman;serif"/>
          <w:b w:val="false"/>
          <w:sz w:val="20"/>
        </w:rPr>
        <w:t xml:space="preserve">. Any payments, prepayments or other amounts paid or payable to a Defaulting Lender that are applied (or held) to pay amounts owed by a Defaulting Lender or to post Cash Collateral pursuant to </w:t>
      </w:r>
      <w:r>
        <w:rPr>
          <w:rFonts w:ascii="Times New Roman;serif" w:hAnsi="Times New Roman;serif"/>
          <w:b w:val="false"/>
          <w:sz w:val="20"/>
          <w:u w:val="single"/>
        </w:rPr>
        <w:t>Section 2.05(j)</w:t>
      </w:r>
      <w:r>
        <w:rPr/>
        <w:t xml:space="preserve"> </w:t>
      </w:r>
      <w:r>
        <w:rPr>
          <w:rFonts w:ascii="Times New Roman;serif" w:hAnsi="Times New Roman;serif"/>
          <w:b w:val="false"/>
          <w:sz w:val="20"/>
        </w:rPr>
        <w:t>shall be deemed paid to and redirected by that Defaulting Lender, and each Lender irrevocably consents hereto.</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pPr>
      <w:r>
        <w:rPr>
          <w:rFonts w:ascii="Times New Roman;serif" w:hAnsi="Times New Roman;serif"/>
          <w:b w:val="false"/>
          <w:sz w:val="20"/>
          <w:u w:val="single"/>
        </w:rPr>
        <w:t>Certain Fees</w:t>
      </w:r>
      <w:r>
        <w:rPr>
          <w:rFonts w:ascii="Times New Roman;serif" w:hAnsi="Times New Roman;serif"/>
          <w:b w:val="false"/>
          <w:sz w:val="20"/>
        </w:rPr>
        <w:t xml:space="preserve">. That Defaulting Lender (x) shall not be entitled to receive or accrue any commitment fee pursuant to </w:t>
      </w:r>
      <w:r>
        <w:rPr>
          <w:rFonts w:ascii="Times New Roman;serif" w:hAnsi="Times New Roman;serif"/>
          <w:b w:val="false"/>
          <w:sz w:val="20"/>
          <w:u w:val="single"/>
        </w:rPr>
        <w:t>Section 2.12(a)</w:t>
      </w:r>
      <w:r>
        <w:rPr/>
        <w:t xml:space="preserve"> </w:t>
      </w:r>
      <w:r>
        <w:rPr>
          <w:rFonts w:ascii="Times New Roman;serif" w:hAnsi="Times New Roman;serif"/>
          <w:b w:val="false"/>
          <w:sz w:val="20"/>
        </w:rPr>
        <w:t xml:space="preserve">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serif" w:hAnsi="Times New Roman;serif"/>
          <w:b w:val="false"/>
          <w:sz w:val="20"/>
          <w:u w:val="single"/>
        </w:rPr>
        <w:t>Section 2.12(b)</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(iv)</w:t>
      </w:r>
    </w:p>
    <w:p>
      <w:pPr>
        <w:pStyle w:val="TextBody"/>
        <w:bidi w:val="0"/>
        <w:spacing w:before="200" w:after="283"/>
        <w:jc w:val="both"/>
        <w:rPr/>
      </w:pPr>
      <w:r>
        <w:rPr>
          <w:rFonts w:ascii="Times New Roman;serif" w:hAnsi="Times New Roman;serif"/>
          <w:b w:val="false"/>
          <w:sz w:val="20"/>
          <w:u w:val="single"/>
        </w:rPr>
        <w:t>Reallocation of Applicable Percentages to Reduce Fronting Exposure</w:t>
      </w:r>
      <w:r>
        <w:rPr>
          <w:rFonts w:ascii="Times New Roman;serif" w:hAnsi="Times New Roman;serif"/>
          <w:b w:val="false"/>
          <w:sz w:val="20"/>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2.05</w:t>
      </w:r>
      <w:r>
        <w:rPr>
          <w:rFonts w:ascii="Times New Roman;serif" w:hAnsi="Times New Roman;serif"/>
          <w:b w:val="false"/>
          <w:sz w:val="20"/>
        </w:rPr>
        <w:t xml:space="preserve">, the “Applicable Percentage” of each non-Defaulting Lender shall be computed without giving effect to the Revolving Commitment of that Defaulting Lender;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aggregate obligation of each non-Defaulting Lender to acquire, refinance or fund participations in Letters of Credit shall not exceed the positive difference, if any, of (1) the Revolving Commitment of that non-Defaulting Lender minus (2) the aggregate principal amount of the Revolving Loans of that Lender.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u w:val="single"/>
        </w:rPr>
        <w:t>Defaulting Lender Cure</w:t>
      </w:r>
      <w:r>
        <w:rPr>
          <w:rFonts w:ascii="Times New Roman;serif" w:hAnsi="Times New Roman;serif"/>
          <w:b w:val="false"/>
          <w:sz w:val="20"/>
        </w:rPr>
        <w:t xml:space="preserve">. If the Borrower, the Administrative Agent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Applicable Percentages (without giving effect to </w:t>
      </w:r>
      <w:r>
        <w:rPr>
          <w:rFonts w:ascii="Times New Roman;serif" w:hAnsi="Times New Roman;serif"/>
          <w:b w:val="false"/>
          <w:sz w:val="20"/>
          <w:u w:val="single"/>
        </w:rPr>
        <w:t>Section 2.22(a)(iv)</w:t>
      </w:r>
      <w:r>
        <w:rPr>
          <w:rFonts w:ascii="Times New Roman;serif" w:hAnsi="Times New Roman;serif"/>
          <w:b w:val="false"/>
          <w:sz w:val="20"/>
        </w:rPr>
        <w:t xml:space="preserve">), whereupon that Lender will cease to be a Defaulting Lender;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adjustments will be made retroactively with respect to fees accrued or payments made by or on behalf of Holdings or the Borrower while that Lender was a Defaulting Lender; and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2.23 </w:t>
      </w:r>
      <w:r>
        <w:rPr>
          <w:rFonts w:ascii="Times New Roman;serif" w:hAnsi="Times New Roman;serif"/>
          <w:b w:val="false"/>
          <w:sz w:val="20"/>
          <w:u w:val="single"/>
        </w:rPr>
        <w:t>Illegality</w:t>
      </w:r>
      <w:r>
        <w:rPr>
          <w:rFonts w:ascii="Times New Roman;serif" w:hAnsi="Times New Roman;serif"/>
          <w:b w:val="false"/>
          <w:sz w:val="20"/>
        </w:rPr>
        <w:t xml:space="preserve">. If any Lender determines that any law has made it unlawful, or that any Governmental Authority has asserted that it is unlawful, for any Lender or its applicable Lending Office to make, maintain or fund Loans whose interest is determined by reference to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rFonts w:ascii="Times New Roman;serif" w:hAnsi="Times New Roman;serif"/>
          <w:b w:val="false"/>
          <w:sz w:val="20"/>
        </w:rPr>
        <w:t xml:space="preserve">, or to determine or charge interest rates based upon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rFonts w:ascii="Times New Roman;serif" w:hAnsi="Times New Roman;serif"/>
          <w:b w:val="false"/>
          <w:sz w:val="20"/>
        </w:rPr>
        <w:t xml:space="preserve">, then, on notice thereof by such Lender to the Borrower through the Administrative Agent, any obligation of such Lender to make or continue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or to convert ABR Loans to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shall be suspended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in the case of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prepay or, if applicable, convert all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of such Lender to ABR Loans either on the last day of the Interest Period therefor, if such Lender may lawfully continue to maintain such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to such day, or immediately, if such Lender may not lawfully continue to maintain such </w:t>
      </w:r>
      <w:r>
        <w:rPr>
          <w:rFonts w:ascii="Times New Roman;serif" w:hAnsi="Times New Roman;serif"/>
          <w:b w:val="false"/>
          <w:strike/>
          <w:sz w:val="20"/>
        </w:rPr>
        <w:t>Eurocurrency</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Loans, and (y) if such notice asserts the illegality of such Lender determining or charging interest rates based upon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rFonts w:ascii="Times New Roman;serif" w:hAnsi="Times New Roman;serif"/>
          <w:b w:val="false"/>
          <w:sz w:val="20"/>
        </w:rPr>
        <w:t xml:space="preserve">, the Administrative Agent shall, during the period of such suspension, compute the Alternate Base Rate applicable to such Lender without reference to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 xml:space="preserve">component thereof until the Administrative Agent is advised in writing by such Lender that it is no longer illegal for such Lender to determine or charge interest rates based upon </w:t>
      </w:r>
      <w:r>
        <w:rPr>
          <w:rFonts w:ascii="Times New Roman;serif" w:hAnsi="Times New Roman;serif"/>
          <w:b w:val="false"/>
          <w:strike/>
          <w:sz w:val="20"/>
        </w:rPr>
        <w:t>the Adjusted LIBO Rate</w:t>
      </w:r>
      <w:r>
        <w:rPr>
          <w:rFonts w:ascii="Times New Roman;serif" w:hAnsi="Times New Roman;serif"/>
          <w:b w:val="false"/>
          <w:sz w:val="20"/>
          <w:u w:val="single"/>
        </w:rPr>
        <w:t>Term SOFR</w:t>
      </w:r>
      <w:r>
        <w:rPr>
          <w:rFonts w:ascii="Times New Roman;serif" w:hAnsi="Times New Roman;serif"/>
          <w:b w:val="false"/>
          <w:sz w:val="20"/>
        </w:rPr>
        <w:t xml:space="preserve">. Each Lender agrees to notify the Administrative Agent and the Borrower in writing promptly upon becoming aware that it is no longer illegal for such Lender to determine or charge interest rates based upon </w:t>
      </w:r>
      <w:r>
        <w:rPr>
          <w:rFonts w:ascii="Times New Roman;serif" w:hAnsi="Times New Roman;serif"/>
          <w:b w:val="false"/>
          <w:strike/>
          <w:sz w:val="20"/>
        </w:rPr>
        <w:t>the Adjusted LIBO Rate.</w:t>
      </w:r>
      <w:r>
        <w:rPr>
          <w:rFonts w:ascii="Times New Roman" w:hAnsi="Times New Roman"/>
          <w:sz w:val="20"/>
        </w:rPr>
        <w:t xml:space="preserve"> </w:t>
      </w:r>
      <w:r>
        <w:rPr>
          <w:rFonts w:ascii="Times New Roman;serif" w:hAnsi="Times New Roman;serif"/>
          <w:b w:val="false"/>
          <w:sz w:val="20"/>
          <w:u w:val="single"/>
        </w:rPr>
        <w:t>Term SOFR.</w:t>
      </w:r>
      <w:r>
        <w:rPr>
          <w:rFonts w:ascii="Times New Roman" w:hAnsi="Times New Roman"/>
          <w:sz w:val="20"/>
        </w:rPr>
        <w:t xml:space="preserve"> </w:t>
      </w:r>
      <w:r>
        <w:rPr>
          <w:rFonts w:ascii="Times New Roman;serif" w:hAnsi="Times New Roman;serif"/>
          <w:b w:val="false"/>
          <w:sz w:val="20"/>
        </w:rPr>
        <w:t>Upon any such prepayment or conversion, the Borrower shall also pay accrued interest on the amount so prepaid or converted.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2.24 </w:t>
      </w:r>
      <w:r>
        <w:rPr>
          <w:rFonts w:ascii="Times New Roman;serif" w:hAnsi="Times New Roman;serif"/>
          <w:b w:val="false"/>
          <w:sz w:val="20"/>
          <w:u w:val="single"/>
        </w:rPr>
        <w:t>Loan Modification Offers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At any time after the Effective Date, the Borrower may on one or more occasions, by written notice to the Administrative Agent, make one or more offers (each, a “</w:t>
      </w:r>
      <w:r>
        <w:rPr>
          <w:rFonts w:ascii="Times New Roman;serif" w:hAnsi="Times New Roman;serif"/>
          <w:b w:val="false"/>
          <w:sz w:val="20"/>
          <w:u w:val="single"/>
        </w:rPr>
        <w:t>Loan Modification Offer</w:t>
      </w:r>
      <w:r>
        <w:rPr/>
        <w:t>”</w:t>
      </w:r>
      <w:r>
        <w:rPr>
          <w:rFonts w:ascii="Times New Roman;serif" w:hAnsi="Times New Roman;serif"/>
          <w:b w:val="false"/>
          <w:sz w:val="20"/>
        </w:rPr>
        <w:t>) to all the Lenders of one or more Classes (each Class subject to such a Loan Modification Offer, an “</w:t>
      </w:r>
      <w:r>
        <w:rPr>
          <w:rFonts w:ascii="Times New Roman;serif" w:hAnsi="Times New Roman;serif"/>
          <w:b w:val="false"/>
          <w:sz w:val="20"/>
          <w:u w:val="single"/>
        </w:rPr>
        <w:t>Affected Class</w:t>
      </w:r>
      <w:r>
        <w:rPr/>
        <w:t>”</w:t>
      </w:r>
      <w:r>
        <w:rPr>
          <w:rFonts w:ascii="Times New Roman;serif" w:hAnsi="Times New Roman;serif"/>
          <w:b w:val="false"/>
          <w:sz w:val="20"/>
        </w:rPr>
        <w:t xml:space="preserve">) to effect one or more Permitted Amendments relating to such Affected Class pursuant to procedures reasonably specified by the Administrative Agent and reasonably acceptable to Borrower (including mechanics to permit conversions, cashless rollovers and exchanges by Lenders and other repayments and reborrowings of Loans of Accepting Lenders or Non-Accepting Lenders replaced in accordance with this </w:t>
      </w:r>
      <w:r>
        <w:rPr>
          <w:rFonts w:ascii="Times New Roman;serif" w:hAnsi="Times New Roman;serif"/>
          <w:b w:val="false"/>
          <w:sz w:val="20"/>
          <w:u w:val="single"/>
        </w:rPr>
        <w:t>Section 2.24</w:t>
      </w:r>
      <w:r>
        <w:rPr>
          <w:rFonts w:ascii="Times New Roman;serif" w:hAnsi="Times New Roman;serif"/>
          <w:b w:val="false"/>
          <w:sz w:val="20"/>
        </w:rPr>
        <w:t>).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serif" w:hAnsi="Times New Roman;serif"/>
          <w:b w:val="false"/>
          <w:sz w:val="20"/>
          <w:u w:val="single"/>
        </w:rPr>
        <w:t>Accepting Lenders</w:t>
      </w:r>
      <w:r>
        <w:rPr/>
        <w:t>”</w:t>
      </w:r>
      <w:r>
        <w:rPr>
          <w:rFonts w:ascii="Times New Roman;serif" w:hAnsi="Times New Roman;serif"/>
          <w:b w:val="false"/>
          <w:sz w:val="20"/>
        </w:rPr>
        <w:t>) and, in the case of any Accepting Lender, only with respect to such Lender’s Loans and Commitments of such Affected Class as to which such Lender’s acceptance has been made.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A Permitted Amendment shall be effected pursuant to a Loan Modification Agreement executed and delivered by Holdings, the Borrower, each applicable Accepting Lender and the Administrative Agent;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Permitted Amendment shall become effective unless Holdings and the Borrower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serif" w:hAnsi="Times New Roman;serif"/>
          <w:b w:val="false"/>
          <w:sz w:val="20"/>
          <w:u w:val="single"/>
        </w:rPr>
        <w:t>Section 2.24</w:t>
      </w:r>
      <w:r>
        <w:rPr>
          <w:rFonts w:ascii="Times New Roman;serif" w:hAnsi="Times New Roman;serif"/>
          <w:b w:val="false"/>
          <w:sz w:val="20"/>
        </w:rPr>
        <w:t>, including any amendments necessary to treat the applicable Loans and/or Commitments of the Accepting Lenders as a new “Class” of loans and/or commitments hereunder and in connection with a Permitted Amendment related to Revolving Loans and/or Revolving Commitments, to reallocate, if applicable, Revolving Exposure on a pro rata basis among the relevant Revolving Lenders.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If, in connection with any proposed Loan Modification Offer, any Lender declines to consent to such Loan Modification Offer on the terms and by the deadline set forth in such Loan Modification Offer (each such Lender, a “</w:t>
      </w:r>
      <w:r>
        <w:rPr>
          <w:rFonts w:ascii="Times New Roman;serif" w:hAnsi="Times New Roman;serif"/>
          <w:b w:val="false"/>
          <w:sz w:val="20"/>
          <w:u w:val="single"/>
        </w:rPr>
        <w:t>Non-Accepting Lender</w:t>
      </w:r>
      <w:r>
        <w:rPr/>
        <w:t>”</w:t>
      </w:r>
      <w:r>
        <w:rPr>
          <w:rFonts w:ascii="Times New Roman;serif" w:hAnsi="Times New Roman;serif"/>
          <w:b w:val="false"/>
          <w:sz w:val="20"/>
        </w:rPr>
        <w:t xml:space="preserve">) then the Borrower may, on notice to the Administrative Agent and the Non-Accepting Lender, replace such Non-Accepting Lender in whole or in part by causing such Lender to (and such Lender shall be obligated to) assign and delegate, without recourse (in accordance with and subject to the restrictions contained in </w:t>
      </w:r>
      <w:r>
        <w:rPr>
          <w:rFonts w:ascii="Times New Roman;serif" w:hAnsi="Times New Roman;serif"/>
          <w:b w:val="false"/>
          <w:sz w:val="20"/>
          <w:u w:val="single"/>
        </w:rPr>
        <w:t>Section 9.04</w:t>
      </w:r>
      <w:r>
        <w:rPr>
          <w:rFonts w:ascii="Times New Roman;serif" w:hAnsi="Times New Roman;serif"/>
          <w:b w:val="false"/>
          <w:sz w:val="20"/>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neither the Administrative Agent nor any Lender shall have any obligation to the Borrower to find a replacement Lender;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Times New Roman;serif" w:hAnsi="Times New Roman;serif"/>
          <w:b w:val="false"/>
          <w:sz w:val="20"/>
          <w:u w:val="single"/>
        </w:rPr>
        <w:t>Section 2.24(c)</w:t>
      </w:r>
      <w:r>
        <w:rPr>
          <w:rFonts w:ascii="Times New Roman;serif" w:hAnsi="Times New Roman;serif"/>
          <w:b w:val="false"/>
          <w:sz w:val="20"/>
        </w:rPr>
        <w:t xml:space="preserve">, accrued interest thereon, accrued fees and all other amounts payable to it hereunder from the Eligible Assignee (to the extent of such outstanding principal and accrued interest and fees) and (c) unless waived, Borrower or such Eligible Assignee shall have paid to the Administrative Agent the processing and recordation fee specified in </w:t>
      </w:r>
      <w:r>
        <w:rPr>
          <w:rFonts w:ascii="Times New Roman;serif" w:hAnsi="Times New Roman;serif"/>
          <w:b w:val="false"/>
          <w:sz w:val="20"/>
          <w:u w:val="single"/>
        </w:rPr>
        <w:t>Section 9.04(b)</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No rollover, conversion or exchange (or other repayment or termination) of Loans or Commitments pursuant to any Loan Modification Agreement in accordance with this </w:t>
      </w:r>
      <w:r>
        <w:rPr>
          <w:rFonts w:ascii="Times New Roman;serif" w:hAnsi="Times New Roman;serif"/>
          <w:b w:val="false"/>
          <w:sz w:val="20"/>
          <w:u w:val="single"/>
        </w:rPr>
        <w:t>Section 2.24</w:t>
      </w:r>
      <w:r>
        <w:rPr/>
        <w:t xml:space="preserve"> </w:t>
      </w:r>
      <w:r>
        <w:rPr>
          <w:rFonts w:ascii="Times New Roman;serif" w:hAnsi="Times New Roman;serif"/>
          <w:b w:val="false"/>
          <w:sz w:val="20"/>
        </w:rPr>
        <w:t>shall constitute a voluntary or mandatory payment or prepayment for purposes of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pPr>
      <w:r>
        <w:rPr>
          <w:rFonts w:ascii="Times New Roman;serif" w:hAnsi="Times New Roman;serif"/>
          <w:b w:val="false"/>
          <w:sz w:val="20"/>
        </w:rPr>
        <w:t xml:space="preserve">Notwithstanding anything to the contrary, this </w:t>
      </w:r>
      <w:r>
        <w:rPr>
          <w:rFonts w:ascii="Times New Roman;serif" w:hAnsi="Times New Roman;serif"/>
          <w:b w:val="false"/>
          <w:sz w:val="20"/>
          <w:u w:val="single"/>
        </w:rPr>
        <w:t>Section 2.24</w:t>
      </w:r>
      <w:r>
        <w:rPr/>
        <w:t xml:space="preserve"> </w:t>
      </w:r>
      <w:r>
        <w:rPr>
          <w:rFonts w:ascii="Times New Roman;serif" w:hAnsi="Times New Roman;serif"/>
          <w:b w:val="false"/>
          <w:sz w:val="20"/>
        </w:rPr>
        <w:t>shall supersede any provisions in Section 2.18 or Section 9.02 to the contrary.</w:t>
      </w:r>
    </w:p>
    <w:p>
      <w:pPr>
        <w:pStyle w:val="TextBody"/>
        <w:bidi w:val="0"/>
        <w:spacing w:before="200" w:after="0"/>
        <w:jc w:val="center"/>
        <w:rPr>
          <w:rFonts w:ascii="Times New Roman" w:hAnsi="Times New Roman"/>
          <w:sz w:val="20"/>
        </w:rPr>
      </w:pPr>
      <w:r>
        <w:rPr>
          <w:rFonts w:ascii="Times New Roman;serif" w:hAnsi="Times New Roman;serif"/>
          <w:b w:val="false"/>
          <w:sz w:val="20"/>
        </w:rPr>
        <w:t>ARTICLE III</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REPRESENTATIONS AND WARRANTIES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of Holdings and the Borrower represents and warrants to the Lenders that: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3.01 </w:t>
      </w:r>
      <w:r>
        <w:rPr>
          <w:rFonts w:ascii="Times New Roman;serif" w:hAnsi="Times New Roman;serif"/>
          <w:b w:val="false"/>
          <w:sz w:val="20"/>
          <w:u w:val="single"/>
        </w:rPr>
        <w:t>Organization; Powers</w:t>
      </w:r>
      <w:r>
        <w:rPr>
          <w:rFonts w:ascii="Times New Roman;serif" w:hAnsi="Times New Roman;serif"/>
          <w:b w:val="false"/>
          <w:sz w:val="20"/>
        </w:rPr>
        <w:t>. Holdings, the Borrower and each Restricted Subsidiary is (a) duly organized,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the case of clause (a) (other than with respect to any Loan Party), clause (b) (other than with respect to Holdings and the Borrower) and clause (c), where the failure to do so, individually or in the aggregate, could not reasonably be expected to result in a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3.02 </w:t>
      </w:r>
      <w:r>
        <w:rPr>
          <w:rFonts w:ascii="Times New Roman;serif" w:hAnsi="Times New Roman;serif"/>
          <w:b w:val="false"/>
          <w:sz w:val="20"/>
          <w:u w:val="single"/>
        </w:rPr>
        <w:t>Authorization; Enforceability</w:t>
      </w:r>
      <w:r>
        <w:rPr>
          <w:rFonts w:ascii="Times New Roman;serif" w:hAnsi="Times New Roman;serif"/>
          <w:b w:val="false"/>
          <w:sz w:val="20"/>
        </w:rPr>
        <w:t>. This Agreement has been duly authorized, executed and delivered by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3.03 </w:t>
      </w:r>
      <w:r>
        <w:rPr>
          <w:rFonts w:ascii="Times New Roman;serif" w:hAnsi="Times New Roman;serif"/>
          <w:b w:val="false"/>
          <w:sz w:val="20"/>
          <w:u w:val="single"/>
        </w:rPr>
        <w:t>Governmental Approvals; No Conflicts</w:t>
      </w:r>
      <w:r>
        <w:rPr>
          <w:rFonts w:ascii="Times New Roman;serif" w:hAnsi="Times New Roman;serif"/>
          <w:b w:val="false"/>
          <w:sz w:val="20"/>
        </w:rPr>
        <w:t>. The execution, delivery and performance by any Loan Party of this Agreement or any other Loan Document (a) do not require any consent or approval of, registration or filing with, or any other action by, any Governmental Authority or any other third party, except such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have been obtained or made and are in full force and effect and except filings necessary to perfect Liens created under the Loan Documents, (b) will not violate (i) the Organizational Documents of Holdings, the Borrower or any other Loan Party, or (ii) any Requirements of Law applicable to Holdings, the Borrower or any Restricted Subsidiary, (c) will not violate or result in a default under any indenture or other agreement or instrument binding upon Holdings, the Borrower or any other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default or right as the case may be, individually or in the aggregate, could not reasonably be expected to have a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3.04 </w:t>
      </w:r>
      <w:r>
        <w:rPr>
          <w:rFonts w:ascii="Times New Roman;serif" w:hAnsi="Times New Roman;serif"/>
          <w:b w:val="false"/>
          <w:sz w:val="20"/>
          <w:u w:val="single"/>
        </w:rPr>
        <w:t>Financial Condition; No Material Adverse Effect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Audited Financial Statements (i) were prepared in accordance with GAAP consistently applied throughout the period covered thereby, except as otherwise expressly indicated therein, including the notes thereto, and (ii) fairly present in all material respects the financial condition of the Target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including the notes thereto.</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unaudited consolidated balance sheets of the Target and its consolidated subsidiaries as at the end of, and related statements of operations, cash flows and changes in members’ equity of the Target and its consolidated subsidiaries for, the fiscal quarters ended March 31, 2019, June 30, 2019 and September 30, 2019 (A) were prepared in accordance with GAAP consistently applied during the periods referred to therein, except as otherwise expressly indicated therein, including the notes thereto, and (B) fairly present in all material respects the financial condition of the Target and its subsidiaries, as of the date thereof, subject, in the case of clauses (A) and (B), to the absence of footnotes and to normal year-end audit adjustments and to any other adjustments described therein.</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Since the Effective Date, there has been no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3.05 </w:t>
      </w:r>
      <w:r>
        <w:rPr>
          <w:rFonts w:ascii="Times New Roman;serif" w:hAnsi="Times New Roman;serif"/>
          <w:b w:val="false"/>
          <w:sz w:val="20"/>
          <w:u w:val="single"/>
        </w:rPr>
        <w:t>Properties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and each Restricted Subsidiary has good and valid title to, or valid leasehold interests in, all its real and personal property material to its business, if any (including the Mortgaged Properties), (i) free and clear of all Liens except for Liens permitted by Section 6.02 and (ii) except for minor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As of the Effective Date after giving effect to the Transactions, </w:t>
      </w:r>
      <w:r>
        <w:rPr>
          <w:rFonts w:ascii="Times New Roman;serif" w:hAnsi="Times New Roman;serif"/>
          <w:b w:val="false"/>
          <w:sz w:val="20"/>
          <w:u w:val="single"/>
        </w:rPr>
        <w:t>Schedule 3.05</w:t>
      </w:r>
      <w:r>
        <w:rPr/>
        <w:t xml:space="preserve"> </w:t>
      </w:r>
      <w:r>
        <w:rPr>
          <w:rFonts w:ascii="Times New Roman;serif" w:hAnsi="Times New Roman;serif"/>
          <w:b w:val="false"/>
          <w:sz w:val="20"/>
        </w:rPr>
        <w:t>contains a true and complete list of each Material Real Property.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3.06 </w:t>
      </w:r>
      <w:r>
        <w:rPr>
          <w:rFonts w:ascii="Times New Roman;serif" w:hAnsi="Times New Roman;serif"/>
          <w:b w:val="false"/>
          <w:sz w:val="20"/>
          <w:u w:val="single"/>
        </w:rPr>
        <w:t>Litigation and Environmental Matters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There are no actions, suits or proceedings by or before any arbitrator or Governmental Authority pending against or, to the knowledge of Holdings or the Borrower, threatened in writing against or affecting Holdings, the Borrower or any Restricted Subsidiary that could reasonably be expected, individually or in the aggregate, to result in a Material Adverse Effect.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Except with respect to any other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Environmental Liability or (iv) has, to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knowledge of Holdings or the Borrower, any basis to reasonably expect that Holdings, the Borrower or any Restricted Subsidiary will become subject to any Environmental Liability.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3.07 </w:t>
      </w:r>
      <w:r>
        <w:rPr>
          <w:rFonts w:ascii="Times New Roman;serif" w:hAnsi="Times New Roman;serif"/>
          <w:b w:val="false"/>
          <w:sz w:val="20"/>
          <w:u w:val="single"/>
        </w:rPr>
        <w:t>Compliance with Laws and Agreements</w:t>
      </w:r>
      <w:r>
        <w:rPr>
          <w:rFonts w:ascii="Times New Roman;serif" w:hAnsi="Times New Roman;serif"/>
          <w:b w:val="false"/>
          <w:sz w:val="20"/>
        </w:rPr>
        <w:t>. Holdings, the Borrower and each Restricted Subsidiary is in compliance with (a) its Organizational Documents, (b) all Requirements of Law applicable to it or its property and (c) all indentures and other agreements and instruments binding upon it or its property, except, in the case of clauses (b) and (c) of this Section, where the failure to do so, individually or in the aggregate, could not reasonably be expected to result in a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3.08 </w:t>
      </w:r>
      <w:r>
        <w:rPr>
          <w:rFonts w:ascii="Times New Roman;serif" w:hAnsi="Times New Roman;serif"/>
          <w:b w:val="false"/>
          <w:sz w:val="20"/>
          <w:u w:val="single"/>
        </w:rPr>
        <w:t>Investment Company Status</w:t>
      </w:r>
      <w:r>
        <w:rPr>
          <w:rFonts w:ascii="Times New Roman;serif" w:hAnsi="Times New Roman;serif"/>
          <w:b w:val="false"/>
          <w:sz w:val="20"/>
        </w:rPr>
        <w:t>. None of Holdings, the Borrower or any other Loan Party is an “investment company” as defined in, or subject to regulation under, the Investment Company Act of 1940, as amended from time to time.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3.09 </w:t>
      </w:r>
      <w:r>
        <w:rPr>
          <w:rFonts w:ascii="Times New Roman;serif" w:hAnsi="Times New Roman;serif"/>
          <w:b w:val="false"/>
          <w:sz w:val="20"/>
          <w:u w:val="single"/>
        </w:rPr>
        <w:t>Taxes</w:t>
      </w:r>
      <w:r>
        <w:rPr>
          <w:rFonts w:ascii="Times New Roman;serif" w:hAnsi="Times New Roman;serif"/>
          <w:b w:val="false"/>
          <w:sz w:val="20"/>
        </w:rPr>
        <w:t xml:space="preserve">. Except as could not, individually or in the aggregate, reasonably be expected to result in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Holdings, the Borrower or such Restricted Subsidiary, as the case may be, has set aside on its books adequate reserves therefor in accordance with GAAP.</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3.10 </w:t>
      </w:r>
      <w:r>
        <w:rPr>
          <w:rFonts w:ascii="Times New Roman;serif" w:hAnsi="Times New Roman;serif"/>
          <w:b w:val="false"/>
          <w:sz w:val="20"/>
          <w:u w:val="single"/>
        </w:rPr>
        <w:t>ERISA</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Except as could not, individually or in the aggregate, reasonably be expected to result in a Material Adverse Effect, each Plan is in compliance with the applicable provisions of ERISA, the Code and other federal or state laws.</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Except as could not reasonably be expected, individually or in the aggregate, to result in a Material Adverse Effect, (i) no ERISA Event has occurred during the five year period prior to the date on which this representation is made or deemed made or is reasonably expected to occur, (ii) neither any Loan Party nor any ERISA Affiliate has incurred, or reasonably expects to incur, any liability under Title IV of ERISA with respect to any Plan (other than premiums due and not delinquent under Section 4007 of ERISA), (iii) neither any Loan Party nor any ERISA Affiliate has incurred, or reasonably expects to incur, any liability (and no event has occurred which, with the giving of notice under Section 4219 of ERISA, would result in such liability) under Section 4201 or 4243 of ERISA with respect to a Multiemployer Plan and (iv) neither any Loan Party nor any ERISA Affiliate has engaged in a transaction that could be subject to Section 4069 or 4212(c) of ERISA.</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3.11 </w:t>
      </w:r>
      <w:r>
        <w:rPr>
          <w:rFonts w:ascii="Times New Roman;serif" w:hAnsi="Times New Roman;serif"/>
          <w:b w:val="false"/>
          <w:sz w:val="20"/>
          <w:u w:val="single"/>
        </w:rPr>
        <w:t>Disclosure</w:t>
      </w:r>
      <w:r>
        <w:rPr>
          <w:rFonts w:ascii="Times New Roman;serif" w:hAnsi="Times New Roman;serif"/>
          <w:b w:val="false"/>
          <w:sz w:val="20"/>
        </w:rPr>
        <w:t xml:space="preserve">. As of the Effective Date, neither (a) the Information Memorandum nor (b)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with </w:t>
      </w:r>
      <w:r>
        <w:rPr>
          <w:rFonts w:ascii="Times New Roman;serif" w:hAnsi="Times New Roman;serif"/>
          <w:b w:val="false"/>
          <w:sz w:val="22"/>
        </w:rPr>
        <w:t>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Effective Date, as of the Effective Date, it being understood that any such projected financial information may vary from actual results and such variations could be material.</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3.12 </w:t>
      </w:r>
      <w:r>
        <w:rPr>
          <w:rFonts w:ascii="Times New Roman;serif" w:hAnsi="Times New Roman;serif"/>
          <w:b w:val="false"/>
          <w:sz w:val="20"/>
          <w:u w:val="single"/>
        </w:rPr>
        <w:t>Subsidiaries</w:t>
      </w:r>
      <w:r>
        <w:rPr>
          <w:rFonts w:ascii="Times New Roman;serif" w:hAnsi="Times New Roman;serif"/>
          <w:b w:val="false"/>
          <w:sz w:val="20"/>
        </w:rPr>
        <w:t xml:space="preserve">. As of the Effective Date, </w:t>
      </w:r>
      <w:r>
        <w:rPr>
          <w:rFonts w:ascii="Times New Roman;serif" w:hAnsi="Times New Roman;serif"/>
          <w:b w:val="false"/>
          <w:sz w:val="20"/>
          <w:u w:val="single"/>
        </w:rPr>
        <w:t>Schedule 3.12</w:t>
      </w:r>
      <w:r>
        <w:rPr>
          <w:rFonts w:ascii="Times New Roman" w:hAnsi="Times New Roman"/>
          <w:sz w:val="20"/>
        </w:rPr>
        <w:t xml:space="preserve"> </w:t>
      </w:r>
      <w:r>
        <w:rPr>
          <w:rFonts w:ascii="Times New Roman;serif" w:hAnsi="Times New Roman;serif"/>
          <w:b w:val="false"/>
          <w:sz w:val="20"/>
        </w:rPr>
        <w:t>sets forth the name of, and the ownership interest of Holdings and each Subsidiary in, each Subsidiary.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3.13 </w:t>
      </w:r>
      <w:r>
        <w:rPr>
          <w:rFonts w:ascii="Times New Roman;serif" w:hAnsi="Times New Roman;serif"/>
          <w:b w:val="false"/>
          <w:sz w:val="20"/>
          <w:u w:val="single"/>
        </w:rPr>
        <w:t>Intellectual Property; Licenses, Etc.</w:t>
      </w:r>
      <w:r>
        <w:rPr>
          <w:rFonts w:ascii="Times New Roman" w:hAnsi="Times New Roman"/>
          <w:sz w:val="20"/>
        </w:rPr>
        <w:t xml:space="preserve"> </w:t>
      </w:r>
      <w:r>
        <w:rPr>
          <w:rFonts w:ascii="Times New Roman;serif" w:hAnsi="Times New Roman;serif"/>
          <w:b w:val="false"/>
          <w:sz w:val="20"/>
        </w:rPr>
        <w:t xml:space="preserve">Except as, individually or in the aggregate, could not reasonably be expected to have a Material Adverse Effect, Holdings, the Borrower and each Restricted Subsidiary owns, licenses or possesses the right to use, all of the rights to Intellectual Property that are reasonably necessary for the operation of its business as currently conducted, free and clear of all Liens other than Liens permitted by </w:t>
      </w:r>
      <w:r>
        <w:rPr>
          <w:rFonts w:ascii="Times New Roman;serif" w:hAnsi="Times New Roman;serif"/>
          <w:b w:val="false"/>
          <w:sz w:val="20"/>
          <w:u w:val="single"/>
        </w:rPr>
        <w:t>Section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u w:val="single"/>
        </w:rPr>
        <w:t>6.02</w:t>
      </w:r>
      <w:r>
        <w:rPr>
          <w:rFonts w:ascii="Times New Roman;serif" w:hAnsi="Times New Roman;serif"/>
          <w:b w:val="false"/>
          <w:sz w:val="20"/>
        </w:rPr>
        <w:t>, and, without conflict with the rights of any Person. Holdings, the Borrower or any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of the Restricted Subsidiaries is pending or, to the knowledge of Holdings and the Borrower, threatened in writing against Holdings, the Borrower or any Restricted Subsidiary, which, individually or in the aggregate, could reasonably be expected to have a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3.14 </w:t>
      </w:r>
      <w:r>
        <w:rPr>
          <w:rFonts w:ascii="Times New Roman;serif" w:hAnsi="Times New Roman;serif"/>
          <w:b w:val="false"/>
          <w:sz w:val="20"/>
          <w:u w:val="single"/>
        </w:rPr>
        <w:t>Solvency</w:t>
      </w:r>
      <w:r>
        <w:rPr>
          <w:rFonts w:ascii="Times New Roman;serif" w:hAnsi="Times New Roman;serif"/>
          <w:b w:val="false"/>
          <w:sz w:val="20"/>
        </w:rPr>
        <w:t>. On the Effective Date, immediately after the consummation of the Transactions to occur on the Effective Date, the Borrower and its Subsidiaries are, on a consolidated basis after giving effect to the Transactions, Solvent.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3.15 </w:t>
      </w:r>
      <w:r>
        <w:rPr>
          <w:rFonts w:ascii="Times New Roman;serif" w:hAnsi="Times New Roman;serif"/>
          <w:b w:val="false"/>
          <w:sz w:val="20"/>
          <w:u w:val="single"/>
        </w:rPr>
        <w:t>Senior Indebtedness</w:t>
      </w:r>
      <w:r>
        <w:rPr>
          <w:rFonts w:ascii="Times New Roman;serif" w:hAnsi="Times New Roman;serif"/>
          <w:b w:val="false"/>
          <w:sz w:val="20"/>
        </w:rPr>
        <w:t>. The Loan Document Obligations constitute “Senior Indebtedness” (or any comparable term) and “Designated Senior Debt” (or any comparable term) (if applicable) under and as defined in the documentation governing any Junior Financing.</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3.16 </w:t>
      </w:r>
      <w:r>
        <w:rPr>
          <w:rFonts w:ascii="Times New Roman;serif" w:hAnsi="Times New Roman;serif"/>
          <w:b w:val="false"/>
          <w:sz w:val="20"/>
          <w:u w:val="single"/>
        </w:rPr>
        <w:t>Federal Reserve Regulations</w:t>
      </w:r>
      <w:r>
        <w:rPr>
          <w:rFonts w:ascii="Times New Roman;serif" w:hAnsi="Times New Roman;serif"/>
          <w:b w:val="false"/>
          <w:sz w:val="20"/>
        </w:rPr>
        <w:t>. None of Holdings,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3.17 </w:t>
      </w:r>
      <w:r>
        <w:rPr>
          <w:rFonts w:ascii="Times New Roman;serif" w:hAnsi="Times New Roman;serif"/>
          <w:b w:val="false"/>
          <w:sz w:val="20"/>
          <w:u w:val="single"/>
        </w:rPr>
        <w:t>Use of Proceeds</w:t>
      </w:r>
      <w:r>
        <w:rPr>
          <w:rFonts w:ascii="Times New Roman;serif" w:hAnsi="Times New Roman;serif"/>
          <w:b w:val="false"/>
          <w:sz w:val="20"/>
        </w:rPr>
        <w:t>. The Borrower will use the proceeds of (a) the Initial Term Loans made on the Effective Date to finance the Transactions, to pay Transaction Costs and for working capital and other general corporate purposes (including any purpose not prohibited by this Agreement), (b) Revolving Loans made (i) on the Effective Date to pay a portion of the Transaction Costs in an aggregate principal amount of up to $15,000,000, (ii) on and after the Effective Date for working capital purposes and (iii) after the Effective Date for general corporate purposes (including any purpose not prohibited by this Agreement), (c) the First Additional Term Loans made on the Amendment No. 1 Effective Date to repay the Indebtedness outstanding under the Second Lien Credit Agreement as of the Amendment No. 1 Effective Date and to pay any fees and expenses incurred in connection therewith and (d) the Term B-1 Loans made on the Amendment No. 1 Effective Date to repay the Initial Term Loans outstanding as of the Amendment No. 1 Effective Date and to pay any fees and expenses incurred in connection therewith.</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3.18 </w:t>
      </w:r>
      <w:r>
        <w:rPr>
          <w:rFonts w:ascii="Times New Roman;serif" w:hAnsi="Times New Roman;serif"/>
          <w:b w:val="false"/>
          <w:sz w:val="20"/>
          <w:u w:val="single"/>
        </w:rPr>
        <w:t>PATRIOT Act, OFAC and FCPA</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and the Restricted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Holdings, the Borrower and the Restricted Subsidiaries will not use the proceeds of the Loans directly, or, to the knowledge of Holdings, indirectly, (i) in violation of the USA Patriot Act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serif" w:hAnsi="Times New Roman;serif"/>
          <w:b w:val="false"/>
          <w:sz w:val="20"/>
          <w:u w:val="single"/>
        </w:rPr>
        <w:t>FCPA</w:t>
      </w:r>
      <w:r>
        <w:rPr/>
        <w: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Except as could not, individually or in the aggregate, reasonably be expected to result in a Material Adverse Effect, to the knowledge of Holdings, none of Holdings, the Borrower or the Restricted Subsidiaries has, in the past three years, committed a violation of applicable regulations of the United States Department of the Treasury’s Office of Foreign Assets Control (“</w:t>
      </w:r>
      <w:r>
        <w:rPr>
          <w:rFonts w:ascii="Times New Roman;serif" w:hAnsi="Times New Roman;serif"/>
          <w:b w:val="false"/>
          <w:sz w:val="20"/>
          <w:u w:val="single"/>
        </w:rPr>
        <w:t>OFAC</w:t>
      </w:r>
      <w:r>
        <w:rPr/>
        <w:t>”</w:t>
      </w:r>
      <w:r>
        <w:rPr>
          <w:rFonts w:ascii="Times New Roman;serif" w:hAnsi="Times New Roman;serif"/>
          <w:b w:val="false"/>
          <w:sz w:val="20"/>
        </w:rPr>
        <w:t>), Title III of the USA Patriot Act or the FCPA.</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Except as could not, individually or in the aggregate, reasonably be expected to result in a Material Adverse Effect, none of Holdings, the Borrower, the Restricted Subsidiaries or, to the knowledge of Holdings, any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director, officer, employee or agent of any Loan Party or other Restricted Subsidiary, in each case, is an individual or entity currently on OFAC’s list of Specially Designated Nationals and Blocked Persons, nor is Holdings, the Borrower or any Restricted Subsidiary located, organized or resident in a country or territory that is the subject of Sanctions.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ARTICLE IV</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CONDITIONS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4.01 </w:t>
      </w:r>
      <w:r>
        <w:rPr>
          <w:rFonts w:ascii="Times New Roman;serif" w:hAnsi="Times New Roman;serif"/>
          <w:b w:val="false"/>
          <w:sz w:val="20"/>
          <w:u w:val="single"/>
        </w:rPr>
        <w:t>Effective Date</w:t>
      </w:r>
      <w:r>
        <w:rPr>
          <w:rFonts w:ascii="Times New Roman;serif" w:hAnsi="Times New Roman;serif"/>
          <w:b w:val="false"/>
          <w:sz w:val="20"/>
        </w:rPr>
        <w:t xml:space="preserve">. The obligations of the Lenders to make Loans and each Issuing Bank to issue Letters of Credit hereunder shall not become effective until the date on which each of the following conditions shall be satisfied (or waived in accordance with </w:t>
      </w:r>
      <w:r>
        <w:rPr>
          <w:rFonts w:ascii="Times New Roman;serif" w:hAnsi="Times New Roman;serif"/>
          <w:b w:val="false"/>
          <w:sz w:val="20"/>
          <w:u w:val="single"/>
        </w:rPr>
        <w:t>Section 9.02</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(or its counsel) shall have received from each party hereto either (i) a counterpart of this Agreement and the First Lien/Second Lien Intercreditor Agreement signed on behalf of such party or (ii) written evidence satisfactory to the Administrative Agent (which may include facsimile or other electronic transmission of a signed counterpart of this Agreement) that such party has signed a counterpart of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have received a written opinion (addressed to the Administrative Agent and the Lenders and dated the Effective Date) of (i) Simpson Thacher &amp; Bartlett LLP, New York and Delaware counsel for the Loan Parties and (ii) Foley &amp; Lardner LLP, Florida counsel for the Loan Parties. The Borrower hereby requests such counsel to deliver such opinions.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The Administrative Agent shall have received a certificate of each Loan Party, dated the Effective Date, substantially in the form of </w:t>
      </w:r>
      <w:r>
        <w:rPr>
          <w:rFonts w:ascii="Times New Roman;serif" w:hAnsi="Times New Roman;serif"/>
          <w:b w:val="false"/>
          <w:sz w:val="20"/>
          <w:u w:val="single"/>
        </w:rPr>
        <w:t>Exhibit G</w:t>
      </w:r>
      <w:r>
        <w:rPr/>
        <w:t xml:space="preserve"> </w:t>
      </w:r>
      <w:r>
        <w:rPr>
          <w:rFonts w:ascii="Times New Roman;serif" w:hAnsi="Times New Roman;serif"/>
          <w:b w:val="false"/>
          <w:sz w:val="20"/>
        </w:rPr>
        <w:t>with appropriate insertions, executed by any Responsible Officer of such Loan Party, and including or attaching the documents referred to in paragraph (d) of this Section.</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Loan Documents to which it is a party, certified as of the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have received, or substantially simultaneously with the initial Borrowing on the Effective Date shall receive, all fees and other amounts previously agreed in writing by the Lead Arrangers and the Joint Bookrunners and Holdings to be due and payable on or prior to the Effective Date, including, to the extent invoiced at least three Business Days prior to the Effective Date (except as otherwise reasonably agreed by the Borrower), reimbursement or payment of all out-of-pocket expenses (including reasonable fees, charges and disbursements of counsel) required to be reimbursed or paid by any Loan Party under any Loan Document.</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283"/>
        <w:jc w:val="both"/>
        <w:rPr/>
      </w:pPr>
      <w:r>
        <w:rPr>
          <w:rFonts w:ascii="Times New Roman;serif" w:hAnsi="Times New Roman;serif"/>
          <w:b w:val="false"/>
          <w:sz w:val="20"/>
        </w:rPr>
        <w:t xml:space="preserve">The Collateral and Guarantee Requirement shall have been satisfied;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notwithstanding the use by Holdings and the Borrower of commercially reasonable efforts to cause the Collateral and Guarantee Requirement to be satisfied on the Effective Date, the requirements thereof (other than (a) the execution and delivery of the Guarantee Agreement and the Collateral Agreement by the Loan Parties, (b) creation of and perfection of security interests in the certificated Equity Interests of the Borrower and Material Subsidiaries (other than Foreign Subsidiaries) that are wholly-owned subsidiaries of the Borrower;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any such certificated Equity Interests of the Target and its Subsidiaries shall only be required to be delivered to the extent received from the Target after the Borrower’s use of commercially reasonable efforts, and (c) delivery of Uniform Commercial Code financing statements with respect to perfection of security interests in other assets of the Loan Parties that may be perfected by the filing of a financing statement under the Uniform Commercial Code) are not satisfied as of the Effective Date, the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satisfaction of such requirements shall not be a condition to the availability of the initial Loans on the Effective Date (but shall be required to be satisfied as promptly as practicable after the Effective Date and in any event within the period specified therefor in </w:t>
      </w:r>
      <w:r>
        <w:rPr>
          <w:rFonts w:ascii="Times New Roman;serif" w:hAnsi="Times New Roman;serif"/>
          <w:b w:val="false"/>
          <w:sz w:val="20"/>
          <w:u w:val="single"/>
        </w:rPr>
        <w:t>Schedule 5.14</w:t>
      </w:r>
      <w:r>
        <w:rPr/>
        <w:t xml:space="preserve"> </w:t>
      </w:r>
      <w:r>
        <w:rPr>
          <w:rFonts w:ascii="Times New Roman;serif" w:hAnsi="Times New Roman;serif"/>
          <w:b w:val="false"/>
          <w:sz w:val="20"/>
        </w:rPr>
        <w:t>or such later date as the Administrative Agent may reasonably agree).</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There shall not have been a Material Adverse Effect (as defined in the Acquisition Agreement) which has occurred since the date of the Acquisition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Lead Arrangers and the Joint Bookrunners shall have received the (i) Audited Financial Statements and (ii) Unaudited Financial Statements (together with financial statements for the corresponding portion of the previous year).</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 xml:space="preserve">The Specified Representations shall be accurate in all material respects on and as of the Effective Date;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representation and warranty that is qualified as to “materiality,” “Material Adverse Effect” or similar language shall be true and correct in all respects, as the case may be.</w:t>
      </w:r>
    </w:p>
    <w:p>
      <w:pPr>
        <w:pStyle w:val="TextBody"/>
        <w:bidi w:val="0"/>
        <w:spacing w:before="200" w:after="0"/>
        <w:jc w:val="both"/>
        <w:rPr>
          <w:rFonts w:ascii="Times New Roman" w:hAnsi="Times New Roman"/>
          <w:b w:val="false"/>
          <w:sz w:val="20"/>
        </w:rPr>
      </w:pPr>
      <w:r>
        <w:rPr>
          <w:rFonts w:ascii="Times New Roman" w:hAnsi="Times New Roman"/>
          <w:b w:val="false"/>
          <w:sz w:val="20"/>
        </w:rPr>
        <w:t>(j)</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Acquisition shall have been consummated, or substantially simultaneously with the initial funding of Loans on the Effective Date, shall be consummated, in all material respects in accordance with the Acquisition Agreement (without giving effect to any amendments, supplements, waivers or other modifications to or of the Acquisition Agreement that are materially adverse to the interests of the Lenders or the Joint Bookrunners in their capacities as such, except to the extent that the Joint Bookrunners have consented thereto).</w:t>
      </w:r>
    </w:p>
    <w:p>
      <w:pPr>
        <w:pStyle w:val="TextBody"/>
        <w:bidi w:val="0"/>
        <w:spacing w:before="200" w:after="0"/>
        <w:jc w:val="both"/>
        <w:rPr>
          <w:rFonts w:ascii="Times New Roman" w:hAnsi="Times New Roman"/>
          <w:b w:val="false"/>
          <w:sz w:val="20"/>
        </w:rPr>
      </w:pPr>
      <w:r>
        <w:rPr>
          <w:rFonts w:ascii="Times New Roman" w:hAnsi="Times New Roman"/>
          <w:b w:val="false"/>
          <w:sz w:val="20"/>
        </w:rPr>
        <w:t>(k)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Equity Contribution shall have been made, or substantially simultaneously with the initial funding of Loans on the Effective Date, shall be made and, after giving effect to the Transactions, the Sponsor shall control a majority of the outstanding voting Equity Interests of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Substantially simultaneously with the initial Borrowing under the Term Facility and the consummation of the Acquisition, the Effective Date Refinancing shall be consummated.</w:t>
      </w:r>
    </w:p>
    <w:p>
      <w:pPr>
        <w:pStyle w:val="TextBody"/>
        <w:bidi w:val="0"/>
        <w:spacing w:before="200" w:after="0"/>
        <w:jc w:val="both"/>
        <w:rPr>
          <w:rFonts w:ascii="Times New Roman" w:hAnsi="Times New Roman"/>
          <w:b w:val="false"/>
          <w:sz w:val="20"/>
        </w:rPr>
      </w:pPr>
      <w:r>
        <w:rPr>
          <w:rFonts w:ascii="Times New Roman" w:hAnsi="Times New Roman"/>
          <w:b w:val="false"/>
          <w:sz w:val="20"/>
        </w:rPr>
        <w:t>(m)</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have received a certificate from a chief financial officer of the Borrower certifying that the Borrower and its Subsidiaries on a consolidated basis after giving effect to the Transactions are Solvent.</w:t>
      </w:r>
    </w:p>
    <w:p>
      <w:pPr>
        <w:pStyle w:val="TextBody"/>
        <w:bidi w:val="0"/>
        <w:spacing w:before="200" w:after="0"/>
        <w:jc w:val="both"/>
        <w:rPr>
          <w:rFonts w:ascii="Times New Roman" w:hAnsi="Times New Roman"/>
          <w:b w:val="false"/>
          <w:sz w:val="20"/>
        </w:rPr>
      </w:pPr>
      <w:r>
        <w:rPr>
          <w:rFonts w:ascii="Times New Roman" w:hAnsi="Times New Roman"/>
          <w:b w:val="false"/>
          <w:sz w:val="20"/>
        </w:rPr>
        <w:t>(n)</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(i) The Administrative Agent and the Joint Bookrunners shall have received all documentation at least three Business Days prior to the Effective Date and other information about the Loan Parties that shall have been reasonably requested in writing at least 10 Business Days prior to the Effective Date and that the Administrative Agent or the Joint Bookrunners have reasonably determined is required by United States regulatory authorities under applicable “know your customer” and anti-money laundering rules and regulations, including without limitation Title III of the USA Patriot Act.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(ii) To the extent the Borrower qualifies as a “legal entity customer” under the Beneficial Ownership Regulation, the Borrower shall deliver to each Lender that so requests (which request is made through the Administrative Agent), a Beneficial Ownership Certification in relation to the Borrower;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Administrative Agent has provided the Borrower a list of each such Lender and its electronic delivery requirements at least five Business Days prior to the Effective Date (it being agreed that, upon the execution and delivery by such Lender of its signature page to this Agreement, the condition set forth in this clause shall be deemed to be satisfied with respect to such Lender).</w:t>
      </w:r>
    </w:p>
    <w:p>
      <w:pPr>
        <w:pStyle w:val="TextBody"/>
        <w:bidi w:val="0"/>
        <w:spacing w:before="200" w:after="0"/>
        <w:jc w:val="both"/>
        <w:rPr>
          <w:rFonts w:ascii="Times New Roman" w:hAnsi="Times New Roman"/>
          <w:b w:val="false"/>
          <w:sz w:val="20"/>
        </w:rPr>
      </w:pPr>
      <w:r>
        <w:rPr>
          <w:rFonts w:ascii="Times New Roman" w:hAnsi="Times New Roman"/>
          <w:b w:val="false"/>
          <w:sz w:val="20"/>
        </w:rPr>
        <w:t>(o)</w:t>
      </w:r>
    </w:p>
    <w:p>
      <w:pPr>
        <w:pStyle w:val="TextBody"/>
        <w:bidi w:val="0"/>
        <w:spacing w:before="200" w:after="283"/>
        <w:jc w:val="both"/>
        <w:rPr/>
      </w:pPr>
      <w:r>
        <w:rPr>
          <w:rFonts w:ascii="Times New Roman;serif" w:hAnsi="Times New Roman;serif"/>
          <w:b w:val="false"/>
          <w:sz w:val="20"/>
        </w:rPr>
        <w:t xml:space="preserve">The Specified Acquisition Agreement Representations shall be accurate in all material respects on and as of the Effective Date to the extent Holdings has (or an affiliate of Holdings has) the right to terminate its obligations under the Acquisition Agreement or decline to consummate the Acquisition (in each case, in accordance with the terms of the Acquisition Agreement);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representation and warranty that is qualified as to “materiality,” “Material Adverse Effect” or similar language shall be true and correct in all respects, as the case may be.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Without limiting the generality of the provisions of </w:t>
      </w:r>
      <w:r>
        <w:rPr>
          <w:rFonts w:ascii="Times New Roman;serif" w:hAnsi="Times New Roman;serif"/>
          <w:b w:val="false"/>
          <w:sz w:val="20"/>
          <w:u w:val="single"/>
        </w:rPr>
        <w:t>Article VIII</w:t>
      </w:r>
      <w:r>
        <w:rPr>
          <w:rFonts w:ascii="Times New Roman;serif" w:hAnsi="Times New Roman;serif"/>
          <w:b w:val="false"/>
          <w:sz w:val="20"/>
        </w:rPr>
        <w:t xml:space="preserve">, for purposes of determining compliance with the conditions specified in this </w:t>
      </w:r>
      <w:r>
        <w:rPr>
          <w:rFonts w:ascii="Times New Roman;serif" w:hAnsi="Times New Roman;serif"/>
          <w:b w:val="false"/>
          <w:sz w:val="20"/>
          <w:u w:val="single"/>
        </w:rPr>
        <w:t>Section 4.01</w:t>
      </w:r>
      <w:r>
        <w:rPr>
          <w:rFonts w:ascii="Times New Roman;serif" w:hAnsi="Times New Roman;serif"/>
          <w:b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4.02 </w:t>
      </w:r>
      <w:r>
        <w:rPr>
          <w:rFonts w:ascii="Times New Roman;serif" w:hAnsi="Times New Roman;serif"/>
          <w:b w:val="false"/>
          <w:sz w:val="20"/>
          <w:u w:val="single"/>
        </w:rPr>
        <w:t>Each Credit Event</w:t>
      </w:r>
      <w:r>
        <w:rPr>
          <w:rFonts w:ascii="Times New Roman;serif" w:hAnsi="Times New Roman;serif"/>
          <w:b w:val="false"/>
          <w:sz w:val="20"/>
        </w:rPr>
        <w:t>. The obligation of each Lender to make a Loan on the occasion of any Borrowing, and of each Issuing Bank to issue, amend, renew, increase or extend any Letter of Credit, in each case other than on the Effective Date or in connection with any Incremental Facility, Loan Modification Offer or Permitted Amendment, is subject to receipt of the request therefor in accordance herewith and to the satisfaction of the following conditions:</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The representations and warranties of each Loan Party set forth in the Loan Documents shall be true and correct in all material respects on and as of the date of such Borrowing or the date of issuance, amendment, renewal, increase or extension of such Letter of Credit, as the case may be (in each case, unless such date is the Effective Date);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any representation and warranty that is qualified as to “materiality,” “Material Adverse Effect” or similar language shall be true and correct in all respects on the date of such credit extension or on such earlier date, as the case may be.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At the time of and immediately after giving effect to such Borrowing or the issuance, amendment, renewal, increase or extension of such Letter of Credit, as the case may be (unless such Borrowing is on the Effective Date), no Default or Event of Default shall have occurred and be continuing or would result therefrom.</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To the extent this </w:t>
      </w:r>
      <w:r>
        <w:rPr>
          <w:rFonts w:ascii="Times New Roman;serif" w:hAnsi="Times New Roman;serif"/>
          <w:b w:val="false"/>
          <w:sz w:val="20"/>
          <w:u w:val="single"/>
        </w:rPr>
        <w:t>Section 4.02</w:t>
      </w:r>
      <w:r>
        <w:rPr>
          <w:rFonts w:ascii="Times New Roman" w:hAnsi="Times New Roman"/>
          <w:sz w:val="20"/>
        </w:rPr>
        <w:t xml:space="preserve"> </w:t>
      </w:r>
      <w:r>
        <w:rPr>
          <w:rFonts w:ascii="Times New Roman;serif" w:hAnsi="Times New Roman;serif"/>
          <w:b w:val="false"/>
          <w:sz w:val="20"/>
        </w:rPr>
        <w:t>is applicable, each Borrowing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 conversion or a continuation of a Borrowing shall not constitute a “Borrowing” for purposes of this Section) and each issuance, amendment, renewal, increase or extension of a Letter of Credit shall be deemed to constitute a representation and warranty by Holdings and the Borrower on the date thereof as to the matters specified in clauses (a) and (b) of this Section.</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ARTICLE V</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AFFIRMATIVE COVENANTS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Until the Termination Date shall have occurred, each of Holdings and the Borrower covenants and agrees with the Lenders that: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5.01 </w:t>
      </w:r>
      <w:r>
        <w:rPr>
          <w:rFonts w:ascii="Times New Roman;serif" w:hAnsi="Times New Roman;serif"/>
          <w:b w:val="false"/>
          <w:sz w:val="20"/>
          <w:u w:val="single"/>
        </w:rPr>
        <w:t>Financial Statements and Other Information</w:t>
      </w:r>
      <w:r>
        <w:rPr>
          <w:rFonts w:ascii="Times New Roman;serif" w:hAnsi="Times New Roman;serif"/>
          <w:b w:val="false"/>
          <w:sz w:val="20"/>
        </w:rPr>
        <w:t>. The Borrower will furnish to the Administrative Agent, on behalf of each Lender, the following:</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beginning with the fiscal year ending December 31, 2019 and thereafter, on or before the date on which such financial statements are required or permitted to be filed with the SEC (or, if such financial statements are not required to be filed with the SEC, on or before the date that is 120 days after the end of each such fiscal year of the Borrower (or, in the case of the fiscal year ended December 31, 2019, on or before the date that is 150 days after the end of such fiscal year)), an audited consolidated balance sheet and audited consolidated statements of operations and comprehensive income/loss, cash flows and changes in members’ equity of the Borrower as of the end of and for such year, and related notes thereto, setting forth in each case in comparative form the figures for the previous fiscal year (which comparative form may be based on pro forma financial information and/or financial information of the Target and its subsidiaries to the extent any previous fiscal year includes a period occurring prior to the Effective Date), all reported on by Deloitte LLP or other independent public accountants of recognized national standing (without a “going concern” or like qualification or exception and without any qualification or exception as to the scope of such audit (other than any exception or explanatory paragraph, but not a qualification, with respect to, or resulting from, (A) an upcoming maturity date of any Indebtedness, (B) the activities, operations, financial results, assets or liabilities of any Unrestricted Subsidiaries or (C) any potential inability to satisfy a financial maintenance covenant on a future date or in a future period)) to the effect that such consolidated financial statements present fairly in all material respects the financial position and results of operations and cash flows of the Borrower and its Subsidiaries as of the end of and for such year on a consolidated basis in accordance with GAAP consistently applied;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commencing with the financial statements for the fiscal quarter ending March 31, 2020, on or before the date on which such financial statements are required or permitted to be filed with the SEC with respect to each of the first three fiscal quarters of each fiscal year of the Borrower (or, if such financial statements are not required to be filed with the SEC, on or before the date that is 60 days after the end of each such fiscal quarter (or, in the case of financial statements for the fiscal quarters ending March 31, 2020, June 30, 2020 and September 30, 2020, respectively, on or before the date that is 75 days after the end of such fiscal quarter)), unaudited consolidated balance sheets and unaudited consolidated statements of operations, cash flows and changes in members’ equity of the Borrower as of the end of and for such fiscal quarter and (except in the case of cash flows) the then elapsed portion of the fiscal year and, commencing with the financial statements for the fiscal quarter ending March 31, 2021, setting forth in each case in comparative form the figures for the corresponding period or periods of (or, in the case of the balance sheet, as of the end of) the previous fiscal year (which comparative form may be based on pro forma financial information and/or financial information of the Target and its subsidiaries to the extent any previous period includes a period occurring prior to the Effective Date), all certified by a Financial Officer as presenting fairly in all material respects the financial position and results of operations and cash flows of the Borrower and the Subsidiaries as of the end of and for such fiscal quarter and (except in the case of cash flows) such portion of the fiscal year on a consolidated basis in accordance with GAAP consistently applied, subject to normal year-end audit adjustments and the absence of footnotes;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simultaneously with the delivery of each set of consolidated financial statements referred to in paragraphs (a) and (b) above, the related consolidating financial information reflecting adjustments necessary to eliminate the accounts of Unrestricted Subsidiaries (if any) from such consolidated financial statements;</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 later than five days after any delivery of financial statements under paragraph (a) or (b) above, a certificate of a Financial Officer (i) certifying as to whether a Default has occurred and, if a Default has occurred, specifying the details thereof and any action taken or proposed to be taken with respect thereto and (ii) setting forth (x) the First Lien Leverage Ratio as of the most recently ended Test Period, (y) unless the ECF Percentage is zero percent (0%), reasonably detailed calculations in the case of financial statements delivered under paragraph (a) above, beginning with the financial statements for the fiscal year of the Borrower ending December 31, 2021, of Excess Cash Flow for such fiscal year and (z) unless the Disposition/Debt Percentage in clause (a) of the definition thereof is 0%, in the case of financial statements delivered under paragraph (a) above, a reasonably detailed calculation of the Net Proceeds received during the applicable period by or on behalf of the Company or any Subsidiary in respect of any Asset Sale Prepayment Event;</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prior to an IPO, not later than 120 days (or 150 days for the fiscal year commencing January 1, 2020) after the commencement of each fiscal year of the Borrower, a detailed consolidated budget for the Borrower and its Subsidiaries for such fiscal year (in the form customarily prepared by the Borrower (or otherwise provided to the equity holders of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the Borrower or any Subsidiary (or, after an IPO, a Parent Entity or any IPO Entity) with the SEC or with any national securities exchange;</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promptly following any request therefor, information and documentation reasonably requested by the Administrative Agent or any Lender (through the Administrative Agent) for purposes of compliance with applicable “know your customer” and anti-money-laundering rules and regulations, including, without limitation, the PATRIOT Act and the Beneficial Ownership Regulation; and</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promptly following any request therefor, such other information regarding the operations, business affairs and financial condition of the Borrower or any Restricted Subsidiary, or compliance with the terms of any Loan Document, as the Administrative Agent on its own behalf or on behalf of any Lender may reasonably request in writing.</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The Borrower will hold and participate in an annual conference call for Lenders to discuss financial information delivered pursuant to clauses (a) of this </w:t>
      </w:r>
      <w:r>
        <w:rPr>
          <w:rFonts w:ascii="Times New Roman;serif" w:hAnsi="Times New Roman;serif"/>
          <w:b w:val="false"/>
          <w:sz w:val="20"/>
          <w:u w:val="single"/>
        </w:rPr>
        <w:t>Section 5.01</w:t>
      </w:r>
      <w:r>
        <w:rPr>
          <w:rFonts w:ascii="Times New Roman;serif" w:hAnsi="Times New Roman;serif"/>
          <w:b w:val="false"/>
          <w:sz w:val="20"/>
        </w:rPr>
        <w:t>. The Borrower will hold such conference call following the last day of each fiscal year of the Borrower and not later than ten Business Days from the time that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Borrower is required to deliver the financial information as set forth in clauses (a) of this </w:t>
      </w:r>
      <w:r>
        <w:rPr>
          <w:rFonts w:ascii="Times New Roman;serif" w:hAnsi="Times New Roman;serif"/>
          <w:b w:val="false"/>
          <w:sz w:val="20"/>
          <w:u w:val="single"/>
        </w:rPr>
        <w:t>Section 5.01</w:t>
      </w:r>
      <w:r>
        <w:rPr>
          <w:rFonts w:ascii="Times New Roman" w:hAnsi="Times New Roman"/>
          <w:sz w:val="20"/>
        </w:rPr>
        <w:t xml:space="preserve"> </w:t>
      </w:r>
      <w:r>
        <w:rPr>
          <w:rFonts w:ascii="Times New Roman;serif" w:hAnsi="Times New Roman;serif"/>
          <w:b w:val="false"/>
          <w:sz w:val="20"/>
        </w:rPr>
        <w:t>(or such later date as the Administrative Agent may agree in its reasonable discretion). Prior to each conference call, the Borrower shall notify the Administrative Agent of the time and date of such conference call. If the Borrower is holding a conference call open to the public to discuss the most recent annual financial performance, the Borrower will not be required to hold a second, separate call for the Lenders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the foregoing, the obligations in paragraphs (a) and (b) of this </w:t>
      </w:r>
      <w:r>
        <w:rPr>
          <w:rFonts w:ascii="Times New Roman;serif" w:hAnsi="Times New Roman;serif"/>
          <w:b w:val="false"/>
          <w:sz w:val="20"/>
          <w:u w:val="single"/>
        </w:rPr>
        <w:t>Section 5.01</w:t>
      </w:r>
      <w:r>
        <w:rPr>
          <w:rFonts w:ascii="Times New Roman" w:hAnsi="Times New Roman"/>
          <w:sz w:val="20"/>
        </w:rPr>
        <w:t xml:space="preserve"> </w:t>
      </w:r>
      <w:r>
        <w:rPr>
          <w:rFonts w:ascii="Times New Roman;serif" w:hAnsi="Times New Roman;serif"/>
          <w:b w:val="false"/>
          <w:sz w:val="20"/>
        </w:rPr>
        <w:t xml:space="preserve">may be satisfied with respect to financial information of the Borrower and its Subsidiaries by furnishing (A) the Form 10-K or 10-Q (or the equivalent), as applicable, of the Borrower (or a parent company thereof) filed with the SEC or with a similar regulatory authority in a foreign jurisdiction or (B) the applicable financial statements of the Borrower (or any direct or indirect parent of the Borrower);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Subsidiaries on a stand-alone basis, on the other hand, and to the extent such information is in lieu of information required to be provided under </w:t>
      </w:r>
      <w:r>
        <w:rPr>
          <w:rFonts w:ascii="Times New Roman;serif" w:hAnsi="Times New Roman;serif"/>
          <w:b w:val="false"/>
          <w:sz w:val="20"/>
          <w:u w:val="single"/>
        </w:rPr>
        <w:t>Section 5.01(a)</w:t>
      </w:r>
      <w:r>
        <w:rPr>
          <w:rFonts w:ascii="Times New Roman;serif" w:hAnsi="Times New Roman;serif"/>
          <w:b w:val="false"/>
          <w:sz w:val="20"/>
        </w:rPr>
        <w:t>, such materials are accompanied by a report and opinion of Deloitte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solely with respect to, or expressly resulting solely from, (i) an upcoming maturity date of any Indebtedness occurring within one year from the time such opinion is delivered or (ii) any potential inability to satisfy a financial maintenance covenant on a future date or in a future period).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Documents required to be delivered pursuant to </w:t>
      </w:r>
      <w:r>
        <w:rPr>
          <w:rFonts w:ascii="Times New Roman;serif" w:hAnsi="Times New Roman;serif"/>
          <w:b w:val="false"/>
          <w:sz w:val="20"/>
          <w:u w:val="single"/>
        </w:rPr>
        <w:t>Section 5.01(a)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(f)</w:t>
      </w:r>
      <w:r>
        <w:rPr>
          <w:rFonts w:ascii="Times New Roman" w:hAnsi="Times New Roman"/>
          <w:sz w:val="20"/>
        </w:rPr>
        <w:t xml:space="preserve"> </w:t>
      </w:r>
      <w:r>
        <w:rPr>
          <w:rFonts w:ascii="Times New Roman;serif" w:hAnsi="Times New Roman;serif"/>
          <w:b w:val="false"/>
          <w:sz w:val="20"/>
        </w:rPr>
        <w:t xml:space="preserve">(to the extent any such documents are included in materials otherwise filed with the SEC) 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IntraLinks/IntraAgency or another website, if any, to which each Lender and the Administrative Agent has access (whether a commercial, third-party website or whether sponsored by the Administrative Agent);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w:t>
      </w:r>
      <w:r>
        <w:rPr>
          <w:rFonts w:ascii="Times New Roman;serif" w:hAnsi="Times New Roman;serif"/>
          <w:b w:val="false"/>
          <w:sz w:val="20"/>
          <w:u w:val="single"/>
        </w:rPr>
        <w:t>i.e</w:t>
      </w:r>
      <w:r>
        <w:rPr>
          <w:rFonts w:ascii="Times New Roman;serif" w:hAnsi="Times New Roman;serif"/>
          <w:b w:val="false"/>
          <w:sz w:val="20"/>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pStyle w:val="TextBody"/>
        <w:bidi w:val="0"/>
        <w:spacing w:before="200" w:after="0"/>
        <w:jc w:val="both"/>
        <w:rPr>
          <w:rFonts w:ascii="Times New Roman" w:hAnsi="Times New Roman"/>
          <w:sz w:val="20"/>
        </w:rPr>
      </w:pPr>
      <w:r>
        <w:rPr>
          <w:rFonts w:ascii="Times New Roman;serif" w:hAnsi="Times New Roman;serif"/>
          <w:b w:val="false"/>
          <w:sz w:val="20"/>
        </w:rPr>
        <w:t>Each of Holdings and the Borrower hereby acknowledges that (a) the Administrative Agent, the Lead Arrangers and/or the Joint Bookrunners will make available to the Lenders materials and/or information provided by or on behalf of Holdings and the Borrower hereunder (collectively, “</w:t>
      </w:r>
      <w:r>
        <w:rPr>
          <w:rFonts w:ascii="Times New Roman;serif" w:hAnsi="Times New Roman;serif"/>
          <w:b w:val="false"/>
          <w:sz w:val="20"/>
          <w:u w:val="single"/>
        </w:rPr>
        <w:t>Company Materials</w:t>
      </w:r>
      <w:r>
        <w:rPr>
          <w:rFonts w:ascii="Times New Roman" w:hAnsi="Times New Roman"/>
          <w:sz w:val="20"/>
        </w:rPr>
        <w:t>”</w:t>
      </w:r>
      <w:r>
        <w:rPr>
          <w:rFonts w:ascii="Times New Roman;serif" w:hAnsi="Times New Roman;serif"/>
          <w:b w:val="false"/>
          <w:sz w:val="20"/>
        </w:rPr>
        <w:t>) by posting Company Materials on IntraLinks or another similar electronic system (the “</w:t>
      </w:r>
      <w:r>
        <w:rPr>
          <w:rFonts w:ascii="Times New Roman;serif" w:hAnsi="Times New Roman;serif"/>
          <w:b w:val="false"/>
          <w:sz w:val="20"/>
          <w:u w:val="single"/>
        </w:rPr>
        <w:t>Platform</w:t>
      </w:r>
      <w:r>
        <w:rPr>
          <w:rFonts w:ascii="Times New Roman" w:hAnsi="Times New Roman"/>
          <w:sz w:val="20"/>
        </w:rPr>
        <w:t>”</w:t>
      </w:r>
      <w:r>
        <w:rPr>
          <w:rFonts w:ascii="Times New Roman;serif" w:hAnsi="Times New Roman;serif"/>
          <w:b w:val="false"/>
          <w:sz w:val="20"/>
        </w:rPr>
        <w:t>) and (b) certain of the Lenders (each, a “</w:t>
      </w:r>
      <w:r>
        <w:rPr>
          <w:rFonts w:ascii="Times New Roman;serif" w:hAnsi="Times New Roman;serif"/>
          <w:b w:val="false"/>
          <w:sz w:val="20"/>
          <w:u w:val="single"/>
        </w:rPr>
        <w:t>Public Lender</w:t>
      </w:r>
      <w:r>
        <w:rPr>
          <w:rFonts w:ascii="Times New Roman" w:hAnsi="Times New Roman"/>
          <w:sz w:val="20"/>
        </w:rPr>
        <w:t>”</w:t>
      </w:r>
      <w:r>
        <w:rPr>
          <w:rFonts w:ascii="Times New Roman;serif" w:hAnsi="Times New Roman;serif"/>
          <w:b w:val="false"/>
          <w:sz w:val="20"/>
        </w:rPr>
        <w:t>) may have personnel who do not wish to receive material non-public information with respect to Holdings or its Affiliates, or the respective securities of any of the foregoing, and who may be engaged in investment and other market-related activities with respect to such Persons’ securities. Holdings and the Borrower hereby agree that they will, upon the Administrative Agent’s reasonable request, use commercially reasonable efforts to identify that portion of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Holdings and the Borrower shall be deemed to have authorized the Administrative Agent, the Lead Arrangers, the Joint Bookrunners and the Lenders to treat such Company Materials as not containing any material non-public information (although it may be sensitive and proprietary) with respect to Holdings, the Borrower or their respective securities for purposes of United States federal and state securities laws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xml:space="preserve">, that to the extent such Company Materials constitute Information, they shall be treated as set forth in </w:t>
      </w:r>
      <w:r>
        <w:rPr>
          <w:rFonts w:ascii="Times New Roman;serif" w:hAnsi="Times New Roman;serif"/>
          <w:b w:val="false"/>
          <w:sz w:val="20"/>
          <w:u w:val="single"/>
        </w:rPr>
        <w:t>Section 9.12</w:t>
      </w:r>
      <w:r>
        <w:rPr>
          <w:rFonts w:ascii="Times New Roman;serif" w:hAnsi="Times New Roman;serif"/>
          <w:b w:val="false"/>
          <w:sz w:val="20"/>
        </w:rPr>
        <w:t>); (iii) all Company Materials marked “PUBLIC” are permitted to be made available through a portion of the Platform designated “Public Side Information”; and (iv) the Administrative Agent, the Lead Arrangers and the Joint Bookrunners shall be entitled to treat any Company Materials that are not marked “PUBLIC” as being suitable only for posting on a portion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Platform not designated “Public Side Information.” Other than as set forth in the immediately preceding sentence, the Borrower shall be under no obligation to mark any Company Materials “PUBLIC”;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any financial statements delivered pursuant to </w:t>
      </w:r>
      <w:r>
        <w:rPr>
          <w:rFonts w:ascii="Times New Roman;serif" w:hAnsi="Times New Roman;serif"/>
          <w:b w:val="false"/>
          <w:sz w:val="20"/>
          <w:u w:val="single"/>
        </w:rPr>
        <w:t>Section 5.01(a)</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(b)</w:t>
      </w:r>
      <w:r>
        <w:rPr>
          <w:rFonts w:ascii="Times New Roman" w:hAnsi="Times New Roman"/>
          <w:sz w:val="20"/>
        </w:rPr>
        <w:t xml:space="preserve"> </w:t>
      </w:r>
      <w:r>
        <w:rPr>
          <w:rFonts w:ascii="Times New Roman;serif" w:hAnsi="Times New Roman;serif"/>
          <w:b w:val="false"/>
          <w:sz w:val="20"/>
        </w:rPr>
        <w:t>will be deemed “PUBLIC.”</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5.02 </w:t>
      </w:r>
      <w:r>
        <w:rPr>
          <w:rFonts w:ascii="Times New Roman;serif" w:hAnsi="Times New Roman;serif"/>
          <w:b w:val="false"/>
          <w:sz w:val="20"/>
          <w:u w:val="single"/>
        </w:rPr>
        <w:t>Notices of Material Events</w:t>
      </w:r>
      <w:r>
        <w:rPr>
          <w:rFonts w:ascii="Times New Roman;serif" w:hAnsi="Times New Roman;serif"/>
          <w:b w:val="false"/>
          <w:sz w:val="20"/>
        </w:rPr>
        <w:t>. Promptly after any Responsible Officer of Holdings or the Borrower obtains actual knowledge thereof, Holdings or the Borrower will furnish to the Administrative Agent (for distribution to each Lender through the Administrative Agent) written notice of the following:</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occurrence of any Default; and</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filing or commencement of any action, suit or proceeding by or before any arbitrator or Governmental Authority against or, to the knowledge of a Financial Officer or another senior executive officer of Holdings or the Borrower, affecting Holdings, the Borrower or any of its Subsidiaries or the receipt of a written notice of an Environmental Liability or the occurrence of an ERISA Event, in each case, that could reasonably be expected to result in a Material Adverse Effect.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5.03 </w:t>
      </w:r>
      <w:r>
        <w:rPr>
          <w:rFonts w:ascii="Times New Roman;serif" w:hAnsi="Times New Roman;serif"/>
          <w:b w:val="false"/>
          <w:sz w:val="20"/>
          <w:u w:val="single"/>
        </w:rPr>
        <w:t>Information Regarding Collateral</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or the Borrower will furnish to the Administrative Agent promptly (and in any event within 60 days or such longer period as reasonably agreed to by the Collateral Agent) written notice of any change (i) in any Loan Party’s legal name (as set forth in its certificate of organization or like document) or (ii) in the jurisdiction of incorporation or organization of any Loan Party or in the form of its organization.</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Not later than five days after delivery of financial statements pursuant to </w:t>
      </w:r>
      <w:r>
        <w:rPr>
          <w:rFonts w:ascii="Times New Roman;serif" w:hAnsi="Times New Roman;serif"/>
          <w:b w:val="false"/>
          <w:sz w:val="20"/>
          <w:u w:val="single"/>
        </w:rPr>
        <w:t>Section 5.01(a)</w:t>
      </w:r>
      <w:r>
        <w:rPr>
          <w:rFonts w:ascii="Times New Roman;serif" w:hAnsi="Times New Roman;serif"/>
          <w:b w:val="false"/>
          <w:sz w:val="20"/>
        </w:rPr>
        <w:t xml:space="preserve">, Holdings or the Borrower shall deliver to the Administrative Agent a certificate executed by a Responsible Officer of Holdings or the Borrower (i) setting forth the information required pursuant to Schedules I through IV of the Collateral Agreement or confirming that there has been no change in such information since the Effective Date or the date of the most recent certificate delivered pursuant to this Section, (ii) identifying any wholly-owned Subsidiary that has become, or ceased to be, a Material Subsidiary during the most recently ended fiscal quarter and (iii) certifying that all notices required to be given prior to the date of such certificate by this </w:t>
      </w:r>
      <w:r>
        <w:rPr>
          <w:rFonts w:ascii="Times New Roman;serif" w:hAnsi="Times New Roman;serif"/>
          <w:b w:val="false"/>
          <w:sz w:val="20"/>
          <w:u w:val="single"/>
        </w:rPr>
        <w:t>Section 5.03</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5.12</w:t>
      </w:r>
      <w:r>
        <w:rPr/>
        <w:t xml:space="preserve"> </w:t>
      </w:r>
      <w:r>
        <w:rPr>
          <w:rFonts w:ascii="Times New Roman;serif" w:hAnsi="Times New Roman;serif"/>
          <w:b w:val="false"/>
          <w:sz w:val="20"/>
        </w:rPr>
        <w:t>have been given.</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5.04 </w:t>
      </w:r>
      <w:r>
        <w:rPr>
          <w:rFonts w:ascii="Times New Roman;serif" w:hAnsi="Times New Roman;serif"/>
          <w:b w:val="false"/>
          <w:sz w:val="20"/>
          <w:u w:val="single"/>
        </w:rPr>
        <w:t>Existence; Conduct of Business</w:t>
      </w:r>
      <w:r>
        <w:rPr>
          <w:rFonts w:ascii="Times New Roman;serif" w:hAnsi="Times New Roman;serif"/>
          <w:b w:val="false"/>
          <w:sz w:val="20"/>
        </w:rPr>
        <w:t xml:space="preserve">. Holdings and the Borrower will, and will cause each Restricted Subsidiary to, do or cause to be done all things necessary to obtain, preserve, renew and keep in full force and effect its legal existence and the rights, licenses, permits, privileges, franchises and Intellectual Property material to the conduct of its business, in each case (other than the preservation of the existence of Holdings and the Borrower), except to the extent that the failure to do so could not reasonably be expected to have a Material Adverse Effect,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the foregoing shall not prohibit any merger, consolidation, liquidation or dissolution permitted under </w:t>
      </w:r>
      <w:r>
        <w:rPr>
          <w:rFonts w:ascii="Times New Roman;serif" w:hAnsi="Times New Roman;serif"/>
          <w:b w:val="false"/>
          <w:sz w:val="20"/>
          <w:u w:val="single"/>
        </w:rPr>
        <w:t>Section 6.03</w:t>
      </w:r>
      <w:r>
        <w:rPr>
          <w:rFonts w:ascii="Times New Roman" w:hAnsi="Times New Roman"/>
          <w:sz w:val="20"/>
        </w:rPr>
        <w:t xml:space="preserve"> </w:t>
      </w:r>
      <w:r>
        <w:rPr>
          <w:rFonts w:ascii="Times New Roman;serif" w:hAnsi="Times New Roman;serif"/>
          <w:b w:val="false"/>
          <w:sz w:val="20"/>
        </w:rPr>
        <w:t xml:space="preserve">or any Disposition permitted by </w:t>
      </w:r>
      <w:r>
        <w:rPr>
          <w:rFonts w:ascii="Times New Roman;serif" w:hAnsi="Times New Roman;serif"/>
          <w:b w:val="false"/>
          <w:sz w:val="20"/>
          <w:u w:val="single"/>
        </w:rPr>
        <w:t>Section 6.05</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5.05 </w:t>
      </w:r>
      <w:r>
        <w:rPr>
          <w:rFonts w:ascii="Times New Roman;serif" w:hAnsi="Times New Roman;serif"/>
          <w:b w:val="false"/>
          <w:sz w:val="20"/>
          <w:u w:val="single"/>
        </w:rPr>
        <w:t>Payment of Taxes, Etc.</w:t>
      </w:r>
      <w:r>
        <w:rPr>
          <w:rFonts w:ascii="Times New Roman" w:hAnsi="Times New Roman"/>
          <w:sz w:val="20"/>
        </w:rPr>
        <w:t xml:space="preserve"> </w:t>
      </w:r>
      <w:r>
        <w:rPr>
          <w:rFonts w:ascii="Times New Roman;serif" w:hAnsi="Times New Roman;serif"/>
          <w:b w:val="false"/>
          <w:sz w:val="20"/>
        </w:rPr>
        <w:t>Holdings and the Borrower will, and will cause each Restricted Subsidiary to, pay its obligations in respect of Taxes before the same shall become delinquent or in default, except where the failure to make payment could not reasonably be expected, individually or in the aggregate, to result in a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5.06 </w:t>
      </w:r>
      <w:r>
        <w:rPr>
          <w:rFonts w:ascii="Times New Roman;serif" w:hAnsi="Times New Roman;serif"/>
          <w:b w:val="false"/>
          <w:sz w:val="20"/>
          <w:u w:val="single"/>
        </w:rPr>
        <w:t>Maintenance of Properties</w:t>
      </w:r>
      <w:r>
        <w:rPr>
          <w:rFonts w:ascii="Times New Roman;serif" w:hAnsi="Times New Roman;serif"/>
          <w:b w:val="false"/>
          <w:sz w:val="20"/>
        </w:rPr>
        <w:t>. Holdings and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5.07 </w:t>
      </w:r>
      <w:r>
        <w:rPr>
          <w:rFonts w:ascii="Times New Roman;serif" w:hAnsi="Times New Roman;serif"/>
          <w:b w:val="false"/>
          <w:sz w:val="20"/>
          <w:u w:val="single"/>
        </w:rPr>
        <w:t>Insurance</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and the Borrower will, and will cause each Restricted Subsidiary to, maintain, with insurance companies that Holdings and the Borrower believe (in the good faith judgment of the management of Holdings and the Borrower) are financially sound and responsible at the time the relevant coverage is placed or renewed, insurance in at least such amounts (after giving effect to any self-insurance which Holdings and the Borrower believe (in the good faith judgment of management of Holdings and the Borrower) is reasonable and prudent in light of the size and nature of its business) and against at least such risks (and with such risk retentions) as Holdings and the Borrower believe (in the good faith judgment of the management of Holdings and the Borrower) are reasonable and prudent in light of the size and nature of its business; and will furnish to the Lenders, upon written request from the Administrative Agent, information presented in reasonable detail as to the insurance so carried. Not later than 60 days after the Effective Date (or such later date as the Collateral Agent may agree in its reasonable discretion), each such policy of insurance maintained by a Loan Party shall (i) name the Collateral Agent, on behalf of the Secured Parties, as an additional insured thereunder as its interests may appear and (ii) in the case of each casualty insurance policy, contain a lender’s loss payable/mortgagee clause or endorsement that names Collateral Agent, on behalf of the Secured Parties as the lender’s loss payee/mortgagee thereunder.</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If any improved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(and, upon reasonable request of a Lender, the Administrative Agent shall provide such documentation to such Lender) evidence of such compliance, which evidence complies with applicable Flood Insurance Laws and rules and regulations promulgated pursuant thereto.</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5.08 </w:t>
      </w:r>
      <w:r>
        <w:rPr>
          <w:rFonts w:ascii="Times New Roman;serif" w:hAnsi="Times New Roman;serif"/>
          <w:b w:val="false"/>
          <w:sz w:val="20"/>
          <w:u w:val="single"/>
        </w:rPr>
        <w:t>Books and Records; Inspection and Audit Rights</w:t>
      </w:r>
      <w:r>
        <w:rPr>
          <w:rFonts w:ascii="Times New Roman;serif" w:hAnsi="Times New Roman;serif"/>
          <w:b w:val="false"/>
          <w:sz w:val="20"/>
        </w:rPr>
        <w:t xml:space="preserve">. Holdings and 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Holdings and the Borrower will, and will cause the Restricted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excluding any such visits and inspections during the continuation of an Event of Default, only the Administrative Agent on behalf of the Lenders may exercise visitation and inspection rights of the Administrative Agent and the Lenders under this </w:t>
      </w:r>
      <w:r>
        <w:rPr>
          <w:rFonts w:ascii="Times New Roman;serif" w:hAnsi="Times New Roman;serif"/>
          <w:b w:val="false"/>
          <w:sz w:val="20"/>
          <w:u w:val="single"/>
        </w:rPr>
        <w:t>Section 5.08</w:t>
      </w:r>
      <w:r>
        <w:rPr>
          <w:rFonts w:ascii="Times New Roman" w:hAnsi="Times New Roman"/>
          <w:sz w:val="20"/>
        </w:rPr>
        <w:t xml:space="preserve"> </w:t>
      </w:r>
      <w:r>
        <w:rPr>
          <w:rFonts w:ascii="Times New Roman;serif" w:hAnsi="Times New Roman;serif"/>
          <w:b w:val="false"/>
          <w:sz w:val="20"/>
        </w:rPr>
        <w:t xml:space="preserve">and the Administrative Agent shall not exercise such rights more often than one time during any calendar year absent the existence of an Event of Default, which visitation and inspection shall be at the reasonable expense of the Borrower;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 w:hAnsi="Times New Roman"/>
          <w:sz w:val="20"/>
        </w:rPr>
        <w:t xml:space="preserve"> </w:t>
      </w:r>
      <w:r>
        <w:rPr>
          <w:rFonts w:ascii="Times New Roman;serif" w:hAnsi="Times New Roman;serif"/>
          <w:b w:val="false"/>
          <w:sz w:val="20"/>
        </w:rPr>
        <w:t>that (a)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(b) the Administrative Agent and the Lenders shall give Holdings and the Borrower the opportunity to participate in any discussions with Holdings’ or the Borrower’s independent public accountants.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5.09 </w:t>
      </w:r>
      <w:r>
        <w:rPr>
          <w:rFonts w:ascii="Times New Roman;serif" w:hAnsi="Times New Roman;serif"/>
          <w:b w:val="false"/>
          <w:sz w:val="20"/>
          <w:u w:val="single"/>
        </w:rPr>
        <w:t>Compliance with Laws</w:t>
      </w:r>
      <w:r>
        <w:rPr>
          <w:rFonts w:ascii="Times New Roman;serif" w:hAnsi="Times New Roman;serif"/>
          <w:b w:val="false"/>
          <w:sz w:val="20"/>
        </w:rPr>
        <w:t>. Holdings and the Borrower will, and will cause each Restricted Subsidiary to, comply with its Organizational Documents and all Requirements of Law (including ERISA, Environmental Laws, USA Patriot Act, OFAC and FCPA) with respect to it or its property, except where the failure to do so, individually or in the aggregate, could not reasonably be expected to result in a Material Adverse Effect.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5.10 </w:t>
      </w:r>
      <w:r>
        <w:rPr>
          <w:rFonts w:ascii="Times New Roman;serif" w:hAnsi="Times New Roman;serif"/>
          <w:b w:val="false"/>
          <w:sz w:val="20"/>
          <w:u w:val="single"/>
        </w:rPr>
        <w:t>Use of Proceeds and Letters of Credit</w:t>
      </w:r>
      <w:r>
        <w:rPr>
          <w:rFonts w:ascii="Times New Roman;serif" w:hAnsi="Times New Roman;serif"/>
          <w:b w:val="false"/>
          <w:sz w:val="20"/>
        </w:rPr>
        <w:t>. The Borrower will use the proceeds of the Term Loans and any Revolving Loans drawn on the Effective Date to directly or indirectly finance a portion of the Transactions and to pay Transaction Costs (and, in the case of Revolving Loans, no more than $15,000,000 may be used on the Effective Date to fund the Transactions and/or Transaction Costs) and for working capital purposes. The Borrower and its subsidiaries will use the proceeds of (i) the Initial Term Loans funded on the Effective Date, Revolving Loans drawn after the Effective Date and Letters of Credit for general corporate purposes (including Permitted Acquisitions, Restricted Payments and any other purpose not prohibited by this Agreement), (ii) the First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Additional Term Loans funded on the Amendment No. 1 Effective Date to repay the Indebtedness outstanding under the Second Lien Credit Agreement as of the Amendment No. 1 Effective Date and to pay any fees and expenses incurred in connection therewith and (iii) the Term B-1 Loans funded on the Amendment No. 1 Effective Date to repay the Initial Term Loans outstanding as of the Amendment No. 1 Effective Date and to pay any fees and expenses incurred in connection therewith. The proceeds of any Credit Agreement Refinancing Indebtedness will be applied among the Loans and any Incremental Term Loans in accordance with the terms of this Agreement. The proceeds of the Incremental Term Loans will be used for working capital and general corporate purposes and any other purpose not prohibited by this Agreement (including Permitted Acquisitions and Restricted Payments).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5.11 </w:t>
      </w:r>
      <w:r>
        <w:rPr>
          <w:rFonts w:ascii="Times New Roman;serif" w:hAnsi="Times New Roman;serif"/>
          <w:b w:val="false"/>
          <w:sz w:val="20"/>
          <w:u w:val="single"/>
        </w:rPr>
        <w:t>Additional Subsidiaries</w:t>
      </w:r>
      <w:r>
        <w:rPr>
          <w:rFonts w:ascii="Times New Roman;serif" w:hAnsi="Times New Roman;serif"/>
          <w:b w:val="false"/>
          <w:sz w:val="20"/>
        </w:rPr>
        <w:t>. If any additional Restricted Subsidiary is formed or acquired after the Effective Date (including, without limitation, upon the formation of any Restricted Subsidiary that is a Division Successor), Holdings or the Borrower will, within 90 days after such newly formed or acquired Restricted Subsidiary is formed or acquired (unless such Restricted Subsidiary is an Excluded Subsidiary), notify the Collateral Agent thereof, and will and will cause such Restricted Subsidiary and the other Loan Parties to take all actions (if any) required to satisfy the Collateral and Guarantee Requirement with respect to such Restricted Subsidiary and with respect to any Equity Interest in or Indebtedness of such Restricted Subsidiary owned by or on behalf of any Loan Party within 90 days after such notice (or such longer period as the Collateral Agent shall reasonably agree).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5.12 </w:t>
      </w:r>
      <w:r>
        <w:rPr>
          <w:rFonts w:ascii="Times New Roman;serif" w:hAnsi="Times New Roman;serif"/>
          <w:b w:val="false"/>
          <w:sz w:val="20"/>
          <w:u w:val="single"/>
        </w:rPr>
        <w:t>Further Assurances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Collateral Agent or the Required Lenders may reasonably request, to cause the Collateral and Guarantee Requirement to be and remain satisfied, all at the expense of the Loan Parties.</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If, after the Effective Date, any material assets (including any Material Real Property) with a Fair Market Value in excess of $20,000,000, are acquired by Holdings, the Borrower or any other Loan Party or are held by any Subsidiary on or after the time it becomes a Loan Party (including, without limitation, any acquisition pursuant to a Division) pursuant to </w:t>
      </w:r>
      <w:r>
        <w:rPr>
          <w:rFonts w:ascii="Times New Roman;serif" w:hAnsi="Times New Roman;serif"/>
          <w:b w:val="false"/>
          <w:sz w:val="20"/>
          <w:u w:val="single"/>
        </w:rPr>
        <w:t>Section 5.11</w:t>
      </w:r>
      <w:r>
        <w:rPr/>
        <w:t xml:space="preserve"> </w:t>
      </w:r>
      <w:r>
        <w:rPr>
          <w:rFonts w:ascii="Times New Roman;serif" w:hAnsi="Times New Roman;serif"/>
          <w:b w:val="false"/>
          <w:sz w:val="20"/>
        </w:rPr>
        <w:t>(other than assets constituting Collateral under a Security Document that become subject to the Lien created by such Security Document upon acquisition thereof or constituting Excluded Assets), the Borrower will notify the Collateral Agent thereof, and, if such assets are not already subject to a Lien granted under a Security Document and if requested by the Collateral Agent, the Borrower will cause such assets to be subjected to a Lien securing the Secured Obligations and will take and cause the other Loan Parties to take, such actions as shall be necessary and reasonably requested by the Collateral Agent and consistent with the Collateral and Guarantee Requirement to grant and perfect such Liens, including actions described in paragraph (a) of this Section, all at the expense of the Loan Parties and subject to last paragraph of the definition of the term “Collateral and Guarantee Requirement.”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5.13 </w:t>
      </w:r>
      <w:r>
        <w:rPr>
          <w:rFonts w:ascii="Times New Roman;serif" w:hAnsi="Times New Roman;serif"/>
          <w:b w:val="false"/>
          <w:sz w:val="20"/>
          <w:u w:val="single"/>
        </w:rPr>
        <w:t>Ratings</w:t>
      </w:r>
      <w:r>
        <w:rPr>
          <w:rFonts w:ascii="Times New Roman;serif" w:hAnsi="Times New Roman;serif"/>
          <w:b w:val="false"/>
          <w:sz w:val="20"/>
        </w:rPr>
        <w:t>. The Borrower will use commercially reasonable efforts to cause (a) the Borrower to continuously have a public corporate credit rating from at least two Rating Agencies (but not to maintain a specific rating) and (b) the term loan facilities made available under this Agreement to be continuously publicly rated by at least two Rating Agencies (but not to maintain a specific rating).</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5.14 </w:t>
      </w:r>
      <w:r>
        <w:rPr>
          <w:rFonts w:ascii="Times New Roman;serif" w:hAnsi="Times New Roman;serif"/>
          <w:b w:val="false"/>
          <w:sz w:val="20"/>
          <w:u w:val="single"/>
        </w:rPr>
        <w:t>Certain Post-Closing Obligations</w:t>
      </w:r>
      <w:r>
        <w:rPr>
          <w:rFonts w:ascii="Times New Roman;serif" w:hAnsi="Times New Roman;serif"/>
          <w:b w:val="false"/>
          <w:sz w:val="20"/>
        </w:rPr>
        <w:t xml:space="preserve">. As promptly as practicable, and in any event within the time periods after the Effective Date specified in </w:t>
      </w:r>
      <w:r>
        <w:rPr>
          <w:rFonts w:ascii="Times New Roman;serif" w:hAnsi="Times New Roman;serif"/>
          <w:b w:val="false"/>
          <w:sz w:val="20"/>
          <w:u w:val="single"/>
        </w:rPr>
        <w:t>Schedule 5.14</w:t>
      </w:r>
      <w:r>
        <w:rPr>
          <w:rFonts w:ascii="Times New Roman" w:hAnsi="Times New Roman"/>
          <w:sz w:val="20"/>
        </w:rPr>
        <w:t xml:space="preserve"> </w:t>
      </w:r>
      <w:r>
        <w:rPr>
          <w:rFonts w:ascii="Times New Roman;serif" w:hAnsi="Times New Roman;serif"/>
          <w:b w:val="false"/>
          <w:sz w:val="20"/>
        </w:rPr>
        <w:t xml:space="preserve">unless extended by the Collateral Agent in its reasonable discretion, including to reasonably accommodate circumstances unforeseen on the Effective Date, Holdings, the Borrower and each other Loan Party shall deliver the documents or take the actions specified on </w:t>
      </w:r>
      <w:r>
        <w:rPr>
          <w:rFonts w:ascii="Times New Roman;serif" w:hAnsi="Times New Roman;serif"/>
          <w:b w:val="false"/>
          <w:sz w:val="20"/>
          <w:u w:val="single"/>
        </w:rPr>
        <w:t>Schedule 5.14</w:t>
      </w:r>
      <w:r>
        <w:rPr>
          <w:rFonts w:ascii="Times New Roman;serif" w:hAnsi="Times New Roman;serif"/>
          <w:b w:val="false"/>
          <w:sz w:val="20"/>
        </w:rPr>
        <w:t>, in each case except to the extent otherwise agreed by the Collateral Agent pursuant to its authority as set forth in the definition of the term “Collateral and Guarantee Requirement”.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5.15 </w:t>
      </w:r>
      <w:r>
        <w:rPr>
          <w:rFonts w:ascii="Times New Roman;serif" w:hAnsi="Times New Roman;serif"/>
          <w:b w:val="false"/>
          <w:sz w:val="20"/>
          <w:u w:val="single"/>
        </w:rPr>
        <w:t>Designation of Subsidiaries</w:t>
      </w:r>
      <w:r>
        <w:rPr>
          <w:rFonts w:ascii="Times New Roman;serif" w:hAnsi="Times New Roman;serif"/>
          <w:b w:val="false"/>
          <w:sz w:val="20"/>
        </w:rPr>
        <w:t xml:space="preserve">. The Borrower or Holdings may at any time after the Effective Date designate any Restricted Subsidiary of the Borrower as an Unrestricted Subsidiary or any Unrestricted Subsidiary as a Restricted Subsidiary;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(i) immediately before and after such designation on a Pro Forma Basis as of the end of the most recent Test Period, no Event of Default under </w:t>
      </w:r>
      <w:r>
        <w:rPr>
          <w:rFonts w:ascii="Times New Roman;serif" w:hAnsi="Times New Roman;serif"/>
          <w:b w:val="false"/>
          <w:sz w:val="20"/>
          <w:u w:val="single"/>
        </w:rPr>
        <w:t>clauses (a)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 w:hAnsi="Times New Roman"/>
          <w:sz w:val="20"/>
        </w:rPr>
        <w:t xml:space="preserve"> </w:t>
      </w:r>
      <w:r>
        <w:rPr>
          <w:rFonts w:ascii="Times New Roman;serif" w:hAnsi="Times New Roman;serif"/>
          <w:b w:val="false"/>
          <w:sz w:val="20"/>
        </w:rPr>
        <w:t xml:space="preserve">of </w:t>
      </w:r>
      <w:r>
        <w:rPr>
          <w:rFonts w:ascii="Times New Roman;serif" w:hAnsi="Times New Roman;serif"/>
          <w:b w:val="false"/>
          <w:sz w:val="20"/>
          <w:u w:val="single"/>
        </w:rPr>
        <w:t>Section 7.01</w:t>
      </w:r>
      <w:r>
        <w:rPr>
          <w:rFonts w:ascii="Times New Roman" w:hAnsi="Times New Roman"/>
          <w:sz w:val="20"/>
        </w:rPr>
        <w:t xml:space="preserve"> </w:t>
      </w:r>
      <w:r>
        <w:rPr>
          <w:rFonts w:ascii="Times New Roman;serif" w:hAnsi="Times New Roman;serif"/>
          <w:b w:val="false"/>
          <w:sz w:val="20"/>
        </w:rPr>
        <w:t>shall have occurred and be continuing and (ii) no Subsidiary may be designated as an Unrestricted Subsidiary or continue as an Unrestricted Subsidiary if it is a “Restricted Subsidiary” for purposes of the Second Lien Credit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Agreement. The designation of any Subsidiary as an Unrestricted Subsidiary after the Effective Date shall constitute an Investment by the Borrower therein at the date of designation in an amount equal to the Fair Market Value of Holdings’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or the applicable Subsidiary in Unrestricted Subsidiaries pursuant to the preceding sentence in an amount equal to the Fair Market Value at the date of such designation of the Borrower’s or its Subsidiary’s (as applicable) Investment in such Subsidiary.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5.16 </w:t>
      </w:r>
      <w:r>
        <w:rPr>
          <w:rFonts w:ascii="Times New Roman;serif" w:hAnsi="Times New Roman;serif"/>
          <w:b w:val="false"/>
          <w:sz w:val="20"/>
          <w:u w:val="single"/>
        </w:rPr>
        <w:t>Change in Business</w:t>
      </w:r>
      <w:r>
        <w:rPr>
          <w:rFonts w:ascii="Times New Roman;serif" w:hAnsi="Times New Roman;serif"/>
          <w:b w:val="false"/>
          <w:sz w:val="20"/>
        </w:rPr>
        <w:t>. Holdings, the Borrower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complementary, reasonably related or ancillary to any of the foregoing.</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5.17 </w:t>
      </w:r>
      <w:r>
        <w:rPr>
          <w:rFonts w:ascii="Times New Roman;serif" w:hAnsi="Times New Roman;serif"/>
          <w:b w:val="false"/>
          <w:sz w:val="20"/>
          <w:u w:val="single"/>
        </w:rPr>
        <w:t>Changes in Fiscal Periods</w:t>
      </w:r>
      <w:r>
        <w:rPr>
          <w:rFonts w:ascii="Times New Roman;serif" w:hAnsi="Times New Roman;serif"/>
          <w:b w:val="false"/>
          <w:sz w:val="20"/>
        </w:rPr>
        <w:t xml:space="preserve">. The Borrower shall not make any change in its fiscal year;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 (which adjustments may include, among other things, adjustments to financial reporting requirements to account for such changes, including without limitation, the impact on year over year comparison reporting and stub period reporting obligations.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ARTICLE VI</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NEGATIVE COVENANTS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Until the Termination Date shall have occurred, each of Holdings and the Borrower covenants and agrees with the Lenders that: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6.01 </w:t>
      </w:r>
      <w:r>
        <w:rPr>
          <w:rFonts w:ascii="Times New Roman;serif" w:hAnsi="Times New Roman;serif"/>
          <w:b w:val="false"/>
          <w:sz w:val="20"/>
          <w:u w:val="single"/>
        </w:rPr>
        <w:t>Indebtedness; Certain Equity Securities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and the Borrower will not, and will not permit any Restricted Subsidiary to, create, incur, assume or permit to exist any Indebtedness, except:</w:t>
      </w:r>
    </w:p>
    <w:p>
      <w:pPr>
        <w:pStyle w:val="TextBody"/>
        <w:bidi w:val="0"/>
        <w:spacing w:before="200" w:after="0"/>
        <w:jc w:val="both"/>
        <w:rPr>
          <w:rFonts w:ascii="Times New Roman" w:hAnsi="Times New Roman"/>
          <w:b w:val="false"/>
          <w:sz w:val="22"/>
        </w:rPr>
      </w:pPr>
      <w:r>
        <w:rPr>
          <w:rFonts w:ascii="Times New Roman" w:hAnsi="Times New Roman"/>
          <w:b w:val="false"/>
          <w:sz w:val="22"/>
        </w:rPr>
        <w:t>(i)</w:t>
      </w:r>
    </w:p>
    <w:p>
      <w:pPr>
        <w:pStyle w:val="TextBody"/>
        <w:bidi w:val="0"/>
        <w:spacing w:before="200" w:after="0"/>
        <w:jc w:val="both"/>
        <w:rPr/>
      </w:pPr>
      <w:r>
        <w:rPr>
          <w:rFonts w:ascii="Times New Roman;serif" w:hAnsi="Times New Roman;serif"/>
          <w:b w:val="false"/>
          <w:sz w:val="20"/>
        </w:rPr>
        <w:t xml:space="preserve">Indebtedness of Holdings, the Borrower and the Restricted Subsidiaries under the Loan Documents (including any Indebtedness incurred pursuant to Section 2.20, </w:t>
      </w:r>
      <w:r>
        <w:rPr>
          <w:rFonts w:ascii="Times New Roman;serif" w:hAnsi="Times New Roman;serif"/>
          <w:b w:val="false"/>
          <w:sz w:val="20"/>
          <w:u w:val="single"/>
        </w:rPr>
        <w:t>2.21</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2.24</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(ii)</w:t>
      </w:r>
    </w:p>
    <w:p>
      <w:pPr>
        <w:pStyle w:val="TextBody"/>
        <w:bidi w:val="0"/>
        <w:spacing w:before="200" w:after="0"/>
        <w:jc w:val="both"/>
        <w:rPr/>
      </w:pPr>
      <w:r>
        <w:rPr>
          <w:rFonts w:ascii="Times New Roman;serif" w:hAnsi="Times New Roman;serif"/>
          <w:b w:val="false"/>
          <w:sz w:val="20"/>
        </w:rPr>
        <w:t xml:space="preserve">Indebtedness (A) outstanding on the date hereof and listed on </w:t>
      </w:r>
      <w:r>
        <w:rPr>
          <w:rFonts w:ascii="Times New Roman;serif" w:hAnsi="Times New Roman;serif"/>
          <w:b w:val="false"/>
          <w:sz w:val="20"/>
          <w:u w:val="single"/>
        </w:rPr>
        <w:t>Schedule 6.01</w:t>
      </w:r>
      <w:r>
        <w:rPr/>
        <w:t xml:space="preserve"> </w:t>
      </w:r>
      <w:r>
        <w:rPr>
          <w:rFonts w:ascii="Times New Roman;serif" w:hAnsi="Times New Roman;serif"/>
          <w:b w:val="false"/>
          <w:sz w:val="20"/>
        </w:rPr>
        <w:t>and any Permitted Refinancing thereof, (B) that is intercompany Indebtedness among Holdings, the Borrower and/or the Restricted Subsidiaries outstanding on the date hereof and any Permitted Refinancing thereof and (C) under the Second Lien Credit Documents in an aggregate principal amount not to exceed $145,000,000 and any Permitted Refinancing thereof;</w:t>
      </w:r>
    </w:p>
    <w:p>
      <w:pPr>
        <w:pStyle w:val="TextBody"/>
        <w:bidi w:val="0"/>
        <w:spacing w:before="200" w:after="0"/>
        <w:jc w:val="both"/>
        <w:rPr>
          <w:rFonts w:ascii="Times New Roman" w:hAnsi="Times New Roman"/>
          <w:b w:val="false"/>
          <w:sz w:val="22"/>
        </w:rPr>
      </w:pPr>
      <w:r>
        <w:rPr>
          <w:rFonts w:ascii="Times New Roman" w:hAnsi="Times New Roman"/>
          <w:b w:val="false"/>
          <w:sz w:val="22"/>
        </w:rPr>
        <w:t>(iii)</w:t>
      </w:r>
    </w:p>
    <w:p>
      <w:pPr>
        <w:pStyle w:val="TextBody"/>
        <w:bidi w:val="0"/>
        <w:spacing w:before="200" w:after="0"/>
        <w:jc w:val="both"/>
        <w:rPr/>
      </w:pPr>
      <w:r>
        <w:rPr>
          <w:rFonts w:ascii="Times New Roman;serif" w:hAnsi="Times New Roman;serif"/>
          <w:b w:val="false"/>
          <w:sz w:val="20"/>
        </w:rPr>
        <w:t xml:space="preserve">Guarantees by Holdings, the Borrower and the Restricted Subsidiaries in respect of Indebtedness of Holdings, the Borrower or any Restricted Subsidiary otherwise permitted hereunder;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such Guarantee is otherwise permitted by </w:t>
      </w:r>
      <w:r>
        <w:rPr>
          <w:rFonts w:ascii="Times New Roman;serif" w:hAnsi="Times New Roman;serif"/>
          <w:b w:val="false"/>
          <w:sz w:val="20"/>
          <w:u w:val="single"/>
        </w:rPr>
        <w:t>Section 6.04</w:t>
      </w:r>
      <w:r>
        <w:rPr>
          <w:rFonts w:ascii="Times New Roman;serif" w:hAnsi="Times New Roman;serif"/>
          <w:b w:val="false"/>
          <w:sz w:val="20"/>
        </w:rPr>
        <w:t>, (B) no Guarantee by any Restricted Subsidiary of any Junior Financing shall be permitted unless such Restricted Subsidiary shall have also provided a Guarantee of the Loan Document Obligations pursuant to the Guarantee Agreement and (C)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w:t>
      </w:r>
    </w:p>
    <w:p>
      <w:pPr>
        <w:pStyle w:val="TextBody"/>
        <w:bidi w:val="0"/>
        <w:spacing w:before="200" w:after="0"/>
        <w:jc w:val="both"/>
        <w:rPr>
          <w:rFonts w:ascii="Times New Roman" w:hAnsi="Times New Roman"/>
          <w:b w:val="false"/>
          <w:sz w:val="22"/>
        </w:rPr>
      </w:pPr>
      <w:r>
        <w:rPr>
          <w:rFonts w:ascii="Times New Roman" w:hAnsi="Times New Roman"/>
          <w:b w:val="false"/>
          <w:sz w:val="22"/>
        </w:rPr>
        <w:t>(iv)</w:t>
      </w:r>
    </w:p>
    <w:p>
      <w:pPr>
        <w:pStyle w:val="TextBody"/>
        <w:bidi w:val="0"/>
        <w:spacing w:before="200" w:after="283"/>
        <w:jc w:val="both"/>
        <w:rPr/>
      </w:pPr>
      <w:r>
        <w:rPr>
          <w:rFonts w:ascii="Times New Roman;serif" w:hAnsi="Times New Roman;serif"/>
          <w:b w:val="false"/>
          <w:sz w:val="20"/>
        </w:rPr>
        <w:t xml:space="preserve">Indebtedness of Holdings, the Borrower or of any Restricted Subsidiary owing to any other Restricted Subsidiary, the Borrower or Holdings to the extent permitted by </w:t>
      </w:r>
      <w:r>
        <w:rPr>
          <w:rFonts w:ascii="Times New Roman;serif" w:hAnsi="Times New Roman;serif"/>
          <w:b w:val="false"/>
          <w:sz w:val="20"/>
          <w:u w:val="single"/>
        </w:rPr>
        <w:t>Section 6.04</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all such Indebtedness of any Loan Party owing to any Restricted Subsidiary that is not a Loan Party shall be subordinated to the Loan Document Obligations (to the extent any such Indebtedness is outstanding at any time after the date that is 30 days after the Effective Date or such later date as the Administrative Agent may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reasonably agree) (but only to the extent permitted by applicable law and not giving rise to material adverse Tax consequences) on terms (A) at least as favorable to the Lenders as those set forth in the form of intercompany note attached as </w:t>
      </w:r>
      <w:r>
        <w:rPr>
          <w:rFonts w:ascii="Times New Roman;serif" w:hAnsi="Times New Roman;serif"/>
          <w:b w:val="false"/>
          <w:sz w:val="20"/>
          <w:u w:val="single"/>
        </w:rPr>
        <w:t>Exhibit H</w:t>
      </w:r>
      <w:r>
        <w:rPr/>
        <w:t xml:space="preserve"> </w:t>
      </w:r>
      <w:r>
        <w:rPr>
          <w:rFonts w:ascii="Times New Roman;serif" w:hAnsi="Times New Roman;serif"/>
          <w:b w:val="false"/>
          <w:sz w:val="20"/>
        </w:rPr>
        <w:t>or (B) otherwise reasonably satisfactory to the Administrative Agent;</w:t>
      </w:r>
    </w:p>
    <w:p>
      <w:pPr>
        <w:pStyle w:val="TextBody"/>
        <w:bidi w:val="0"/>
        <w:spacing w:before="200" w:after="0"/>
        <w:jc w:val="both"/>
        <w:rPr>
          <w:rFonts w:ascii="Times New Roman" w:hAnsi="Times New Roman"/>
          <w:b w:val="false"/>
          <w:sz w:val="22"/>
        </w:rPr>
      </w:pPr>
      <w:r>
        <w:rPr>
          <w:rFonts w:ascii="Times New Roman" w:hAnsi="Times New Roman"/>
          <w:b w:val="false"/>
          <w:sz w:val="22"/>
        </w:rPr>
        <w:t>(v)</w:t>
      </w:r>
    </w:p>
    <w:p>
      <w:pPr>
        <w:pStyle w:val="TextBody"/>
        <w:bidi w:val="0"/>
        <w:spacing w:before="200" w:after="0"/>
        <w:jc w:val="both"/>
        <w:rPr/>
      </w:pPr>
      <w:r>
        <w:rPr>
          <w:rFonts w:ascii="Times New Roman;serif" w:hAnsi="Times New Roman;serif"/>
          <w:b w:val="false"/>
          <w:sz w:val="20"/>
        </w:rPr>
        <w:t xml:space="preserve">(A) Indebtedness (including Capital Lease Obligations) of Holdings, the Borrower or any of the Restricted Subsidiaries financing the acquisition, construction, repair, replacement or improvement of fixed or capital assets (whether through the direct purchase of property or any Person owning such property);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Indebtedness is incurred concurrently with or within 270 days after the applicable acquisition, construction, repair, replacement or improvement, and (B) any Permitted Refinancing of any Indebtedness set forth in the immediately preceding subclause (A);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at the time of any such incurrence of Indebtedness and after giving Pro Forma Effect thereto and the use of the proceeds thereof, the aggregate principal amount of Indebtedness that is outstanding in reliance on this clause (v) shall not exceed the greater of $43,000,000 and 30% of Consolidated EBITDA for the most recently ended Test Period as of such time;</w:t>
      </w:r>
    </w:p>
    <w:p>
      <w:pPr>
        <w:pStyle w:val="TextBody"/>
        <w:bidi w:val="0"/>
        <w:spacing w:before="200" w:after="0"/>
        <w:jc w:val="both"/>
        <w:rPr>
          <w:rFonts w:ascii="Times New Roman" w:hAnsi="Times New Roman"/>
          <w:b w:val="false"/>
          <w:sz w:val="22"/>
        </w:rPr>
      </w:pPr>
      <w:r>
        <w:rPr>
          <w:rFonts w:ascii="Times New Roman" w:hAnsi="Times New Roman"/>
          <w:b w:val="false"/>
          <w:sz w:val="22"/>
        </w:rPr>
        <w:t>(vi)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in respect of Swap Agreements (other than Swap Agreement entered into for speculative purposes);</w:t>
      </w:r>
    </w:p>
    <w:p>
      <w:pPr>
        <w:pStyle w:val="TextBody"/>
        <w:bidi w:val="0"/>
        <w:spacing w:before="200" w:after="0"/>
        <w:jc w:val="both"/>
        <w:rPr>
          <w:rFonts w:ascii="Times New Roman" w:hAnsi="Times New Roman"/>
          <w:b w:val="false"/>
          <w:sz w:val="22"/>
        </w:rPr>
      </w:pPr>
      <w:r>
        <w:rPr>
          <w:rFonts w:ascii="Times New Roman" w:hAnsi="Times New Roman"/>
          <w:b w:val="false"/>
          <w:sz w:val="22"/>
        </w:rPr>
        <w:t>(vii)</w:t>
      </w:r>
    </w:p>
    <w:p>
      <w:pPr>
        <w:pStyle w:val="TextBody"/>
        <w:bidi w:val="0"/>
        <w:spacing w:before="200" w:after="0"/>
        <w:jc w:val="both"/>
        <w:rPr/>
      </w:pPr>
      <w:r>
        <w:rPr>
          <w:rFonts w:ascii="Times New Roman;serif" w:hAnsi="Times New Roman;serif"/>
          <w:b w:val="false"/>
          <w:sz w:val="20"/>
        </w:rPr>
        <w:t xml:space="preserve">(A) Indebtedness of any Person that becomes a Restricted Subsidiary (or of any Person not previously a Restricted Subsidiary that is merged or consolidated with or into the Borrower or a Restricted Subsidiary) after the date hereof as a result of a Permitted Acquisition or other Investment, or Indebtedness of any Person that is assumed by the Borrower or any Restricted Subsidiary in connection with an acquisition of assets by the Borrower or such Restricted Subsidiary in a Permitted Acquisition or other Investment;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Indebtedness is not incurred in contemplation of such Permitted Acquisition or other Investment;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either (1) the Interest Coverage Ratio after giving Pro Forma Effect to the assumption of such Indebtedness and such Permitted Acquisition or other Investment is either (x) equal to or greater than 2.00 to 1.00 or (y) equal to or greater than the Interest Coverage Ratio immediately prior to the incurrence of such Indebtedness and such Permitted Acquisition or other Investment for the most recently ended Test Period as of such time or (2) the Total Leverage Ratio after giving Pro Forma Effect to the assumption of such Indebtedness and such Permitted Acquisition or other Investment is either (x) equal to or less than 6.25 to 1.00 or (y) equal to or less than the Total Leverage Ratio immediately prior to the incurrence of such Indebtedness and such Permitted Acquisition or other Investment for the most recently ended Test Period as of such time and (B) any Permitted Refinancing of Indebtedness incurred pursuant to the foregoing subclause (A);</w:t>
      </w:r>
    </w:p>
    <w:p>
      <w:pPr>
        <w:pStyle w:val="TextBody"/>
        <w:bidi w:val="0"/>
        <w:spacing w:before="200" w:after="0"/>
        <w:jc w:val="both"/>
        <w:rPr>
          <w:rFonts w:ascii="Times New Roman" w:hAnsi="Times New Roman"/>
          <w:b w:val="false"/>
          <w:sz w:val="22"/>
        </w:rPr>
      </w:pPr>
      <w:r>
        <w:rPr>
          <w:rFonts w:ascii="Times New Roman" w:hAnsi="Times New Roman"/>
          <w:b w:val="false"/>
          <w:sz w:val="22"/>
        </w:rPr>
        <w:t>(viii)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in respect of Permitted Receivables Financings;</w:t>
      </w:r>
    </w:p>
    <w:p>
      <w:pPr>
        <w:pStyle w:val="TextBody"/>
        <w:bidi w:val="0"/>
        <w:spacing w:before="200" w:after="0"/>
        <w:jc w:val="both"/>
        <w:rPr>
          <w:rFonts w:ascii="Times New Roman" w:hAnsi="Times New Roman"/>
          <w:b w:val="false"/>
          <w:sz w:val="22"/>
        </w:rPr>
      </w:pPr>
      <w:r>
        <w:rPr>
          <w:rFonts w:ascii="Times New Roman" w:hAnsi="Times New Roman"/>
          <w:b w:val="false"/>
          <w:sz w:val="22"/>
        </w:rPr>
        <w:t>(ix)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representing deferred compensation to employees of Holdings, the Borrower and the Restricted Subsidiaries incurred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w:t>
      </w:r>
    </w:p>
    <w:p>
      <w:pPr>
        <w:pStyle w:val="TextBody"/>
        <w:bidi w:val="0"/>
        <w:spacing w:before="200" w:after="0"/>
        <w:jc w:val="both"/>
        <w:rPr/>
      </w:pPr>
      <w:r>
        <w:rPr>
          <w:rFonts w:ascii="Times New Roman;serif" w:hAnsi="Times New Roman;serif"/>
          <w:b w:val="false"/>
          <w:sz w:val="20"/>
        </w:rPr>
        <w:t xml:space="preserve">Indebtedness consisting of unsecured promissory notes issued by any Loan Party to current or former officers, directors and employees or their respective estates, spouses or former spouses to finance the purchase or redemption of Equity Interests in Holdings (or any direct or indirect parent thereof) permitted by </w:t>
      </w:r>
      <w:r>
        <w:rPr>
          <w:rFonts w:ascii="Times New Roman;serif" w:hAnsi="Times New Roman;serif"/>
          <w:b w:val="false"/>
          <w:sz w:val="20"/>
          <w:u w:val="single"/>
        </w:rPr>
        <w:t>Section 6.08(a)</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(xi)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constituting indemnification obligations or obligations in respect of purchase price or other similar adjustments (including earnout or similar obligations) incurred in connection with the Transactions or any Permitted Acquisition, any other Investment or any Disposition, in each case permitted under this Agreement;</w:t>
      </w:r>
    </w:p>
    <w:p>
      <w:pPr>
        <w:pStyle w:val="TextBody"/>
        <w:bidi w:val="0"/>
        <w:spacing w:before="200" w:after="0"/>
        <w:jc w:val="both"/>
        <w:rPr>
          <w:rFonts w:ascii="Times New Roman" w:hAnsi="Times New Roman"/>
          <w:b w:val="false"/>
          <w:sz w:val="22"/>
        </w:rPr>
      </w:pPr>
      <w:r>
        <w:rPr>
          <w:rFonts w:ascii="Times New Roman" w:hAnsi="Times New Roman"/>
          <w:b w:val="false"/>
          <w:sz w:val="22"/>
        </w:rPr>
        <w:t>(xii)</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Indebtedness consisting of obligations under deferred compensation or other similar arrangements incurred in connection with the Transactions or any Permitted Acquisition or other Investment permitted hereunder;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(xiii)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(including Indebtedness owed on a short term basis of no longer than 30 days to banks and other financial institutions incurred in the ordinary course of business of Holdings, the Borrower and their Restricted Subsidiaries with such banks or financial institutions that arises in connection with ordinary banking arrangements to manage cash balances of Holdings, the Borrower and their Restricted Subsidiaries);</w:t>
      </w:r>
    </w:p>
    <w:p>
      <w:pPr>
        <w:pStyle w:val="TextBody"/>
        <w:bidi w:val="0"/>
        <w:spacing w:before="200" w:after="0"/>
        <w:jc w:val="both"/>
        <w:rPr>
          <w:rFonts w:ascii="Times New Roman" w:hAnsi="Times New Roman"/>
          <w:b w:val="false"/>
          <w:sz w:val="22"/>
        </w:rPr>
      </w:pPr>
      <w:r>
        <w:rPr>
          <w:rFonts w:ascii="Times New Roman" w:hAnsi="Times New Roman"/>
          <w:b w:val="false"/>
          <w:sz w:val="22"/>
        </w:rPr>
        <w:t>(xiv)</w:t>
      </w:r>
    </w:p>
    <w:p>
      <w:pPr>
        <w:pStyle w:val="TextBody"/>
        <w:bidi w:val="0"/>
        <w:spacing w:before="200" w:after="0"/>
        <w:jc w:val="both"/>
        <w:rPr/>
      </w:pPr>
      <w:r>
        <w:rPr>
          <w:rFonts w:ascii="Times New Roman;serif" w:hAnsi="Times New Roman;serif"/>
          <w:b w:val="false"/>
          <w:sz w:val="20"/>
        </w:rPr>
        <w:t xml:space="preserve">Indebtedness of the Borrower and the Restricted Subsidiaries; </w:t>
      </w:r>
      <w:r>
        <w:rPr>
          <w:rFonts w:ascii="Times New Roman;serif" w:hAnsi="Times New Roman;serif"/>
          <w:b w:val="false"/>
          <w:sz w:val="20"/>
          <w:u w:val="single"/>
        </w:rPr>
        <w:t>provided</w:t>
      </w:r>
      <w:r>
        <w:rPr/>
        <w:t xml:space="preserve"> </w:t>
      </w:r>
      <w:r>
        <w:rPr>
          <w:rFonts w:ascii="Times New Roman;serif" w:hAnsi="Times New Roman;serif"/>
          <w:b w:val="false"/>
          <w:sz w:val="20"/>
        </w:rPr>
        <w:t>that at the time of the incurrence thereof and after giving Pro Forma Effect thereto, the aggregate principal amount of Indebtedness outstanding in reliance on this clause (xiv) (together with the aggregate principal amount of any Incremental Facilities and/or Incremental Equivalent Debt incurred and outstanding (with any such Incremental Facilities and/or Incremental Equivalent Debt that is voluntarily prepaid considered outstanding for the purposes of this clause (xiv)) in reliance on clause (d) of the definition of “Incremental Cap”) shall not exceed the greater of $71,000,000 and 50% of Consolidated EBITDA for the most recently ended Test Period as of such time;</w:t>
      </w:r>
    </w:p>
    <w:p>
      <w:pPr>
        <w:pStyle w:val="TextBody"/>
        <w:bidi w:val="0"/>
        <w:spacing w:before="200" w:after="0"/>
        <w:jc w:val="both"/>
        <w:rPr>
          <w:rFonts w:ascii="Times New Roman" w:hAnsi="Times New Roman"/>
          <w:b w:val="false"/>
          <w:sz w:val="22"/>
        </w:rPr>
      </w:pPr>
      <w:r>
        <w:rPr>
          <w:rFonts w:ascii="Times New Roman" w:hAnsi="Times New Roman"/>
          <w:b w:val="false"/>
          <w:sz w:val="22"/>
        </w:rPr>
        <w:t>(xv)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consisting of (A) the financing of insurance premiums or (B) take-or-pay obligations contained in supply arrangements, in each case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(xvi)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incurred by Holdings, the Borrower or any of the Restricted Subsidiaries in respect of letters of credit, bank guarantees, bankers’ acceptances or similar instruments issued or created, or related to obligations or liabilities incurred,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pStyle w:val="TextBody"/>
        <w:bidi w:val="0"/>
        <w:spacing w:before="200" w:after="0"/>
        <w:jc w:val="both"/>
        <w:rPr>
          <w:rFonts w:ascii="Times New Roman" w:hAnsi="Times New Roman"/>
          <w:b w:val="false"/>
          <w:sz w:val="22"/>
        </w:rPr>
      </w:pPr>
      <w:r>
        <w:rPr>
          <w:rFonts w:ascii="Times New Roman" w:hAnsi="Times New Roman"/>
          <w:b w:val="false"/>
          <w:sz w:val="22"/>
        </w:rPr>
        <w:t>(xvii)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obligations in respect of performance, bid, appeal and surety bonds and performance, bankers’ acceptance facilities and completion guarantees and similar obligations provided by Holdings, the Borrower or any of the Restricted Subsidiaries or obligations in respect of letters of credit, bank guarantees or similar instruments related thereto, in each case in the ordinary course of business or consistent with past practice;</w:t>
      </w:r>
    </w:p>
    <w:p>
      <w:pPr>
        <w:pStyle w:val="TextBody"/>
        <w:bidi w:val="0"/>
        <w:spacing w:before="200" w:after="0"/>
        <w:jc w:val="both"/>
        <w:rPr>
          <w:rFonts w:ascii="Times New Roman" w:hAnsi="Times New Roman"/>
          <w:b w:val="false"/>
          <w:sz w:val="22"/>
        </w:rPr>
      </w:pPr>
      <w:r>
        <w:rPr>
          <w:rFonts w:ascii="Times New Roman" w:hAnsi="Times New Roman"/>
          <w:b w:val="false"/>
          <w:sz w:val="22"/>
        </w:rPr>
        <w:t>(xviii)</w:t>
      </w:r>
    </w:p>
    <w:p>
      <w:pPr>
        <w:pStyle w:val="TextBody"/>
        <w:bidi w:val="0"/>
        <w:spacing w:before="200" w:after="283"/>
        <w:jc w:val="both"/>
        <w:rPr/>
      </w:pPr>
      <w:r>
        <w:rPr>
          <w:rFonts w:ascii="Times New Roman;serif" w:hAnsi="Times New Roman;serif"/>
          <w:b w:val="false"/>
          <w:sz w:val="20"/>
        </w:rPr>
        <w:t>unsecured Indebtedness of Holdings (“</w:t>
      </w:r>
      <w:r>
        <w:rPr>
          <w:rFonts w:ascii="Times New Roman;serif" w:hAnsi="Times New Roman;serif"/>
          <w:b w:val="false"/>
          <w:sz w:val="20"/>
          <w:u w:val="single"/>
        </w:rPr>
        <w:t>Permitted Holdings Debt</w:t>
      </w:r>
      <w:r>
        <w:rPr/>
        <w:t>”</w:t>
      </w:r>
      <w:r>
        <w:rPr>
          <w:rFonts w:ascii="Times New Roman;serif" w:hAnsi="Times New Roman;serif"/>
          <w:b w:val="false"/>
          <w:sz w:val="20"/>
        </w:rPr>
        <w:t xml:space="preserve">) (A) that is not subject to any Guarantee by any subsidiary thereof, (B) that will not mature prior to the date that is 91 days after the Latest Maturity Date in effect on the date of issuance or incurrence thereof (except in the case of Customary Bridge Loans which would either automatically be converted into or required to be exchanged for permanent refinancing which does not mature earlier than the date that is 91 days after the Latest Maturity Date and except with respect to an amount equal to the Maturity Carveout Amount at such time), (C) that has no scheduled amortization or payments, repurchases or redemptions of principal (it being understood that such Indebtedness may have mandatory prepayment, repurchase or redemption provisions satisfying the requirements of subclause (E) below), (D) that permits payments of interest or other amounts in respect of the principal thereof to be paid in kind rather than in cash, (E) that has mandatory prepayment, repurchase or redemption, covenant, default and remedy provisions customary for senior or senior subordinated discount notes of an issuer that is the parent of the borrower under senior secured credit facilities, and in any event, with respect to covenant, default and remedy provisions, no more restrictive (taken as a whole) than those set forth in this Agreement (other than provisions customary for senior or senior subordinated discount notes of a holding company);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certificate of a Responsible Officer delivered to the Administrative Agent at least five Business Days prior to the issuance or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and (F) that is subordinated in right of payment to Holdings’ Guarantee under the Guarantee Agreement;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any such Indebtedness shall constitute Permitted Holdings Debt only if immediately after giving effect to the issuance or incurrence thereof, no Event of Default shall have occurred and be continuing;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(xix)</w:t>
      </w:r>
    </w:p>
    <w:p>
      <w:pPr>
        <w:pStyle w:val="TextBody"/>
        <w:bidi w:val="0"/>
        <w:spacing w:before="200" w:after="0"/>
        <w:jc w:val="both"/>
        <w:rPr/>
      </w:pPr>
      <w:r>
        <w:rPr>
          <w:rFonts w:ascii="Times New Roman;serif" w:hAnsi="Times New Roman;serif"/>
          <w:b w:val="false"/>
          <w:sz w:val="20"/>
        </w:rPr>
        <w:t xml:space="preserve">(A) Indebtedness of the Borrower or any of the Restricted Subsidiaries;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after giving effect to the incurrence of such Indebtedness on a Pro Forma Basis either (x) the Interest Coverage Ratio is greater than or equal to 2.00 to 1.00 or (y) the Total Leverage Ratio is equal to or less than 6.25 to 1.00 and (B) any Permitted Refinancing of Indebtedness incurred pursuant to the foregoing subclause (A);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the aggregate principal amount of Indebtedness of which the primary obligor or a guarantor is a Restricted Subsidiary that is not a Loan Party outstanding in reliance on this clause (xix) shall not exceed, at the time of incurrence thereof and after giving Pro Forma Effect thereto, the greater of $43,000,000 and 30% of Consolidated EBITDA for the most recently ended Test Period as of such time;</w:t>
      </w:r>
    </w:p>
    <w:p>
      <w:pPr>
        <w:pStyle w:val="TextBody"/>
        <w:bidi w:val="0"/>
        <w:spacing w:before="200" w:after="0"/>
        <w:jc w:val="both"/>
        <w:rPr>
          <w:rFonts w:ascii="Times New Roman" w:hAnsi="Times New Roman"/>
          <w:b w:val="false"/>
          <w:sz w:val="22"/>
        </w:rPr>
      </w:pPr>
      <w:r>
        <w:rPr>
          <w:rFonts w:ascii="Times New Roman" w:hAnsi="Times New Roman"/>
          <w:b w:val="false"/>
          <w:sz w:val="22"/>
        </w:rPr>
        <w:t>(xx)</w:t>
      </w:r>
    </w:p>
    <w:p>
      <w:pPr>
        <w:pStyle w:val="TextBody"/>
        <w:bidi w:val="0"/>
        <w:spacing w:before="200" w:after="0"/>
        <w:jc w:val="both"/>
        <w:rPr/>
      </w:pPr>
      <w:r>
        <w:rPr>
          <w:rFonts w:ascii="Times New Roman;serif" w:hAnsi="Times New Roman;serif"/>
          <w:b w:val="false"/>
          <w:sz w:val="20"/>
        </w:rPr>
        <w:t xml:space="preserve">Indebtedness supported by a letter of credit issued pursuant to this Agreement or any other letter of credit, bank guarantee or similar instrument permitted by this </w:t>
      </w:r>
      <w:r>
        <w:rPr>
          <w:rFonts w:ascii="Times New Roman;serif" w:hAnsi="Times New Roman;serif"/>
          <w:b w:val="false"/>
          <w:sz w:val="20"/>
          <w:u w:val="single"/>
        </w:rPr>
        <w:t>Section 6.01(a)</w:t>
      </w:r>
      <w:r>
        <w:rPr>
          <w:rFonts w:ascii="Times New Roman;serif" w:hAnsi="Times New Roman;serif"/>
          <w:b w:val="false"/>
          <w:sz w:val="20"/>
        </w:rPr>
        <w:t>, in a principal amount not to exceed the face amount of such letter of credit, bank guarantee or such other instrument;</w:t>
      </w:r>
    </w:p>
    <w:p>
      <w:pPr>
        <w:pStyle w:val="TextBody"/>
        <w:bidi w:val="0"/>
        <w:spacing w:before="200" w:after="0"/>
        <w:jc w:val="both"/>
        <w:rPr>
          <w:rFonts w:ascii="Times New Roman" w:hAnsi="Times New Roman"/>
          <w:b w:val="false"/>
          <w:sz w:val="22"/>
        </w:rPr>
      </w:pPr>
      <w:r>
        <w:rPr>
          <w:rFonts w:ascii="Times New Roman" w:hAnsi="Times New Roman"/>
          <w:b w:val="false"/>
          <w:sz w:val="22"/>
        </w:rPr>
        <w:t>(xxi)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Permitted Unsecured Refinancing Debt and any Permitted Refinancing thereof;</w:t>
      </w:r>
    </w:p>
    <w:p>
      <w:pPr>
        <w:pStyle w:val="TextBody"/>
        <w:bidi w:val="0"/>
        <w:spacing w:before="200" w:after="0"/>
        <w:jc w:val="both"/>
        <w:rPr>
          <w:rFonts w:ascii="Times New Roman" w:hAnsi="Times New Roman"/>
          <w:b w:val="false"/>
          <w:sz w:val="22"/>
        </w:rPr>
      </w:pPr>
      <w:r>
        <w:rPr>
          <w:rFonts w:ascii="Times New Roman" w:hAnsi="Times New Roman"/>
          <w:b w:val="false"/>
          <w:sz w:val="22"/>
        </w:rPr>
        <w:t>(xxii)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Permitted First Priority Refinancing Debt and Permitted Second Priority Refinancing Debt, and any Permitted Refinancing thereof;</w:t>
      </w:r>
    </w:p>
    <w:p>
      <w:pPr>
        <w:pStyle w:val="TextBody"/>
        <w:bidi w:val="0"/>
        <w:spacing w:before="200" w:after="0"/>
        <w:jc w:val="both"/>
        <w:rPr>
          <w:rFonts w:ascii="Times New Roman" w:hAnsi="Times New Roman"/>
          <w:b w:val="false"/>
          <w:sz w:val="22"/>
        </w:rPr>
      </w:pPr>
      <w:r>
        <w:rPr>
          <w:rFonts w:ascii="Times New Roman" w:hAnsi="Times New Roman"/>
          <w:b w:val="false"/>
          <w:sz w:val="22"/>
        </w:rPr>
        <w:t>(xxiii)</w:t>
      </w:r>
    </w:p>
    <w:p>
      <w:pPr>
        <w:pStyle w:val="TextBody"/>
        <w:bidi w:val="0"/>
        <w:spacing w:before="200" w:after="0"/>
        <w:jc w:val="both"/>
        <w:rPr/>
      </w:pPr>
      <w:r>
        <w:rPr>
          <w:rFonts w:ascii="Times New Roman;serif" w:hAnsi="Times New Roman;serif"/>
          <w:b w:val="false"/>
          <w:sz w:val="20"/>
        </w:rPr>
        <w:t xml:space="preserve">(A) Indebtedness of the Borrower or any Subsidiary Loan Party issued in lieu of Incremental Facilities consisting of (i) secured or unsecured bonds, notes or debentures (which bonds, notes or debentures, if secured, may be secured either by Liens on the Collateral ranking equal in priority (but without regard to control of remedies) with the Liens on the Collateral securing the Secured Obligations or by Liens on the Collateral ranking junior in priority to the Liens on the Collateral securing the Secured Obligations) or (ii) secured or unsecured loans (which loans, if broadly syndicated term B loans secured by Liens on the Collateral that are equal in priority (but without regard to control of remedies) with the Liens on the Collateral securing the Secured Obligations, shall be subject to the MFN Protection (subject, for the avoidance of doubt, to the exceptions and limitations applicable thereto));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the aggregate outstanding principal amount of all such Indebtedness issued pursuant to this clause shall not exceed at the time of incurrence thereof (x) the Incremental Cap less (y) the amount of all Incremental Facilities, (ii) such Indebtedness shall be considered Consolidated First Lien Debt for purposes of this clause and </w:t>
      </w:r>
      <w:r>
        <w:rPr>
          <w:rFonts w:ascii="Times New Roman;serif" w:hAnsi="Times New Roman;serif"/>
          <w:b w:val="false"/>
          <w:sz w:val="20"/>
          <w:u w:val="single"/>
        </w:rPr>
        <w:t>Section 2.20</w:t>
      </w:r>
      <w:r>
        <w:rPr>
          <w:rFonts w:ascii="Times New Roman;serif" w:hAnsi="Times New Roman;serif"/>
          <w:b w:val="false"/>
          <w:sz w:val="20"/>
        </w:rPr>
        <w:t xml:space="preserve">, (iii) such Indebtedness complies with the Required Additional Debt Terms and (iv) the condition set forth in the proviso in </w:t>
      </w:r>
      <w:r>
        <w:rPr>
          <w:rFonts w:ascii="Times New Roman;serif" w:hAnsi="Times New Roman;serif"/>
          <w:b w:val="false"/>
          <w:sz w:val="20"/>
          <w:u w:val="single"/>
        </w:rPr>
        <w:t>Section 2.20(a)</w:t>
      </w:r>
      <w:r>
        <w:rPr/>
        <w:t xml:space="preserve"> </w:t>
      </w:r>
      <w:r>
        <w:rPr>
          <w:rFonts w:ascii="Times New Roman;serif" w:hAnsi="Times New Roman;serif"/>
          <w:b w:val="false"/>
          <w:sz w:val="20"/>
        </w:rPr>
        <w:t>shall have been complied with as if such Indebtedness was an Incremental Facility and (B) any Permitted Refinancing of Indebtedness incurred pursuant to the foregoing clause (A);</w:t>
      </w:r>
    </w:p>
    <w:p>
      <w:pPr>
        <w:pStyle w:val="TextBody"/>
        <w:bidi w:val="0"/>
        <w:spacing w:before="200" w:after="0"/>
        <w:jc w:val="both"/>
        <w:rPr>
          <w:rFonts w:ascii="Times New Roman" w:hAnsi="Times New Roman"/>
          <w:b w:val="false"/>
          <w:sz w:val="22"/>
        </w:rPr>
      </w:pPr>
      <w:r>
        <w:rPr>
          <w:rFonts w:ascii="Times New Roman" w:hAnsi="Times New Roman"/>
          <w:b w:val="false"/>
          <w:sz w:val="22"/>
        </w:rPr>
        <w:t>(xxiv)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additional Indebtedness in an aggregate principal amount, measured at the time of incurrence and after giving Pro Forma Effect thereto and the use of the proceeds thereof, not to exceed 200% of the aggregate amount of direct or indirect equity investments in cash or Permitted Investments in the form of common Equity Interests or Qualified Equity Interests (excluding, for the avoidance of doubt, any Cure Amounts) received by Holdings or any Parent Entity (to the extent contributed to Holdings in the form of common Equity Interests or Qualified Equity Interests) to the extent not included within the Available Equity Amount or applied to increase any other basket hereunder;</w:t>
      </w:r>
    </w:p>
    <w:p>
      <w:pPr>
        <w:pStyle w:val="TextBody"/>
        <w:bidi w:val="0"/>
        <w:spacing w:before="200" w:after="0"/>
        <w:jc w:val="both"/>
        <w:rPr>
          <w:rFonts w:ascii="Times New Roman" w:hAnsi="Times New Roman"/>
          <w:b w:val="false"/>
          <w:sz w:val="22"/>
        </w:rPr>
      </w:pPr>
      <w:r>
        <w:rPr>
          <w:rFonts w:ascii="Times New Roman" w:hAnsi="Times New Roman"/>
          <w:b w:val="false"/>
          <w:sz w:val="22"/>
        </w:rPr>
        <w:t>(xxv)</w:t>
      </w:r>
    </w:p>
    <w:p>
      <w:pPr>
        <w:pStyle w:val="TextBody"/>
        <w:bidi w:val="0"/>
        <w:spacing w:before="200" w:after="283"/>
        <w:jc w:val="both"/>
        <w:rPr/>
      </w:pPr>
      <w:r>
        <w:rPr>
          <w:rFonts w:ascii="Times New Roman;serif" w:hAnsi="Times New Roman;serif"/>
          <w:b w:val="false"/>
          <w:sz w:val="20"/>
        </w:rPr>
        <w:t xml:space="preserve">Indebtedness of any Restricted Subsidiary that is not a Loan Party; </w:t>
      </w:r>
      <w:r>
        <w:rPr>
          <w:rFonts w:ascii="Times New Roman;serif" w:hAnsi="Times New Roman;serif"/>
          <w:b w:val="false"/>
          <w:sz w:val="20"/>
          <w:u w:val="single"/>
        </w:rPr>
        <w:t>provided</w:t>
      </w:r>
      <w:r>
        <w:rPr/>
        <w:t xml:space="preserve"> </w:t>
      </w:r>
      <w:r>
        <w:rPr>
          <w:rFonts w:ascii="Times New Roman;serif" w:hAnsi="Times New Roman;serif"/>
          <w:b w:val="false"/>
          <w:sz w:val="20"/>
        </w:rPr>
        <w:t>that the aggregate principal amount of Indebtedness of which the primary obligor or a guarantor is a Restricted Subsidiary that is not a Loan Party outstanding in reliance on this clause (xxv) shall not exceed, at the time of incurrence thereof and after giving Pro Forma Effect thereto, the greater of $36,000,000 and 25% of Consolidated EBITDA for the most recently ended Test Period as of such time;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(xxvi)</w:t>
      </w:r>
    </w:p>
    <w:p>
      <w:pPr>
        <w:pStyle w:val="TextBody"/>
        <w:bidi w:val="0"/>
        <w:spacing w:before="200" w:after="0"/>
        <w:jc w:val="both"/>
        <w:rPr/>
      </w:pPr>
      <w:r>
        <w:rPr>
          <w:rFonts w:ascii="Times New Roman;serif" w:hAnsi="Times New Roman;serif"/>
          <w:b w:val="false"/>
          <w:sz w:val="20"/>
        </w:rPr>
        <w:t xml:space="preserve">(A) Indebtedness incurred to finance a Permitted Acquisition or other Investment;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either (i) the Interest Coverage Ratio after giving Pro Forma Effect to the incurrence of such Indebtedness and such Permitted Acquisition or other Investment is either (x) equal to or greater than 2.00 to 1.00 or (y) equal to or greater than the Interest Coverage Ratio immediately prior to the incurrence of such Indebtedness and such Permitted Acquisition or other Investment for the most recently ended Test Period as of such time or (ii) the Total Leverage Ratio after giving Pro Forma Effect to the incurrence of such Indebtedness and such Permitted Acquisition or other Investment is either (x) equal to or less than 6.25 to 1.00 or (y) equal to or less than the Total Leverage Ratio immediately prior to the incurrence of such Indebtedness and such Permitted Acquisition or other Investment for the most recently ended Test Period as of such time and (B) any Permitted Refinancing of Indebtedness incurred pursuant to the foregoing clause (A);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the aggregate principal amount of Indebtedness of which the primary obligor or a guarantor is a Restricted Subsidiary that is not a Loan Party outstanding in reliance on this clause (xxvi) shall not exceed, at the time of incurrence thereof and after giving Pro Forma Effect thereto, the greater of $43,000,000 and 30% of Consolidated EBITDA for the most recently ended Test Period as of such time;</w:t>
      </w:r>
    </w:p>
    <w:p>
      <w:pPr>
        <w:pStyle w:val="TextBody"/>
        <w:bidi w:val="0"/>
        <w:spacing w:before="200" w:after="0"/>
        <w:jc w:val="both"/>
        <w:rPr>
          <w:rFonts w:ascii="Times New Roman" w:hAnsi="Times New Roman"/>
          <w:b w:val="false"/>
          <w:sz w:val="22"/>
        </w:rPr>
      </w:pPr>
      <w:r>
        <w:rPr>
          <w:rFonts w:ascii="Times New Roman" w:hAnsi="Times New Roman"/>
          <w:b w:val="false"/>
          <w:sz w:val="22"/>
        </w:rPr>
        <w:t>(xxvii)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Indebtedness in the form of Capital Lease Obligations arising out of any Sale Leaseback and any Permitted Refinancing thereof;</w:t>
      </w:r>
    </w:p>
    <w:p>
      <w:pPr>
        <w:pStyle w:val="TextBody"/>
        <w:bidi w:val="0"/>
        <w:spacing w:before="200" w:after="0"/>
        <w:jc w:val="both"/>
        <w:rPr>
          <w:rFonts w:ascii="Times New Roman" w:hAnsi="Times New Roman"/>
          <w:b w:val="false"/>
          <w:sz w:val="22"/>
        </w:rPr>
      </w:pPr>
      <w:r>
        <w:rPr>
          <w:rFonts w:ascii="Times New Roman" w:hAnsi="Times New Roman"/>
          <w:b w:val="false"/>
          <w:sz w:val="22"/>
        </w:rPr>
        <w:t>(xxviii)</w:t>
      </w:r>
    </w:p>
    <w:p>
      <w:pPr>
        <w:pStyle w:val="TextBody"/>
        <w:bidi w:val="0"/>
        <w:spacing w:before="200" w:after="0"/>
        <w:jc w:val="both"/>
        <w:rPr/>
      </w:pPr>
      <w:r>
        <w:rPr>
          <w:rFonts w:ascii="Times New Roman;serif" w:hAnsi="Times New Roman;serif"/>
          <w:b w:val="false"/>
          <w:sz w:val="20"/>
        </w:rPr>
        <w:t xml:space="preserve">(A) Indebtedness of the Borrower or any Subsidiary Loan Party consisting of (i) secured bonds, notes or debentures (which bonds, notes or debentures shall be secured by Liens having a junior priority relative to the Liens on the Collateral securing the Secured Obligations) or (ii) secured loans (which loans shall be secured by Liens having a junior priority relative to the Liens on the Collateral securing the Secured Obligations); </w:t>
      </w:r>
      <w:r>
        <w:rPr>
          <w:rFonts w:ascii="Times New Roman;serif" w:hAnsi="Times New Roman;serif"/>
          <w:b w:val="false"/>
          <w:sz w:val="20"/>
          <w:u w:val="single"/>
        </w:rPr>
        <w:t>provided</w:t>
      </w:r>
      <w:r>
        <w:rPr/>
        <w:t xml:space="preserve"> </w:t>
      </w:r>
      <w:r>
        <w:rPr>
          <w:rFonts w:ascii="Times New Roman;serif" w:hAnsi="Times New Roman;serif"/>
          <w:b w:val="false"/>
          <w:sz w:val="20"/>
        </w:rPr>
        <w:t>that (i) either (x) the Interest Coverage Ratio after giving Pro Forma Effect to the incurrence of such Indebtedness is either (I) equal to or greater than 2.00 to 1.00 or (II) if incurred to finance a Permitted Acquisition or other Investment, equal to or greater than the Interest Coverage Ratio immediately prior to the incurrence of such Indebtedness and such Permitted Acquisition or other Investment for the most recently ended Test Period as of such time or (y) the Secured Leverage Ratio after giving Pro Forma Effect to the incurrence of such Indebtedness is either (I) equal to or less than 6.25 to 1.00, or (II) if incurred to finance a Permitted Acquisition or other Investment, equal to or less than the Secured Leverage Ratio immediately prior to the incurrence of such Indebtedness for the most recently ended Test Period as of such time, (ii) such Indebtedness complies with the Required Additional Debt Terms and (iii) a Senior Representative acting on behalf of the holders of such Indebtedness shall have become party to the First Lien/Second Lien Intercreditor Agreement, and (B) any Permitted Refinancing of Indebtedness incurred pursuant to the foregoing clause (A);</w:t>
      </w:r>
    </w:p>
    <w:p>
      <w:pPr>
        <w:pStyle w:val="TextBody"/>
        <w:bidi w:val="0"/>
        <w:spacing w:before="200" w:after="0"/>
        <w:jc w:val="both"/>
        <w:rPr>
          <w:rFonts w:ascii="Times New Roman" w:hAnsi="Times New Roman"/>
          <w:b w:val="false"/>
          <w:sz w:val="22"/>
        </w:rPr>
      </w:pPr>
      <w:r>
        <w:rPr>
          <w:rFonts w:ascii="Times New Roman" w:hAnsi="Times New Roman"/>
          <w:b w:val="false"/>
          <w:sz w:val="22"/>
        </w:rPr>
        <w:t>(xxix)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Indebtedness of the Borrower or any Restricted Subsidiary in an aggregate amount at the time of incurrence thereof and after giving Pro Forma Effect thereto not to exceed the Available RP Capacity Amount and (B) any Permitted Refinancing of Indebtedness incurred pursuant to the foregoing clause (A);</w:t>
      </w:r>
    </w:p>
    <w:p>
      <w:pPr>
        <w:pStyle w:val="TextBody"/>
        <w:bidi w:val="0"/>
        <w:spacing w:before="200" w:after="0"/>
        <w:jc w:val="both"/>
        <w:rPr>
          <w:rFonts w:ascii="Times New Roman" w:hAnsi="Times New Roman"/>
          <w:b w:val="false"/>
          <w:sz w:val="22"/>
        </w:rPr>
      </w:pPr>
      <w:r>
        <w:rPr>
          <w:rFonts w:ascii="Times New Roman" w:hAnsi="Times New Roman"/>
          <w:b w:val="false"/>
          <w:sz w:val="22"/>
        </w:rPr>
        <w:t>(xxx)</w:t>
      </w:r>
    </w:p>
    <w:p>
      <w:pPr>
        <w:pStyle w:val="TextBody"/>
        <w:bidi w:val="0"/>
        <w:spacing w:before="200" w:after="0"/>
        <w:jc w:val="both"/>
        <w:rPr/>
      </w:pPr>
      <w:r>
        <w:rPr>
          <w:rFonts w:ascii="Times New Roman;serif" w:hAnsi="Times New Roman;serif"/>
          <w:b w:val="false"/>
          <w:sz w:val="20"/>
        </w:rPr>
        <w:t xml:space="preserve">(A) Indebtedness of the Borrower or any Restricted Subsidiary in an aggregate amount at the time of incurrence thereof and after giving Pro Forma Effect thereto not to exceed the Available Amount that is Not Otherwise Applied as in effect immediately prior to the time of such incurrence, so long as immediately after giving effect to any such incurrence pursuant to this clause (A), no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has occurred and is continuing, (B) Indebtedness of the Borrower or any Restricted Subsidiary in an amount not to exceed the Available Equity Amount that is Not Otherwise Applied as in effect immediately prior to the time of such incurrence and (C) any Permitted Refinancing of Indebtedness incurred pursuant to the foregoing clauses (A) and (B); and</w:t>
      </w:r>
    </w:p>
    <w:p>
      <w:pPr>
        <w:pStyle w:val="TextBody"/>
        <w:bidi w:val="0"/>
        <w:spacing w:before="200" w:after="0"/>
        <w:jc w:val="both"/>
        <w:rPr>
          <w:rFonts w:ascii="Times New Roman" w:hAnsi="Times New Roman"/>
          <w:b w:val="false"/>
          <w:sz w:val="22"/>
        </w:rPr>
      </w:pPr>
      <w:r>
        <w:rPr>
          <w:rFonts w:ascii="Times New Roman" w:hAnsi="Times New Roman"/>
          <w:b w:val="false"/>
          <w:sz w:val="22"/>
        </w:rPr>
        <w:t>(xxxi)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all premiums (if any), interest (including post-petition interest), fees, expenses, charges and additional or contingent interest on obligations described in clauses (i) through (xxx) above.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283"/>
        <w:jc w:val="both"/>
        <w:rPr/>
      </w:pPr>
      <w:r>
        <w:rPr>
          <w:rFonts w:ascii="Times New Roman;serif" w:hAnsi="Times New Roman;serif"/>
          <w:b w:val="false"/>
          <w:sz w:val="20"/>
        </w:rPr>
        <w:t xml:space="preserve">Holdings will not create, incur, assume or permit to exist any Indebtedness except Indebtedness created under </w:t>
      </w:r>
      <w:r>
        <w:rPr>
          <w:rFonts w:ascii="Times New Roman;serif" w:hAnsi="Times New Roman;serif"/>
          <w:b w:val="false"/>
          <w:sz w:val="20"/>
          <w:u w:val="single"/>
        </w:rPr>
        <w:t>Section 6.01(a)(i)</w:t>
      </w:r>
      <w:r>
        <w:rPr>
          <w:rFonts w:ascii="Times New Roman;serif" w:hAnsi="Times New Roman;serif"/>
          <w:b w:val="false"/>
          <w:sz w:val="20"/>
        </w:rPr>
        <w:t xml:space="preserve">, </w:t>
      </w:r>
      <w:r>
        <w:rPr>
          <w:rFonts w:ascii="Times New Roman;serif" w:hAnsi="Times New Roman;serif"/>
          <w:b w:val="false"/>
          <w:sz w:val="20"/>
          <w:u w:val="single"/>
        </w:rPr>
        <w:t>(iii)</w:t>
      </w:r>
      <w:r>
        <w:rPr>
          <w:rFonts w:ascii="Times New Roman;serif" w:hAnsi="Times New Roman;serif"/>
          <w:b w:val="false"/>
          <w:sz w:val="20"/>
        </w:rPr>
        <w:t xml:space="preserve">, </w:t>
      </w:r>
      <w:r>
        <w:rPr>
          <w:rFonts w:ascii="Times New Roman;serif" w:hAnsi="Times New Roman;serif"/>
          <w:b w:val="false"/>
          <w:sz w:val="20"/>
          <w:u w:val="single"/>
        </w:rPr>
        <w:t>(iv)</w:t>
      </w:r>
      <w:r>
        <w:rPr>
          <w:rFonts w:ascii="Times New Roman;serif" w:hAnsi="Times New Roman;serif"/>
          <w:b w:val="false"/>
          <w:sz w:val="20"/>
        </w:rPr>
        <w:t xml:space="preserve">, </w:t>
      </w:r>
      <w:r>
        <w:rPr>
          <w:rFonts w:ascii="Times New Roman;serif" w:hAnsi="Times New Roman;serif"/>
          <w:b w:val="false"/>
          <w:sz w:val="20"/>
          <w:u w:val="single"/>
        </w:rPr>
        <w:t>(v)</w:t>
      </w:r>
      <w:r>
        <w:rPr>
          <w:rFonts w:ascii="Times New Roman;serif" w:hAnsi="Times New Roman;serif"/>
          <w:b w:val="false"/>
          <w:sz w:val="20"/>
        </w:rPr>
        <w:t xml:space="preserve">, </w:t>
      </w:r>
      <w:r>
        <w:rPr>
          <w:rFonts w:ascii="Times New Roman;serif" w:hAnsi="Times New Roman;serif"/>
          <w:b w:val="false"/>
          <w:sz w:val="20"/>
          <w:u w:val="single"/>
        </w:rPr>
        <w:t>(vi)</w:t>
      </w:r>
      <w:r>
        <w:rPr>
          <w:rFonts w:ascii="Times New Roman;serif" w:hAnsi="Times New Roman;serif"/>
          <w:b w:val="false"/>
          <w:sz w:val="20"/>
        </w:rPr>
        <w:t xml:space="preserve">, </w:t>
      </w:r>
      <w:r>
        <w:rPr>
          <w:rFonts w:ascii="Times New Roman;serif" w:hAnsi="Times New Roman;serif"/>
          <w:b w:val="false"/>
          <w:sz w:val="20"/>
          <w:u w:val="single"/>
        </w:rPr>
        <w:t>(ix)</w:t>
      </w:r>
      <w:r>
        <w:rPr>
          <w:rFonts w:ascii="Times New Roman;serif" w:hAnsi="Times New Roman;serif"/>
          <w:b w:val="false"/>
          <w:sz w:val="20"/>
        </w:rPr>
        <w:t xml:space="preserve">, </w:t>
      </w:r>
      <w:r>
        <w:rPr>
          <w:rFonts w:ascii="Times New Roman;serif" w:hAnsi="Times New Roman;serif"/>
          <w:b w:val="false"/>
          <w:sz w:val="20"/>
          <w:u w:val="single"/>
        </w:rPr>
        <w:t>(x)</w:t>
      </w:r>
      <w:r>
        <w:rPr>
          <w:rFonts w:ascii="Times New Roman;serif" w:hAnsi="Times New Roman;serif"/>
          <w:b w:val="false"/>
          <w:sz w:val="20"/>
        </w:rPr>
        <w:t xml:space="preserve">, </w:t>
      </w:r>
      <w:r>
        <w:rPr>
          <w:rFonts w:ascii="Times New Roman;serif" w:hAnsi="Times New Roman;serif"/>
          <w:b w:val="false"/>
          <w:sz w:val="20"/>
          <w:u w:val="single"/>
        </w:rPr>
        <w:t>(xi)</w:t>
      </w:r>
      <w:r>
        <w:rPr>
          <w:rFonts w:ascii="Times New Roman;serif" w:hAnsi="Times New Roman;serif"/>
          <w:b w:val="false"/>
          <w:sz w:val="20"/>
        </w:rPr>
        <w:t xml:space="preserve">, </w:t>
      </w:r>
      <w:r>
        <w:rPr>
          <w:rFonts w:ascii="Times New Roman;serif" w:hAnsi="Times New Roman;serif"/>
          <w:b w:val="false"/>
          <w:sz w:val="20"/>
          <w:u w:val="single"/>
        </w:rPr>
        <w:t>(xii)</w:t>
      </w:r>
      <w:r>
        <w:rPr>
          <w:rFonts w:ascii="Times New Roman;serif" w:hAnsi="Times New Roman;serif"/>
          <w:b w:val="false"/>
          <w:sz w:val="20"/>
        </w:rPr>
        <w:t xml:space="preserve">, </w:t>
      </w:r>
      <w:r>
        <w:rPr>
          <w:rFonts w:ascii="Times New Roman;serif" w:hAnsi="Times New Roman;serif"/>
          <w:b w:val="false"/>
          <w:sz w:val="20"/>
          <w:u w:val="single"/>
        </w:rPr>
        <w:t>(xiii)</w:t>
      </w:r>
      <w:r>
        <w:rPr>
          <w:rFonts w:ascii="Times New Roman;serif" w:hAnsi="Times New Roman;serif"/>
          <w:b w:val="false"/>
          <w:sz w:val="20"/>
        </w:rPr>
        <w:t xml:space="preserve">, </w:t>
      </w:r>
      <w:r>
        <w:rPr>
          <w:rFonts w:ascii="Times New Roman;serif" w:hAnsi="Times New Roman;serif"/>
          <w:b w:val="false"/>
          <w:sz w:val="20"/>
          <w:u w:val="single"/>
        </w:rPr>
        <w:t>(xv)</w:t>
      </w:r>
      <w:r>
        <w:rPr>
          <w:rFonts w:ascii="Times New Roman;serif" w:hAnsi="Times New Roman;serif"/>
          <w:b w:val="false"/>
          <w:sz w:val="20"/>
        </w:rPr>
        <w:t xml:space="preserve">, </w:t>
      </w:r>
      <w:r>
        <w:rPr>
          <w:rFonts w:ascii="Times New Roman;serif" w:hAnsi="Times New Roman;serif"/>
          <w:b w:val="false"/>
          <w:sz w:val="20"/>
          <w:u w:val="single"/>
        </w:rPr>
        <w:t>(xvi)</w:t>
      </w:r>
      <w:r>
        <w:rPr>
          <w:rFonts w:ascii="Times New Roman;serif" w:hAnsi="Times New Roman;serif"/>
          <w:b w:val="false"/>
          <w:sz w:val="20"/>
        </w:rPr>
        <w:t xml:space="preserve">, </w:t>
      </w:r>
      <w:r>
        <w:rPr>
          <w:rFonts w:ascii="Times New Roman;serif" w:hAnsi="Times New Roman;serif"/>
          <w:b w:val="false"/>
          <w:sz w:val="20"/>
          <w:u w:val="single"/>
        </w:rPr>
        <w:t>(xvii)</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(xviii)</w:t>
      </w:r>
      <w:r>
        <w:rPr/>
        <w:t xml:space="preserve"> </w:t>
      </w:r>
      <w:r>
        <w:rPr>
          <w:rFonts w:ascii="Times New Roman;serif" w:hAnsi="Times New Roman;serif"/>
          <w:b w:val="false"/>
          <w:sz w:val="20"/>
        </w:rPr>
        <w:t>and all premiums (if any), interest (including post-petition interest), fees, expenses, charges and additional or contingent interest on obligations described in the foregoing clauses.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283"/>
        <w:jc w:val="both"/>
        <w:rPr/>
      </w:pPr>
      <w:r>
        <w:rPr>
          <w:rFonts w:ascii="Times New Roman;serif" w:hAnsi="Times New Roman;serif"/>
          <w:b w:val="false"/>
          <w:sz w:val="20"/>
        </w:rPr>
        <w:t>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Holdings, the Borrower or any Restricted Subsidiary, (x) preferred Equity Interests or Disqualified Equity Interests issued to and held by Holdings, the Borrower or any Restricted Subsidiary and (y) in the case of the Borrower and Restricted Subsidiaries only, preferred Equity Interests (other than Disqualified Equity Interests) issued to and held by joint venture partners after the Effective Date (“</w:t>
      </w:r>
      <w:r>
        <w:rPr>
          <w:rFonts w:ascii="Times New Roman;serif" w:hAnsi="Times New Roman;serif"/>
          <w:b w:val="false"/>
          <w:sz w:val="20"/>
          <w:u w:val="single"/>
        </w:rPr>
        <w:t>JV Preferred Equity Interests</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in the case of this clause (y), any such issuance of JV Preferred Equity Interests shall be deemed to be an incurrence of Indebtedness and subject to the provisions set forth in </w:t>
      </w:r>
      <w:r>
        <w:rPr>
          <w:rFonts w:ascii="Times New Roman;serif" w:hAnsi="Times New Roman;serif"/>
          <w:b w:val="false"/>
          <w:sz w:val="20"/>
          <w:u w:val="single"/>
        </w:rPr>
        <w:t>Section 6.01(a)</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(b)</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purposes of determining compliance with this </w:t>
      </w:r>
      <w:r>
        <w:rPr>
          <w:rFonts w:ascii="Times New Roman;serif" w:hAnsi="Times New Roman;serif"/>
          <w:b w:val="false"/>
          <w:sz w:val="20"/>
          <w:u w:val="single"/>
        </w:rPr>
        <w:t>Section 6.01</w:t>
      </w:r>
      <w:r>
        <w:rPr>
          <w:rFonts w:ascii="Times New Roman;serif" w:hAnsi="Times New Roman;serif"/>
          <w:b w:val="false"/>
          <w:sz w:val="20"/>
        </w:rPr>
        <w:t xml:space="preserve">, in the event that an item of Indebtedness meets the criteria of more than one of the categories of Indebtedness described in clauses (a)(i) through (a)(xxxi) above or from clause (a) or (b) of the definition of Incremental Cap to clause (c) of the definition of Incremental Cap, the Borrower shall, in its sole discretion, classify and reclassify or later divide, classify or reclassify such item of Indebtedness (or any portion thereof) and will only be required to include the amount and type of such Indebtedness in one or more of the above clauses;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(x) all Indebtedness outstanding under the Loan Documents will be deemed to have been incurred in reliance only on the exception in clause (a)(i) and (y) Indebtedness under the Second Lien Credit Agreement on the Effective Date shall be deemed to have been incurred in reliance only on the exception in clause (a)(ii)(C);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if all or any portion of any Indebtedness (other than any Indebtedness set forth in the preceding proviso) that is not initially incurred in reliance on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6.01(a)(xix)</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(xxviii)</w:t>
      </w:r>
      <w:r>
        <w:rPr>
          <w:rFonts w:ascii="Times New Roman" w:hAnsi="Times New Roman"/>
          <w:sz w:val="20"/>
        </w:rPr>
        <w:t xml:space="preserve"> </w:t>
      </w:r>
      <w:r>
        <w:rPr>
          <w:rFonts w:ascii="Times New Roman;serif" w:hAnsi="Times New Roman;serif"/>
          <w:b w:val="false"/>
          <w:sz w:val="20"/>
        </w:rPr>
        <w:t xml:space="preserve">subsequently could be incurred in reliance on </w:t>
      </w:r>
      <w:r>
        <w:rPr>
          <w:rFonts w:ascii="Times New Roman;serif" w:hAnsi="Times New Roman;serif"/>
          <w:b w:val="false"/>
          <w:sz w:val="20"/>
          <w:u w:val="single"/>
        </w:rPr>
        <w:t>Section 6.01(a)(xix)</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(xxviii)</w:t>
      </w:r>
      <w:r>
        <w:rPr>
          <w:rFonts w:ascii="Times New Roman;serif" w:hAnsi="Times New Roman;serif"/>
          <w:b w:val="false"/>
          <w:sz w:val="20"/>
        </w:rPr>
        <w:t xml:space="preserve">, such Indebtedness, or the relevant portion thereof, shall automatically be reclassified as having been incurred in reliance on </w:t>
      </w:r>
      <w:r>
        <w:rPr>
          <w:rFonts w:ascii="Times New Roman;serif" w:hAnsi="Times New Roman;serif"/>
          <w:b w:val="false"/>
          <w:sz w:val="20"/>
          <w:u w:val="single"/>
        </w:rPr>
        <w:t>Section 6.01(a)(xix)</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(xxviii)</w:t>
      </w:r>
      <w:r>
        <w:rPr>
          <w:rFonts w:ascii="Times New Roman;serif" w:hAnsi="Times New Roman;serif"/>
          <w:b w:val="false"/>
          <w:sz w:val="20"/>
        </w:rPr>
        <w:t>, as applicable.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Accrual of interest or dividends, the accretion of accreted value, the accretion or amortization of original issue discount and the payment of interest or dividends in the form of additional Indebtedness or Disqualified Equity Interests will not be deemed to be an incurrence of Indebtedness or Disqualified Equity Interests for purposes of this covenant.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6.02 </w:t>
      </w:r>
      <w:r>
        <w:rPr>
          <w:rFonts w:ascii="Times New Roman;serif" w:hAnsi="Times New Roman;serif"/>
          <w:b w:val="false"/>
          <w:sz w:val="20"/>
          <w:u w:val="single"/>
        </w:rPr>
        <w:t>Liens</w:t>
      </w:r>
      <w:r>
        <w:rPr>
          <w:rFonts w:ascii="Times New Roman;serif" w:hAnsi="Times New Roman;serif"/>
          <w:b w:val="false"/>
          <w:sz w:val="20"/>
        </w:rPr>
        <w:t>. Neither Holdings nor the Borrower will, nor will they permit any Restricted Subsidiary to, create, incur, assume or permit to exist any Lien on any property or asset now owned or hereafter acquired by it, except:</w:t>
      </w:r>
    </w:p>
    <w:p>
      <w:pPr>
        <w:pStyle w:val="TextBody"/>
        <w:bidi w:val="0"/>
        <w:spacing w:before="200" w:after="0"/>
        <w:jc w:val="both"/>
        <w:rPr>
          <w:rFonts w:ascii="Times New Roman" w:hAnsi="Times New Roman"/>
          <w:b w:val="false"/>
          <w:sz w:val="22"/>
        </w:rPr>
      </w:pPr>
      <w:r>
        <w:rPr>
          <w:rFonts w:ascii="Times New Roman" w:hAnsi="Times New Roman"/>
          <w:b w:val="false"/>
          <w:sz w:val="22"/>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created under the Loan Documents;</w:t>
      </w:r>
    </w:p>
    <w:p>
      <w:pPr>
        <w:pStyle w:val="TextBody"/>
        <w:bidi w:val="0"/>
        <w:spacing w:before="200" w:after="0"/>
        <w:jc w:val="both"/>
        <w:rPr>
          <w:rFonts w:ascii="Times New Roman" w:hAnsi="Times New Roman"/>
          <w:b w:val="false"/>
          <w:sz w:val="22"/>
        </w:rPr>
      </w:pPr>
      <w:r>
        <w:rPr>
          <w:rFonts w:ascii="Times New Roman" w:hAnsi="Times New Roman"/>
          <w:b w:val="false"/>
          <w:sz w:val="22"/>
        </w:rPr>
        <w:t>(ii)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Permitted Encumbrances;</w:t>
      </w:r>
    </w:p>
    <w:p>
      <w:pPr>
        <w:pStyle w:val="TextBody"/>
        <w:bidi w:val="0"/>
        <w:spacing w:before="200" w:after="0"/>
        <w:jc w:val="both"/>
        <w:rPr>
          <w:rFonts w:ascii="Times New Roman" w:hAnsi="Times New Roman"/>
          <w:b w:val="false"/>
          <w:sz w:val="22"/>
        </w:rPr>
      </w:pPr>
      <w:r>
        <w:rPr>
          <w:rFonts w:ascii="Times New Roman" w:hAnsi="Times New Roman"/>
          <w:b w:val="false"/>
          <w:sz w:val="22"/>
        </w:rPr>
        <w:t>(iii)</w:t>
      </w:r>
    </w:p>
    <w:p>
      <w:pPr>
        <w:pStyle w:val="TextBody"/>
        <w:bidi w:val="0"/>
        <w:spacing w:before="200" w:after="0"/>
        <w:jc w:val="both"/>
        <w:rPr/>
      </w:pPr>
      <w:r>
        <w:rPr>
          <w:rFonts w:ascii="Times New Roman;serif" w:hAnsi="Times New Roman;serif"/>
          <w:b w:val="false"/>
          <w:sz w:val="20"/>
        </w:rPr>
        <w:t xml:space="preserve">Liens existing on the Effective Date;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any Lien securing Indebtedness or other obligations in excess of $10,000,000 individually shall only be permitted if set forth on </w:t>
      </w:r>
      <w:r>
        <w:rPr>
          <w:rFonts w:ascii="Times New Roman;serif" w:hAnsi="Times New Roman;serif"/>
          <w:b w:val="false"/>
          <w:sz w:val="20"/>
          <w:u w:val="single"/>
        </w:rPr>
        <w:t>Schedule</w:t>
      </w:r>
      <w:r>
        <w:rPr/>
        <w:t xml:space="preserve"> </w:t>
      </w:r>
      <w:r>
        <w:rPr>
          <w:rFonts w:ascii="Times New Roman;serif" w:hAnsi="Times New Roman;serif"/>
          <w:b w:val="false"/>
          <w:sz w:val="20"/>
          <w:u w:val="single"/>
        </w:rPr>
        <w:t>6.02</w:t>
      </w:r>
      <w:r>
        <w:rPr>
          <w:rFonts w:ascii="Times New Roman;serif" w:hAnsi="Times New Roman;serif"/>
          <w:b w:val="false"/>
          <w:sz w:val="20"/>
        </w:rPr>
        <w:t xml:space="preserve">, and any modifications, replacements, renewals or extensions thereof;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such modified, replacement, renewal or extension Lien does not extend to any additional property other than (i) after-acquired property that is affixed or incorporated into the property covered by such Lien and (ii) proceeds and products thereof, and (B) the obligations secured or benefited by such modified, replacement, renewal or extension Lien are permitted by </w:t>
      </w:r>
      <w:r>
        <w:rPr>
          <w:rFonts w:ascii="Times New Roman;serif" w:hAnsi="Times New Roman;serif"/>
          <w:b w:val="false"/>
          <w:sz w:val="20"/>
          <w:u w:val="single"/>
        </w:rPr>
        <w:t>Section 6.01</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(iv)</w:t>
      </w:r>
    </w:p>
    <w:p>
      <w:pPr>
        <w:pStyle w:val="TextBody"/>
        <w:bidi w:val="0"/>
        <w:spacing w:before="200" w:after="283"/>
        <w:jc w:val="both"/>
        <w:rPr/>
      </w:pPr>
      <w:r>
        <w:rPr>
          <w:rFonts w:ascii="Times New Roman;serif" w:hAnsi="Times New Roman;serif"/>
          <w:b w:val="false"/>
          <w:sz w:val="20"/>
        </w:rPr>
        <w:t xml:space="preserve">Liens securing Indebtedness permitted under </w:t>
      </w:r>
      <w:r>
        <w:rPr>
          <w:rFonts w:ascii="Times New Roman;serif" w:hAnsi="Times New Roman;serif"/>
          <w:b w:val="false"/>
          <w:sz w:val="20"/>
          <w:u w:val="single"/>
        </w:rPr>
        <w:t>Section 6.01(a)(v)</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(xxvii)</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any lease of such property (including accessions thereto) and the proceeds and products thereof and (C) with respect to Capital Lease Obligations, such Liens do not at any time extend to or cover any assets (except for accessions to or proceeds of such assets) other than the assets subject to such Capital Lease Obligations;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individual financings of equipment provided by one lender may be cross collateralized to other financings of equipment provided by such lender;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leases, licenses, subleases or sublicenses granted to others that do not (A) interfere in any material respect with the business of Holdings, the Borrower and the Restricted Subsidiaries, taken as a whole or (B) secure any Indebtedness;</w:t>
      </w:r>
    </w:p>
    <w:p>
      <w:pPr>
        <w:pStyle w:val="TextBody"/>
        <w:bidi w:val="0"/>
        <w:spacing w:before="200" w:after="0"/>
        <w:jc w:val="both"/>
        <w:rPr>
          <w:rFonts w:ascii="Times New Roman" w:hAnsi="Times New Roman"/>
          <w:b w:val="false"/>
          <w:sz w:val="22"/>
        </w:rPr>
      </w:pPr>
      <w:r>
        <w:rPr>
          <w:rFonts w:ascii="Times New Roman" w:hAnsi="Times New Roman"/>
          <w:b w:val="false"/>
          <w:sz w:val="22"/>
        </w:rPr>
        <w:t>(vi)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in favor of customs and revenue authorities arising as a matter of law to secure payment of customs duties in connection with the importation of goods;</w:t>
      </w:r>
    </w:p>
    <w:p>
      <w:pPr>
        <w:pStyle w:val="TextBody"/>
        <w:bidi w:val="0"/>
        <w:spacing w:before="200" w:after="0"/>
        <w:jc w:val="both"/>
        <w:rPr>
          <w:rFonts w:ascii="Times New Roman" w:hAnsi="Times New Roman"/>
          <w:b w:val="false"/>
          <w:sz w:val="22"/>
        </w:rPr>
      </w:pPr>
      <w:r>
        <w:rPr>
          <w:rFonts w:ascii="Times New Roman" w:hAnsi="Times New Roman"/>
          <w:b w:val="false"/>
          <w:sz w:val="22"/>
        </w:rPr>
        <w:t>(vii)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pStyle w:val="TextBody"/>
        <w:bidi w:val="0"/>
        <w:spacing w:before="200" w:after="0"/>
        <w:jc w:val="both"/>
        <w:rPr>
          <w:rFonts w:ascii="Times New Roman" w:hAnsi="Times New Roman"/>
          <w:b w:val="false"/>
          <w:sz w:val="22"/>
        </w:rPr>
      </w:pPr>
      <w:r>
        <w:rPr>
          <w:rFonts w:ascii="Times New Roman" w:hAnsi="Times New Roman"/>
          <w:b w:val="false"/>
          <w:sz w:val="22"/>
        </w:rPr>
        <w:t>(viii)</w:t>
      </w:r>
    </w:p>
    <w:p>
      <w:pPr>
        <w:pStyle w:val="TextBody"/>
        <w:bidi w:val="0"/>
        <w:spacing w:before="200" w:after="0"/>
        <w:jc w:val="both"/>
        <w:rPr/>
      </w:pPr>
      <w:r>
        <w:rPr>
          <w:rFonts w:ascii="Times New Roman;serif" w:hAnsi="Times New Roman;serif"/>
          <w:b w:val="false"/>
          <w:sz w:val="20"/>
        </w:rPr>
        <w:t xml:space="preserve">Liens (A) on cash advances or escrow deposits in favor of the seller of any property to be acquired in an Investment permitted pursuant to </w:t>
      </w:r>
      <w:r>
        <w:rPr>
          <w:rFonts w:ascii="Times New Roman;serif" w:hAnsi="Times New Roman;serif"/>
          <w:b w:val="false"/>
          <w:sz w:val="20"/>
          <w:u w:val="single"/>
        </w:rPr>
        <w:t>Section 6.04</w:t>
      </w:r>
      <w:r>
        <w:rPr/>
        <w:t xml:space="preserve"> </w:t>
      </w:r>
      <w:r>
        <w:rPr>
          <w:rFonts w:ascii="Times New Roman;serif" w:hAnsi="Times New Roman;serif"/>
          <w:b w:val="false"/>
          <w:sz w:val="20"/>
        </w:rPr>
        <w:t xml:space="preserve">to be applied against the purchase price for such Investment or otherwise in connection with any escrow arrangements with respect to any such Investment or any Disposition permitted under </w:t>
      </w:r>
      <w:r>
        <w:rPr>
          <w:rFonts w:ascii="Times New Roman;serif" w:hAnsi="Times New Roman;serif"/>
          <w:b w:val="false"/>
          <w:sz w:val="20"/>
          <w:u w:val="single"/>
        </w:rPr>
        <w:t>Section 6.05</w:t>
      </w:r>
      <w:r>
        <w:rPr/>
        <w:t xml:space="preserve"> </w:t>
      </w:r>
      <w:r>
        <w:rPr>
          <w:rFonts w:ascii="Times New Roman;serif" w:hAnsi="Times New Roman;serif"/>
          <w:b w:val="false"/>
          <w:sz w:val="20"/>
        </w:rPr>
        <w:t xml:space="preserve">(including any letter of intent or purchase agreement with respect to such Investment or Disposition), (B) consisting of an agreement to dispose of any property in a Disposition permitted under </w:t>
      </w:r>
      <w:r>
        <w:rPr>
          <w:rFonts w:ascii="Times New Roman;serif" w:hAnsi="Times New Roman;serif"/>
          <w:b w:val="false"/>
          <w:sz w:val="20"/>
          <w:u w:val="single"/>
        </w:rPr>
        <w:t>Section 6.05</w:t>
      </w:r>
      <w:r>
        <w:rPr>
          <w:rFonts w:ascii="Times New Roman;serif" w:hAnsi="Times New Roman;serif"/>
          <w:b w:val="false"/>
          <w:sz w:val="20"/>
        </w:rPr>
        <w:t xml:space="preserve">, in each case, solely to the extent such Investment or Disposition, as the case may be, would have been permitted on the date of the creation of such Lien or (C) with respect to escrow deposits consisting of the proceeds of Indebtedness (and related interest and fee amounts) otherwise permitted pursuant to </w:t>
      </w:r>
      <w:r>
        <w:rPr>
          <w:rFonts w:ascii="Times New Roman;serif" w:hAnsi="Times New Roman;serif"/>
          <w:b w:val="false"/>
          <w:sz w:val="20"/>
          <w:u w:val="single"/>
        </w:rPr>
        <w:t>Section 6.01</w:t>
      </w:r>
      <w:r>
        <w:rPr/>
        <w:t xml:space="preserve"> </w:t>
      </w:r>
      <w:r>
        <w:rPr>
          <w:rFonts w:ascii="Times New Roman;serif" w:hAnsi="Times New Roman;serif"/>
          <w:b w:val="false"/>
          <w:sz w:val="20"/>
        </w:rPr>
        <w:t xml:space="preserve">in connection with Customary Escrow Provisions financing, and contingent on the consummation of any Investment, Disposition or Restricted Payment permitted by </w:t>
      </w:r>
      <w:r>
        <w:rPr>
          <w:rFonts w:ascii="Times New Roman;serif" w:hAnsi="Times New Roman;serif"/>
          <w:b w:val="false"/>
          <w:sz w:val="20"/>
          <w:u w:val="single"/>
        </w:rPr>
        <w:t>Section 6.04</w:t>
      </w:r>
      <w:r>
        <w:rPr>
          <w:rFonts w:ascii="Times New Roman;serif" w:hAnsi="Times New Roman;serif"/>
          <w:b w:val="false"/>
          <w:sz w:val="20"/>
        </w:rPr>
        <w:t xml:space="preserve">, </w:t>
      </w:r>
      <w:r>
        <w:rPr>
          <w:rFonts w:ascii="Times New Roman;serif" w:hAnsi="Times New Roman;serif"/>
          <w:b w:val="false"/>
          <w:sz w:val="20"/>
          <w:u w:val="single"/>
        </w:rPr>
        <w:t>Section 6.05</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6.08</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(ix)</w:t>
      </w:r>
    </w:p>
    <w:p>
      <w:pPr>
        <w:pStyle w:val="TextBody"/>
        <w:bidi w:val="0"/>
        <w:spacing w:before="200" w:after="0"/>
        <w:jc w:val="both"/>
        <w:rPr/>
      </w:pPr>
      <w:r>
        <w:rPr>
          <w:rFonts w:ascii="Times New Roman;serif" w:hAnsi="Times New Roman;serif"/>
          <w:b w:val="false"/>
          <w:sz w:val="20"/>
        </w:rPr>
        <w:t xml:space="preserve">Liens on property of any Restricted Subsidiary that is not a Loan Party, which Liens secure Indebtedness of such Restricted Subsidiary or another Restricted Subsidiary that is not a Loan Party, in each case permitted under </w:t>
      </w:r>
      <w:r>
        <w:rPr>
          <w:rFonts w:ascii="Times New Roman;serif" w:hAnsi="Times New Roman;serif"/>
          <w:b w:val="false"/>
          <w:sz w:val="20"/>
          <w:u w:val="single"/>
        </w:rPr>
        <w:t>Section 6.01(a)</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granted by a Restricted Subsidiary that is not a Loan Party in favor of any Loan Party, Liens granted by a Restricted Subsidiary that is not a Loan Party in favor of Restricted Subsidiary that is not a Loan Party and Liens granted by a Loan Party in favor of any other Loan Party;</w:t>
      </w:r>
    </w:p>
    <w:p>
      <w:pPr>
        <w:pStyle w:val="TextBody"/>
        <w:bidi w:val="0"/>
        <w:spacing w:before="200" w:after="0"/>
        <w:jc w:val="both"/>
        <w:rPr>
          <w:rFonts w:ascii="Times New Roman" w:hAnsi="Times New Roman"/>
          <w:b w:val="false"/>
          <w:sz w:val="22"/>
        </w:rPr>
      </w:pPr>
      <w:r>
        <w:rPr>
          <w:rFonts w:ascii="Times New Roman" w:hAnsi="Times New Roman"/>
          <w:b w:val="false"/>
          <w:sz w:val="22"/>
        </w:rPr>
        <w:t>(xi)</w:t>
      </w:r>
    </w:p>
    <w:p>
      <w:pPr>
        <w:pStyle w:val="TextBody"/>
        <w:bidi w:val="0"/>
        <w:spacing w:before="200" w:after="0"/>
        <w:jc w:val="both"/>
        <w:rPr/>
      </w:pPr>
      <w:r>
        <w:rPr>
          <w:rFonts w:ascii="Times New Roman;serif" w:hAnsi="Times New Roman;serif"/>
          <w:b w:val="false"/>
          <w:sz w:val="20"/>
        </w:rPr>
        <w:t xml:space="preserve">Liens existing on property at the time of its acquisition or existing on the property of any Person at the time such Person becomes a Restricted Subsidiary (including by the designation of an Unrestricted Subsidiary as a Restricted Subsidiary), in each case after the date hereof;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such Lien was not created in contemplation of such acquisition or such Person becoming a Restricted Subsidiary, (B) such Lien does not extend to or cover any other assets or property (other than, with respect to such Person, any replacements of such property or assets and additions and accessions, proceeds and products thereto, after-acquired property subject to a Lien securing Indebtedness and other obligations incurred prior to such time and which Indebtedness and other obligations are permitted hereunder that require or include,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 and (C) the Indebtedness secured thereby is permitted under </w:t>
      </w:r>
      <w:r>
        <w:rPr>
          <w:rFonts w:ascii="Times New Roman;serif" w:hAnsi="Times New Roman;serif"/>
          <w:b w:val="false"/>
          <w:sz w:val="20"/>
          <w:u w:val="single"/>
        </w:rPr>
        <w:t>Section 6.01(a)(v)</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(vii)</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(xii)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interest or title of a lessor under leases (other than leases constituting Capital Lease Obligations) entered into by the Borrower or any of the Restricted Subsidiaries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arising out of conditional sale, title retention, consignment or similar arrangements for sale or purchase of goods by the Borrower or any of the Restricted Subsidiaries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(xiv)</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Liens deemed to exist in connection with Investments in repurchase agreements permitted under clause (e) of the definition of the term “Permitted Investments”;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(xv)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200" w:after="0"/>
        <w:jc w:val="both"/>
        <w:rPr>
          <w:rFonts w:ascii="Times New Roman" w:hAnsi="Times New Roman"/>
          <w:b w:val="false"/>
          <w:sz w:val="22"/>
        </w:rPr>
      </w:pPr>
      <w:r>
        <w:rPr>
          <w:rFonts w:ascii="Times New Roman" w:hAnsi="Times New Roman"/>
          <w:b w:val="false"/>
          <w:sz w:val="22"/>
        </w:rPr>
        <w:t>(xvi)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the Borrower and the Restricted Subsidiaries or (C) relating to purchase orders and other agreements entered into with customers of the Borrower or any Restricted Subsidiary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(xvii)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ground leases in respect of real property on which facilities owned or leased by Holdings, the Borrower or any of the Restricted Subsidiaries are located;</w:t>
      </w:r>
    </w:p>
    <w:p>
      <w:pPr>
        <w:pStyle w:val="TextBody"/>
        <w:bidi w:val="0"/>
        <w:spacing w:before="200" w:after="0"/>
        <w:jc w:val="both"/>
        <w:rPr>
          <w:rFonts w:ascii="Times New Roman" w:hAnsi="Times New Roman"/>
          <w:b w:val="false"/>
          <w:sz w:val="22"/>
        </w:rPr>
      </w:pPr>
      <w:r>
        <w:rPr>
          <w:rFonts w:ascii="Times New Roman" w:hAnsi="Times New Roman"/>
          <w:b w:val="false"/>
          <w:sz w:val="22"/>
        </w:rPr>
        <w:t>(xviii)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on insurance policies and the proceeds thereof securing the financing of the premiums with respect thereto;</w:t>
      </w:r>
    </w:p>
    <w:p>
      <w:pPr>
        <w:pStyle w:val="TextBody"/>
        <w:bidi w:val="0"/>
        <w:spacing w:before="200" w:after="0"/>
        <w:jc w:val="both"/>
        <w:rPr>
          <w:rFonts w:ascii="Times New Roman" w:hAnsi="Times New Roman"/>
          <w:b w:val="false"/>
          <w:sz w:val="22"/>
        </w:rPr>
      </w:pPr>
      <w:r>
        <w:rPr>
          <w:rFonts w:ascii="Times New Roman" w:hAnsi="Times New Roman"/>
          <w:b w:val="false"/>
          <w:sz w:val="22"/>
        </w:rPr>
        <w:t>(xix)</w:t>
      </w:r>
    </w:p>
    <w:p>
      <w:pPr>
        <w:pStyle w:val="TextBody"/>
        <w:bidi w:val="0"/>
        <w:spacing w:before="200" w:after="0"/>
        <w:jc w:val="both"/>
        <w:rPr/>
      </w:pPr>
      <w:r>
        <w:rPr>
          <w:rFonts w:ascii="Times New Roman;serif" w:hAnsi="Times New Roman;serif"/>
          <w:b w:val="false"/>
          <w:sz w:val="20"/>
        </w:rPr>
        <w:t xml:space="preserve">Liens on the Collateral (A) securing Permitted First Priority Refinancing Debt, (B) securing Permitted Second Priority Refinancing Debt, (C) securing Incremental Equivalent Debt and (D) securing Indebtedness permitted pursuant to </w:t>
      </w:r>
      <w:r>
        <w:rPr>
          <w:rFonts w:ascii="Times New Roman;serif" w:hAnsi="Times New Roman;serif"/>
          <w:b w:val="false"/>
          <w:sz w:val="20"/>
          <w:u w:val="single"/>
        </w:rPr>
        <w:t>Sections 6.01(a)(ii)(C)</w:t>
      </w:r>
      <w:r>
        <w:rPr>
          <w:rFonts w:ascii="Times New Roman;serif" w:hAnsi="Times New Roman;serif"/>
          <w:b w:val="false"/>
          <w:sz w:val="20"/>
        </w:rPr>
        <w:t xml:space="preserve">, </w:t>
      </w:r>
      <w:r>
        <w:rPr>
          <w:rFonts w:ascii="Times New Roman;serif" w:hAnsi="Times New Roman;serif"/>
          <w:b w:val="false"/>
          <w:sz w:val="20"/>
          <w:u w:val="single"/>
        </w:rPr>
        <w:t>6.01(a)(xxviii)</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6.01(a)(xxx)</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that (in the case of clauses (B) and (D), such Liens do not secure Consolidated First Lien Debt and the applicable holders of such Indebtedness (or a representative thereof on behalf of such holders) shall have entered into the First Lien/Second Lien Intercreditor Agreement which agreement shall provide that such Liens on the Collateral shall rank junior to the Liens on the Collateral securing the Secured Obligations;</w:t>
      </w:r>
    </w:p>
    <w:p>
      <w:pPr>
        <w:pStyle w:val="TextBody"/>
        <w:bidi w:val="0"/>
        <w:spacing w:before="200" w:after="0"/>
        <w:jc w:val="both"/>
        <w:rPr>
          <w:rFonts w:ascii="Times New Roman" w:hAnsi="Times New Roman"/>
          <w:b w:val="false"/>
          <w:sz w:val="22"/>
        </w:rPr>
      </w:pPr>
      <w:r>
        <w:rPr>
          <w:rFonts w:ascii="Times New Roman" w:hAnsi="Times New Roman"/>
          <w:b w:val="false"/>
          <w:sz w:val="22"/>
        </w:rPr>
        <w:t>(xx)</w:t>
      </w:r>
    </w:p>
    <w:p>
      <w:pPr>
        <w:pStyle w:val="TextBody"/>
        <w:bidi w:val="0"/>
        <w:spacing w:before="200" w:after="0"/>
        <w:jc w:val="both"/>
        <w:rPr/>
      </w:pPr>
      <w:r>
        <w:rPr>
          <w:rFonts w:ascii="Times New Roman;serif" w:hAnsi="Times New Roman;serif"/>
          <w:b w:val="false"/>
          <w:sz w:val="20"/>
        </w:rPr>
        <w:t xml:space="preserve">other Liens; </w:t>
      </w:r>
      <w:r>
        <w:rPr>
          <w:rFonts w:ascii="Times New Roman;serif" w:hAnsi="Times New Roman;serif"/>
          <w:b w:val="false"/>
          <w:sz w:val="20"/>
          <w:u w:val="single"/>
        </w:rPr>
        <w:t>provided</w:t>
      </w:r>
      <w:r>
        <w:rPr/>
        <w:t xml:space="preserve"> </w:t>
      </w:r>
      <w:r>
        <w:rPr>
          <w:rFonts w:ascii="Times New Roman;serif" w:hAnsi="Times New Roman;serif"/>
          <w:b w:val="false"/>
          <w:sz w:val="20"/>
        </w:rPr>
        <w:t>that at the time of incurrence of the obligations secured thereby (after giving Pro Forma Effect to any such obligations) the aggregate outstanding face amount of obligations secured by Liens existing in reliance on this clause (xx) shall not exceed the greater of $71,000,000 and 50% of Consolidated EBITDA for the Test Period then last ended;</w:t>
      </w:r>
    </w:p>
    <w:p>
      <w:pPr>
        <w:pStyle w:val="TextBody"/>
        <w:bidi w:val="0"/>
        <w:spacing w:before="200" w:after="0"/>
        <w:jc w:val="both"/>
        <w:rPr>
          <w:rFonts w:ascii="Times New Roman" w:hAnsi="Times New Roman"/>
          <w:b w:val="false"/>
          <w:sz w:val="22"/>
        </w:rPr>
      </w:pPr>
      <w:r>
        <w:rPr>
          <w:rFonts w:ascii="Times New Roman" w:hAnsi="Times New Roman"/>
          <w:b w:val="false"/>
          <w:sz w:val="22"/>
        </w:rPr>
        <w:t>(xxi)</w:t>
      </w:r>
    </w:p>
    <w:p>
      <w:pPr>
        <w:pStyle w:val="TextBody"/>
        <w:bidi w:val="0"/>
        <w:spacing w:before="200" w:after="0"/>
        <w:jc w:val="both"/>
        <w:rPr/>
      </w:pPr>
      <w:r>
        <w:rPr>
          <w:rFonts w:ascii="Times New Roman;serif" w:hAnsi="Times New Roman;serif"/>
          <w:b w:val="false"/>
          <w:sz w:val="20"/>
        </w:rPr>
        <w:t xml:space="preserve">Liens on cash and Permitted Investments used to satisfy or discharge Indebtedness; </w:t>
      </w:r>
      <w:r>
        <w:rPr>
          <w:rFonts w:ascii="Times New Roman;serif" w:hAnsi="Times New Roman;serif"/>
          <w:b w:val="false"/>
          <w:sz w:val="20"/>
          <w:u w:val="single"/>
        </w:rPr>
        <w:t>provided</w:t>
      </w:r>
      <w:r>
        <w:rPr/>
        <w:t xml:space="preserve"> </w:t>
      </w:r>
      <w:r>
        <w:rPr>
          <w:rFonts w:ascii="Times New Roman;serif" w:hAnsi="Times New Roman;serif"/>
          <w:b w:val="false"/>
          <w:sz w:val="20"/>
        </w:rPr>
        <w:t>such satisfaction or discharge is permitted hereunder;</w:t>
      </w:r>
    </w:p>
    <w:p>
      <w:pPr>
        <w:pStyle w:val="TextBody"/>
        <w:bidi w:val="0"/>
        <w:spacing w:before="200" w:after="0"/>
        <w:jc w:val="both"/>
        <w:rPr>
          <w:rFonts w:ascii="Times New Roman" w:hAnsi="Times New Roman"/>
          <w:b w:val="false"/>
          <w:sz w:val="22"/>
        </w:rPr>
      </w:pPr>
      <w:r>
        <w:rPr>
          <w:rFonts w:ascii="Times New Roman" w:hAnsi="Times New Roman"/>
          <w:b w:val="false"/>
          <w:sz w:val="22"/>
        </w:rPr>
        <w:t>(xxii)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on receivables and related assets incurred in connection with Permitted Receivables Financings;</w:t>
      </w:r>
    </w:p>
    <w:p>
      <w:pPr>
        <w:pStyle w:val="TextBody"/>
        <w:bidi w:val="0"/>
        <w:spacing w:before="200" w:after="0"/>
        <w:jc w:val="both"/>
        <w:rPr>
          <w:rFonts w:ascii="Times New Roman" w:hAnsi="Times New Roman"/>
          <w:b w:val="false"/>
          <w:sz w:val="22"/>
        </w:rPr>
      </w:pPr>
      <w:r>
        <w:rPr>
          <w:rFonts w:ascii="Times New Roman" w:hAnsi="Times New Roman"/>
          <w:b w:val="false"/>
          <w:sz w:val="22"/>
        </w:rPr>
        <w:t>(xxiii)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receipt of progress payments and advances from customers in the ordinary course of business to the extent the same creates a Lien on the related inventory and proceeds thereof and (B) Liens on specific items of inventory or other goods and proceeds of any Person securing such Person’s obligations in respect of bankers’ acceptances issued or created for the account of such Person to facilitate the purchase, shipment, or storage of such inventory or other goods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(xxiv)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on cash or Permitted Investments securing Swap Agreements in the ordinary course of business in accordance with applicable Requirements of Law;</w:t>
      </w:r>
    </w:p>
    <w:p>
      <w:pPr>
        <w:pStyle w:val="TextBody"/>
        <w:bidi w:val="0"/>
        <w:spacing w:before="200" w:after="0"/>
        <w:jc w:val="both"/>
        <w:rPr>
          <w:rFonts w:ascii="Times New Roman" w:hAnsi="Times New Roman"/>
          <w:b w:val="false"/>
          <w:sz w:val="22"/>
        </w:rPr>
      </w:pPr>
      <w:r>
        <w:rPr>
          <w:rFonts w:ascii="Times New Roman" w:hAnsi="Times New Roman"/>
          <w:b w:val="false"/>
          <w:sz w:val="22"/>
        </w:rPr>
        <w:t>(xxv)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Liens on equipment of the Borrower or any Restricted Subsidiary granted in the ordinary course of business to the Borrower’s or such Restricted Subsidiary’s client at which such equipment is located;</w:t>
      </w:r>
    </w:p>
    <w:p>
      <w:pPr>
        <w:pStyle w:val="TextBody"/>
        <w:bidi w:val="0"/>
        <w:spacing w:before="200" w:after="0"/>
        <w:jc w:val="both"/>
        <w:rPr>
          <w:rFonts w:ascii="Times New Roman" w:hAnsi="Times New Roman"/>
          <w:b w:val="false"/>
          <w:sz w:val="22"/>
        </w:rPr>
      </w:pPr>
      <w:r>
        <w:rPr>
          <w:rFonts w:ascii="Times New Roman" w:hAnsi="Times New Roman"/>
          <w:b w:val="false"/>
          <w:sz w:val="22"/>
        </w:rPr>
        <w:t>(xxvi)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security given to a public utility or any municipality or governmental authority when required by such utility or authority in connection with the operations of such Person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(xxvii)</w:t>
      </w:r>
    </w:p>
    <w:p>
      <w:pPr>
        <w:pStyle w:val="TextBody"/>
        <w:bidi w:val="0"/>
        <w:spacing w:before="200" w:after="283"/>
        <w:jc w:val="both"/>
        <w:rPr/>
      </w:pPr>
      <w:r>
        <w:rPr>
          <w:rFonts w:ascii="Times New Roman;serif" w:hAnsi="Times New Roman;serif"/>
          <w:b w:val="false"/>
          <w:sz w:val="20"/>
        </w:rPr>
        <w:t xml:space="preserve">(A) Liens on Equity Interests in joint ventures; </w:t>
      </w:r>
      <w:r>
        <w:rPr>
          <w:rFonts w:ascii="Times New Roman;serif" w:hAnsi="Times New Roman;serif"/>
          <w:b w:val="false"/>
          <w:sz w:val="20"/>
          <w:u w:val="single"/>
        </w:rPr>
        <w:t>provided</w:t>
      </w:r>
      <w:r>
        <w:rPr/>
        <w:t xml:space="preserve"> </w:t>
      </w:r>
      <w:r>
        <w:rPr>
          <w:rFonts w:ascii="Times New Roman;serif" w:hAnsi="Times New Roman;serif"/>
          <w:b w:val="false"/>
          <w:sz w:val="20"/>
        </w:rPr>
        <w:t>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the Borrower or any Restricted Subsidiary in joint ventures;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(xxviii)</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with respect to any Mortgaged Property, the matters listed as exceptions to title on Schedule B of the title policy covering such Mortgaged Property and the matters disclosed in any survey delivered to the Collateral Agent with respect to such Mortgaged Property.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purposes of determining compliance with this </w:t>
      </w:r>
      <w:r>
        <w:rPr>
          <w:rFonts w:ascii="Times New Roman;serif" w:hAnsi="Times New Roman;serif"/>
          <w:b w:val="false"/>
          <w:sz w:val="20"/>
          <w:u w:val="single"/>
        </w:rPr>
        <w:t>Section 6.02</w:t>
      </w:r>
      <w:r>
        <w:rPr>
          <w:rFonts w:ascii="Times New Roman;serif" w:hAnsi="Times New Roman;serif"/>
          <w:b w:val="false"/>
          <w:sz w:val="20"/>
        </w:rPr>
        <w:t>, in the event that any Lien meets the criteria of more than one of the categories of Liens described in clauses (i) through (xxviii) above, the Borrower shall, in its sole discretion, classify and reclassify or later divide, classify or reclassify such Lien (or any portion thereof) and will only be required to include the amount and type of such Lien in one or more of the above clauses.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6.03 </w:t>
      </w:r>
      <w:r>
        <w:rPr>
          <w:rFonts w:ascii="Times New Roman;serif" w:hAnsi="Times New Roman;serif"/>
          <w:b w:val="false"/>
          <w:sz w:val="20"/>
          <w:u w:val="single"/>
        </w:rPr>
        <w:t>Fundamental Changes; Holding Companies</w:t>
      </w:r>
      <w:r>
        <w:rPr>
          <w:rFonts w:ascii="Times New Roman;serif" w:hAnsi="Times New Roman;serif"/>
          <w:b w:val="false"/>
          <w:sz w:val="20"/>
        </w:rPr>
        <w:t>. Neither Holdings nor the Borrower will, nor will they permit any Restricted Subsidiary to, merge into or consolidate or amalgamate with any other Person, or permit any other Person to merge into or consolidate with it, or liquidate or dissolve (including, in each case, pursuant to a Division), except that: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any Restricted Subsidiary (other than the Borrower) may merge, consolidate or amalgamate with (i) the Borrower;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Borrower shall be the continuing or surviving Person or (ii) one or more other Restricted Subsidiaries of Holdings (other than the Borrower);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when any Subsidiary Loan Party is merging or amalgamating with another Restricted Subsidiary either (A) the continuing or surviving Person shall be a Subsidiary Loan Party or (B) if the continuing or surviving Person is not a Subsidiary Loan Party, the acquisition of such Subsidiary Loan Party by such surviving Restricted Subsidiary is permitted under </w:t>
      </w:r>
      <w:r>
        <w:rPr>
          <w:rFonts w:ascii="Times New Roman;serif" w:hAnsi="Times New Roman;serif"/>
          <w:b w:val="false"/>
          <w:sz w:val="20"/>
          <w:u w:val="single"/>
        </w:rPr>
        <w:t>Section 6.04</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Restricted Subsidiary (other than the Borrower) may liquidate or dissolve or change its legal form if the Borrower determines in good faith that such action is in the best interests of Holdings, the Borrower and the Restricted Subsidiaries and is not materially disadvantageous to the Lenders;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any Restricted Subsidiary (other than the Borrower) may make a Disposition of all or substantially all of its assets (upon voluntary liquidation or otherwise) to another Restricted Subsidiary;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the transferor in such a transaction is a Loan Party, then either (A) the transferee must be a Loan Party, (B) to the extent constituting an Investment, such Investment must be an Investment in a Restricted Subsidiary that is not a Loan Party permitted by </w:t>
      </w:r>
      <w:r>
        <w:rPr>
          <w:rFonts w:ascii="Times New Roman;serif" w:hAnsi="Times New Roman;serif"/>
          <w:b w:val="false"/>
          <w:sz w:val="20"/>
          <w:u w:val="single"/>
        </w:rPr>
        <w:t>Section 6.04</w:t>
      </w:r>
      <w:r>
        <w:rPr/>
        <w:t xml:space="preserve"> </w:t>
      </w:r>
      <w:r>
        <w:rPr>
          <w:rFonts w:ascii="Times New Roman;serif" w:hAnsi="Times New Roman;serif"/>
          <w:b w:val="false"/>
          <w:sz w:val="20"/>
        </w:rPr>
        <w:t xml:space="preserve">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Times New Roman;serif" w:hAnsi="Times New Roman;serif"/>
          <w:b w:val="false"/>
          <w:sz w:val="20"/>
          <w:u w:val="single"/>
        </w:rPr>
        <w:t>Section 6.04</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rPr>
        <w:t xml:space="preserve">the Borrower may merge, amalgamate or consolidate with any other Person; </w:t>
      </w:r>
      <w:r>
        <w:rPr>
          <w:rFonts w:ascii="Times New Roman;serif" w:hAnsi="Times New Roman;serif"/>
          <w:b w:val="false"/>
          <w:sz w:val="20"/>
          <w:u w:val="single"/>
        </w:rPr>
        <w:t>provided</w:t>
      </w:r>
      <w:r>
        <w:rPr/>
        <w:t xml:space="preserve"> </w:t>
      </w:r>
      <w:r>
        <w:rPr>
          <w:rFonts w:ascii="Times New Roman;serif" w:hAnsi="Times New Roman;serif"/>
          <w:b w:val="false"/>
          <w:sz w:val="20"/>
        </w:rPr>
        <w:t>that (A) the Borrower shall be the continuing or surviving Person or (B) if the Person formed by or surviving any such merger, amalgamation or consolidation is not the Borrower (any such Person, the “</w:t>
      </w:r>
      <w:r>
        <w:rPr>
          <w:rFonts w:ascii="Times New Roman;serif" w:hAnsi="Times New Roman;serif"/>
          <w:b w:val="false"/>
          <w:sz w:val="20"/>
          <w:u w:val="single"/>
        </w:rPr>
        <w:t>Successor</w:t>
      </w:r>
      <w:r>
        <w:rPr/>
        <w:t xml:space="preserve"> </w:t>
      </w:r>
      <w:r>
        <w:rPr>
          <w:rFonts w:ascii="Times New Roman;serif" w:hAnsi="Times New Roman;serif"/>
          <w:b w:val="false"/>
          <w:sz w:val="20"/>
          <w:u w:val="single"/>
        </w:rPr>
        <w:t>Borrower</w:t>
      </w:r>
      <w:r>
        <w:rPr/>
        <w:t>”</w:t>
      </w:r>
      <w:r>
        <w:rPr>
          <w:rFonts w:ascii="Times New Roman;serif" w:hAnsi="Times New Roman;serif"/>
          <w:b w:val="false"/>
          <w:sz w:val="20"/>
        </w:rPr>
        <w:t xml:space="preserve">), (1) a Successor Borrower shall be an entity organized or existing under the laws of the United States or any political subdivision thereof, (2) a Successor Borrower shall expressly assume all the obligations of the Borrower under this Agreement and the other Loan Documents to which the Borrower is a party pursuant to a supplement hereto or thereto in form and substance reasonably satisfactory to the Administrative Agent, (3) each Loan Party other than the Borrower, unless it is the other party to such merger or consolidation, amalgamation or consolidation, shall have reaffirmed, pursuant to an agreement in form and substance reasonably satisfactory to the Administrative Agent, that its Guarantee of, and grant of any Liens as security for, the Secured Obligations shall apply to a Successor Borrower’s obligations under this Agreement, (4) the Borrower shall have delivered to the Administrative Agent a certificate of a Responsible Officer and an opinion of counsel, each stating that such merger, amalgamation or consolidation complies with this Agreement and (5) Holdings may not merge, amalgamate or consolidate with any Subsidiary Loan Party if any Permitted Holdings Debt is then outstanding unless the Interest Coverage Ratio is greater than or equal to 2.00 to 1.00 on a Pro Forma Basis; </w:t>
      </w:r>
      <w:r>
        <w:rPr>
          <w:rFonts w:ascii="Times New Roman;serif" w:hAnsi="Times New Roman;serif"/>
          <w:b w:val="false"/>
          <w:sz w:val="20"/>
          <w:u w:val="single"/>
        </w:rPr>
        <w:t>provided, further</w:t>
      </w:r>
      <w:r>
        <w:rPr>
          <w:rFonts w:ascii="Times New Roman;serif" w:hAnsi="Times New Roman;serif"/>
          <w:b w:val="false"/>
          <w:sz w:val="20"/>
        </w:rPr>
        <w:t xml:space="preserve">, that (x) if such Person is not a Loan Party, no Event of Default exists after giving effect to such merger or consolidation and (y) if the foregoing requirements are satisfied, a Successor Borrower will succeed to, and be substituted for, the Borrower under this Agreement and the other Loan Documents;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the Borrower agrees to provide any documentation and other information about such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 and the Beneficial Ownership Regulation;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pPr>
      <w:r>
        <w:rPr>
          <w:rFonts w:ascii="Times New Roman;serif" w:hAnsi="Times New Roman;serif"/>
          <w:b w:val="false"/>
          <w:sz w:val="20"/>
        </w:rPr>
        <w:t xml:space="preserve">Holdings may merge, amalgamate or consolidate with any other Person, so long as no Event of Default exists after giving effect to such merger, amalgamation or consolidation; </w:t>
      </w:r>
      <w:r>
        <w:rPr>
          <w:rFonts w:ascii="Times New Roman;serif" w:hAnsi="Times New Roman;serif"/>
          <w:b w:val="false"/>
          <w:sz w:val="20"/>
          <w:u w:val="single"/>
        </w:rPr>
        <w:t>provided</w:t>
      </w:r>
      <w:r>
        <w:rPr/>
        <w:t xml:space="preserve"> </w:t>
      </w:r>
      <w:r>
        <w:rPr>
          <w:rFonts w:ascii="Times New Roman;serif" w:hAnsi="Times New Roman;serif"/>
          <w:b w:val="false"/>
          <w:sz w:val="20"/>
        </w:rPr>
        <w:t>that (A) Holdings shall be the continuing or surviving Person or (B) if the Person formed by or surviving any such merger, amalgamation or consolidation is not Holdings, or is a Person into which Holdings has been liquidated (any such Person, the “</w:t>
      </w:r>
      <w:r>
        <w:rPr>
          <w:rFonts w:ascii="Times New Roman;serif" w:hAnsi="Times New Roman;serif"/>
          <w:b w:val="false"/>
          <w:sz w:val="20"/>
          <w:u w:val="single"/>
        </w:rPr>
        <w:t>Successor Holdings</w:t>
      </w:r>
      <w:r>
        <w:rPr/>
        <w:t>”</w:t>
      </w:r>
      <w:r>
        <w:rPr>
          <w:rFonts w:ascii="Times New Roman;serif" w:hAnsi="Times New Roman;serif"/>
          <w:b w:val="false"/>
          <w:sz w:val="20"/>
        </w:rPr>
        <w:t xml:space="preserve">), (1) the Successor Holdings shall expressly assume all the obligations of Holdings under this Agreement and the other Loan Documents to which Holdings is a party pursuant to a supplement hereto or thereto in form and substance reasonably satisfactory to the Administrative Agent, (2) each Loan Party other than Holdings or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(3) the Successor Holdings shall, immediately following such merger, amalgamation or consolidation, directly or indirectly own all Subsidiaries owned by Holdings immediately prior to such transaction and (4) Holdings shall have delivered to the Administrative Agent a certificate of a Responsible Officer and an opinion of counsel, each stating that such merger or consolidation complies with this Agreement;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if the foregoing requirements are satisfied, the Successor Holdings will succeed to, and be substituted for, Holdings under this Agreement and the other Loan Documents;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Holdings and the Borrower agree to provide any documentation and other information about the Successor Holdings as shall have been reasonably requested in writing by any the Lender through the Administrative Agent that such Lender shall have reasonably determined is required by regulatory authorities under applicable “know your customer” and anti-money laundering rules and regulations, including Title III of the USA Patriot Act and the Beneficial Ownership Regulation; </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pPr>
      <w:r>
        <w:rPr>
          <w:rFonts w:ascii="Times New Roman;serif" w:hAnsi="Times New Roman;serif"/>
          <w:b w:val="false"/>
          <w:sz w:val="20"/>
        </w:rPr>
        <w:t xml:space="preserve">any Restricted Subsidiary (other than the Borrower) may merge, consolidate or amalgamate with any other Person in order to effect an Investment permitted pursuant to </w:t>
      </w:r>
      <w:r>
        <w:rPr>
          <w:rFonts w:ascii="Times New Roman;serif" w:hAnsi="Times New Roman;serif"/>
          <w:b w:val="false"/>
          <w:sz w:val="20"/>
          <w:u w:val="single"/>
        </w:rPr>
        <w:t>Section 6.04</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continuing or surviving Person shall be a Restricted Subsidiary, which together with each of the Restricted Subsidiaries, shall have complied with the requirements of </w:t>
      </w:r>
      <w:r>
        <w:rPr>
          <w:rFonts w:ascii="Times New Roman;serif" w:hAnsi="Times New Roman;serif"/>
          <w:b w:val="false"/>
          <w:sz w:val="20"/>
          <w:u w:val="single"/>
        </w:rPr>
        <w:t>Sections 5.11</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5.12</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and the Restricted Subsidiaries may consummate the Transactions;</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pPr>
      <w:r>
        <w:rPr>
          <w:rFonts w:ascii="Times New Roman;serif" w:hAnsi="Times New Roman;serif"/>
          <w:b w:val="false"/>
          <w:sz w:val="20"/>
        </w:rPr>
        <w:t xml:space="preserve">any Restricted Subsidiary (other than the Borrower) may effect a merger, dissolution, liquidation consolidation or amalgamation to effect a Disposition permitted pursuant to </w:t>
      </w:r>
      <w:r>
        <w:rPr>
          <w:rFonts w:ascii="Times New Roman;serif" w:hAnsi="Times New Roman;serif"/>
          <w:b w:val="false"/>
          <w:sz w:val="20"/>
          <w:u w:val="single"/>
        </w:rPr>
        <w:t>Section 6.05</w:t>
      </w:r>
      <w:r>
        <w:rPr>
          <w:rFonts w:ascii="Times New Roman;serif" w:hAnsi="Times New Roman;serif"/>
          <w:b w:val="false"/>
          <w:sz w:val="20"/>
        </w:rPr>
        <w:t>; and</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Holdings, the Borrower and its Subsidiaries may undertake or consummate any IPO Reorganization Transactions and any transaction related thereto or contemplated thereby.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6.04 </w:t>
      </w:r>
      <w:r>
        <w:rPr>
          <w:rFonts w:ascii="Times New Roman;serif" w:hAnsi="Times New Roman;serif"/>
          <w:b w:val="false"/>
          <w:sz w:val="20"/>
          <w:u w:val="single"/>
        </w:rPr>
        <w:t>Investments, Loans, Advances, Guarantees and Acquisitions</w:t>
      </w:r>
      <w:r>
        <w:rPr>
          <w:rFonts w:ascii="Times New Roman;serif" w:hAnsi="Times New Roman;serif"/>
          <w:b w:val="false"/>
          <w:sz w:val="20"/>
        </w:rPr>
        <w:t>. Neither Holdings nor the Borrower will, nor will they permit any Restricted Subsidiary to, make or hold any Investment, except: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Permitted Investments at the time such Permitted Investment is made;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loans or advances to officers, directors and employees of Holdings, the Borrower and the Restricted Subsidiaries (i) for reasonable and customary business-related travel, entertainment, relocation and analogous ordinary business purposes, (ii) in connection with such Person’s purchase of Equity Interests in Holdings (or any direct or indirect parent thereof)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amount of such loans and advances made in cash to such Person shall be contributed to Holdings or the Borrower in cash as common equity or Qualified Equity Interests) and (iii) for purposes not described in the foregoing clauses (i) and (ii); </w:t>
      </w:r>
      <w:r>
        <w:rPr>
          <w:rFonts w:ascii="Times New Roman;serif" w:hAnsi="Times New Roman;serif"/>
          <w:b w:val="false"/>
          <w:sz w:val="20"/>
          <w:u w:val="single"/>
        </w:rPr>
        <w:t>provided</w:t>
      </w:r>
      <w:r>
        <w:rPr/>
        <w:t xml:space="preserve"> </w:t>
      </w:r>
      <w:r>
        <w:rPr>
          <w:rFonts w:ascii="Times New Roman;serif" w:hAnsi="Times New Roman;serif"/>
          <w:b w:val="false"/>
          <w:sz w:val="20"/>
        </w:rPr>
        <w:t>that at the time of incurrence thereof and after giving Pro Forma Effect thereto, the aggregate principal amount outstanding in reliance on this clause (iii) shall not exceed the greater of $7,500,000 and 5% of Consolidated EBITDA for the most recently ended Test Period as of such time;</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Investments by Holdings, the Borrower or any Restricted Subsidiary in any of Holdings, the Borrower or any Restricted Subsidiary;</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Investments consisting of prepayments to suppliers in the ordinary course of business;</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Investments consisting of extensions of trade credit in the ordinary course of business;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pPr>
      <w:r>
        <w:rPr>
          <w:rFonts w:ascii="Times New Roman;serif" w:hAnsi="Times New Roman;serif"/>
          <w:b w:val="false"/>
          <w:sz w:val="20"/>
        </w:rPr>
        <w:t xml:space="preserve">Investments (i) existing or contemplated on the date hereof and set forth on </w:t>
      </w:r>
      <w:r>
        <w:rPr>
          <w:rFonts w:ascii="Times New Roman;serif" w:hAnsi="Times New Roman;serif"/>
          <w:b w:val="false"/>
          <w:sz w:val="20"/>
          <w:u w:val="single"/>
        </w:rPr>
        <w:t>Schedule</w:t>
      </w:r>
      <w:r>
        <w:rPr/>
        <w:t xml:space="preserve"> </w:t>
      </w:r>
      <w:r>
        <w:rPr>
          <w:rFonts w:ascii="Times New Roman;serif" w:hAnsi="Times New Roman;serif"/>
          <w:b w:val="false"/>
          <w:sz w:val="20"/>
          <w:u w:val="single"/>
        </w:rPr>
        <w:t>6.04(f)</w:t>
      </w:r>
      <w:r>
        <w:rPr/>
        <w:t xml:space="preserve"> </w:t>
      </w:r>
      <w:r>
        <w:rPr>
          <w:rFonts w:ascii="Times New Roman;serif" w:hAnsi="Times New Roman;serif"/>
          <w:b w:val="false"/>
          <w:sz w:val="20"/>
        </w:rPr>
        <w:t xml:space="preserve">and any modification, replacement, renewal, reinvestment or extension thereof and (ii) Investments existing on the date hereof by Holdings, the Borrower or any Restricted Subsidiary in Holdings, the Borrower or any Restricted Subsidiary and any modification, renewal or extension thereof;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amount of the original Investment is not increased except by the terms of such Investment to the extent as set forth on </w:t>
      </w:r>
      <w:r>
        <w:rPr>
          <w:rFonts w:ascii="Times New Roman;serif" w:hAnsi="Times New Roman;serif"/>
          <w:b w:val="false"/>
          <w:sz w:val="20"/>
          <w:u w:val="single"/>
        </w:rPr>
        <w:t>Schedule 6.04(f)</w:t>
      </w:r>
      <w:r>
        <w:rPr/>
        <w:t xml:space="preserve"> </w:t>
      </w:r>
      <w:r>
        <w:rPr>
          <w:rFonts w:ascii="Times New Roman;serif" w:hAnsi="Times New Roman;serif"/>
          <w:b w:val="false"/>
          <w:sz w:val="20"/>
        </w:rPr>
        <w:t xml:space="preserve">or as otherwise permitted by this </w:t>
      </w:r>
      <w:r>
        <w:rPr>
          <w:rFonts w:ascii="Times New Roman;serif" w:hAnsi="Times New Roman;serif"/>
          <w:b w:val="false"/>
          <w:sz w:val="20"/>
          <w:u w:val="single"/>
        </w:rPr>
        <w:t>Section 6.04</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0"/>
        <w:jc w:val="both"/>
        <w:rPr/>
      </w:pPr>
      <w:r>
        <w:rPr>
          <w:rFonts w:ascii="Times New Roman;serif" w:hAnsi="Times New Roman;serif"/>
          <w:b w:val="false"/>
          <w:sz w:val="20"/>
        </w:rPr>
        <w:t xml:space="preserve">Investments in Swap Agreements permitted under </w:t>
      </w:r>
      <w:r>
        <w:rPr>
          <w:rFonts w:ascii="Times New Roman;serif" w:hAnsi="Times New Roman;serif"/>
          <w:b w:val="false"/>
          <w:sz w:val="20"/>
          <w:u w:val="single"/>
        </w:rPr>
        <w:t>Section 6.01</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pPr>
      <w:r>
        <w:rPr>
          <w:rFonts w:ascii="Times New Roman;serif" w:hAnsi="Times New Roman;serif"/>
          <w:b w:val="false"/>
          <w:sz w:val="20"/>
        </w:rPr>
        <w:t xml:space="preserve">promissory notes and other non-cash consideration received in connection with Dispositions permitted by </w:t>
      </w:r>
      <w:r>
        <w:rPr>
          <w:rFonts w:ascii="Times New Roman;serif" w:hAnsi="Times New Roman;serif"/>
          <w:b w:val="false"/>
          <w:sz w:val="20"/>
          <w:u w:val="single"/>
        </w:rPr>
        <w:t>Section 6.05</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Permitted Acquisitions;</w:t>
      </w:r>
    </w:p>
    <w:p>
      <w:pPr>
        <w:pStyle w:val="TextBody"/>
        <w:bidi w:val="0"/>
        <w:spacing w:before="200" w:after="0"/>
        <w:jc w:val="both"/>
        <w:rPr>
          <w:rFonts w:ascii="Times New Roman" w:hAnsi="Times New Roman"/>
          <w:b w:val="false"/>
          <w:sz w:val="20"/>
        </w:rPr>
      </w:pPr>
      <w:r>
        <w:rPr>
          <w:rFonts w:ascii="Times New Roman" w:hAnsi="Times New Roman"/>
          <w:b w:val="false"/>
          <w:sz w:val="20"/>
        </w:rPr>
        <w:t>(j)</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Transactions;</w:t>
      </w:r>
    </w:p>
    <w:p>
      <w:pPr>
        <w:pStyle w:val="TextBody"/>
        <w:bidi w:val="0"/>
        <w:spacing w:before="200" w:after="0"/>
        <w:jc w:val="both"/>
        <w:rPr>
          <w:rFonts w:ascii="Times New Roman" w:hAnsi="Times New Roman"/>
          <w:b w:val="false"/>
          <w:sz w:val="20"/>
        </w:rPr>
      </w:pPr>
      <w:r>
        <w:rPr>
          <w:rFonts w:ascii="Times New Roman" w:hAnsi="Times New Roman"/>
          <w:b w:val="false"/>
          <w:sz w:val="20"/>
        </w:rPr>
        <w:t>(k)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Investments in the ordinary course of business consisting of endorsements for collection or deposit and customary trade arrangements with customers consistent with past practices;</w:t>
      </w:r>
    </w:p>
    <w:p>
      <w:pPr>
        <w:pStyle w:val="TextBody"/>
        <w:bidi w:val="0"/>
        <w:spacing w:before="200" w:after="0"/>
        <w:jc w:val="both"/>
        <w:rPr>
          <w:rFonts w:ascii="Times New Roman" w:hAnsi="Times New Roman"/>
          <w:b w:val="false"/>
          <w:sz w:val="20"/>
        </w:rPr>
      </w:pPr>
      <w:r>
        <w:rPr>
          <w:rFonts w:ascii="Times New Roman" w:hAnsi="Times New Roman"/>
          <w:b w:val="false"/>
          <w:sz w:val="20"/>
        </w:rPr>
        <w:t>(l)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Investments (including debt obligations and Equity Interests)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200" w:after="0"/>
        <w:jc w:val="both"/>
        <w:rPr>
          <w:rFonts w:ascii="Times New Roman" w:hAnsi="Times New Roman"/>
          <w:b w:val="false"/>
          <w:sz w:val="20"/>
        </w:rPr>
      </w:pPr>
      <w:r>
        <w:rPr>
          <w:rFonts w:ascii="Times New Roman" w:hAnsi="Times New Roman"/>
          <w:b w:val="false"/>
          <w:sz w:val="20"/>
        </w:rPr>
        <w:t>(m)</w:t>
      </w:r>
    </w:p>
    <w:p>
      <w:pPr>
        <w:pStyle w:val="TextBody"/>
        <w:bidi w:val="0"/>
        <w:spacing w:before="200" w:after="0"/>
        <w:jc w:val="both"/>
        <w:rPr/>
      </w:pPr>
      <w:r>
        <w:rPr>
          <w:rFonts w:ascii="Times New Roman;serif" w:hAnsi="Times New Roman;serif"/>
          <w:b w:val="false"/>
          <w:sz w:val="20"/>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parent) in accordance with </w:t>
      </w:r>
      <w:r>
        <w:rPr>
          <w:rFonts w:ascii="Times New Roman;serif" w:hAnsi="Times New Roman;serif"/>
          <w:b w:val="false"/>
          <w:sz w:val="20"/>
          <w:u w:val="single"/>
        </w:rPr>
        <w:t>Section 6.08(a)</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(n)</w:t>
      </w:r>
    </w:p>
    <w:p>
      <w:pPr>
        <w:pStyle w:val="TextBody"/>
        <w:bidi w:val="0"/>
        <w:spacing w:before="200" w:after="0"/>
        <w:jc w:val="both"/>
        <w:rPr/>
      </w:pPr>
      <w:r>
        <w:rPr>
          <w:rFonts w:ascii="Times New Roman;serif" w:hAnsi="Times New Roman;serif"/>
          <w:b w:val="false"/>
          <w:sz w:val="20"/>
        </w:rPr>
        <w:t xml:space="preserve">other Investments and other acquisitions (i) so long as, at the time any such Investment or other acquisition is made, the aggregate outstanding amount of all Investments made in reliance on this clause (i) together with the aggregate amount of all consideration paid in connection with all other acquisitions made in reliance on this clause (i) (including the aggregate principal amount of all Indebtedness assumed in connection with any such other acquisition), shall not exceed the greater of $71,000,000 and 50% of Consolidated EBITDA for the most recently ended Test Period after giving Pro Forma Effect to the making of such Investment or other acquisition, (ii) so long as immediately after giving effect to any such Investment no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has occurred and is continuing, in an amount not to exceed the Available Amount that is Not Otherwise Applied as in effect immediately prior to the time of making of such Investment, (iii) in an amount not to exceed the Available Equity Amount that is Not Otherwise Applied as in effect immediately prior to the time of making of such Investment and (iv) in an amount not to exceed the Available RP Capacity Amount;</w:t>
      </w:r>
    </w:p>
    <w:p>
      <w:pPr>
        <w:pStyle w:val="TextBody"/>
        <w:bidi w:val="0"/>
        <w:spacing w:before="200" w:after="0"/>
        <w:jc w:val="both"/>
        <w:rPr>
          <w:rFonts w:ascii="Times New Roman" w:hAnsi="Times New Roman"/>
          <w:b w:val="false"/>
          <w:sz w:val="20"/>
        </w:rPr>
      </w:pPr>
      <w:r>
        <w:rPr>
          <w:rFonts w:ascii="Times New Roman" w:hAnsi="Times New Roman"/>
          <w:b w:val="false"/>
          <w:sz w:val="20"/>
        </w:rPr>
        <w:t>(o)</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and its Subsidiaries may undertake or consummate any IPO Reorganization Transaction and transactions relating thereto or contemplated thereby.</w:t>
      </w:r>
    </w:p>
    <w:p>
      <w:pPr>
        <w:pStyle w:val="TextBody"/>
        <w:bidi w:val="0"/>
        <w:spacing w:before="200" w:after="0"/>
        <w:jc w:val="both"/>
        <w:rPr>
          <w:rFonts w:ascii="Times New Roman" w:hAnsi="Times New Roman"/>
          <w:b w:val="false"/>
          <w:sz w:val="20"/>
        </w:rPr>
      </w:pPr>
      <w:r>
        <w:rPr>
          <w:rFonts w:ascii="Times New Roman" w:hAnsi="Times New Roman"/>
          <w:b w:val="false"/>
          <w:sz w:val="20"/>
        </w:rPr>
        <w:t>(p)</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advances of payroll payments to employees in the ordinary course of business;</w:t>
      </w:r>
    </w:p>
    <w:p>
      <w:pPr>
        <w:pStyle w:val="TextBody"/>
        <w:bidi w:val="0"/>
        <w:spacing w:before="200" w:after="0"/>
        <w:jc w:val="both"/>
        <w:rPr>
          <w:rFonts w:ascii="Times New Roman" w:hAnsi="Times New Roman"/>
          <w:b w:val="false"/>
          <w:sz w:val="20"/>
        </w:rPr>
      </w:pPr>
      <w:r>
        <w:rPr>
          <w:rFonts w:ascii="Times New Roman" w:hAnsi="Times New Roman"/>
          <w:b w:val="false"/>
          <w:sz w:val="20"/>
        </w:rPr>
        <w:t>(q)</w:t>
      </w:r>
    </w:p>
    <w:p>
      <w:pPr>
        <w:pStyle w:val="TextBody"/>
        <w:bidi w:val="0"/>
        <w:spacing w:before="200" w:after="283"/>
        <w:jc w:val="both"/>
        <w:rPr/>
      </w:pPr>
      <w:r>
        <w:rPr>
          <w:rFonts w:ascii="Times New Roman;serif" w:hAnsi="Times New Roman;serif"/>
          <w:b w:val="false"/>
          <w:sz w:val="20"/>
        </w:rPr>
        <w:t xml:space="preserve">Investments and other acquisitions to the extent that payment for such Investments is made with Qualified Equity Interests (excluding Cure Amounts) of Holdings (or any direct or indirect parent thereof or the IPO Entity);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such amounts used pursuant to this clause (q) shall not increase the Available Equity Amount or be applied to increase any other basket hereunder and (ii) any amounts used for such an Investment or other acquisition that are not Qualified Equity Interests of Holdings (or any direct or indirect parent thereof or the IPO Entity) shall otherwise be permitted pursuant to this </w:t>
      </w:r>
      <w:r>
        <w:rPr>
          <w:rFonts w:ascii="Times New Roman;serif" w:hAnsi="Times New Roman;serif"/>
          <w:b w:val="false"/>
          <w:sz w:val="20"/>
          <w:u w:val="single"/>
        </w:rPr>
        <w:t>Section 6.04</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(r)</w:t>
      </w:r>
    </w:p>
    <w:p>
      <w:pPr>
        <w:pStyle w:val="TextBody"/>
        <w:bidi w:val="0"/>
        <w:spacing w:before="200" w:after="0"/>
        <w:jc w:val="both"/>
        <w:rPr/>
      </w:pPr>
      <w:r>
        <w:rPr>
          <w:rFonts w:ascii="Times New Roman;serif" w:hAnsi="Times New Roman;serif"/>
          <w:b w:val="false"/>
          <w:sz w:val="20"/>
        </w:rPr>
        <w:t xml:space="preserve">Investments of a Subsidiary acquired after the Effective Date or of a Person merged or consolidated with any Subsidiary in accordance with this Section and </w:t>
      </w:r>
      <w:r>
        <w:rPr>
          <w:rFonts w:ascii="Times New Roman;serif" w:hAnsi="Times New Roman;serif"/>
          <w:b w:val="false"/>
          <w:sz w:val="20"/>
          <w:u w:val="single"/>
        </w:rPr>
        <w:t>Section 6.03</w:t>
      </w:r>
      <w:r>
        <w:rPr/>
        <w:t xml:space="preserve"> </w:t>
      </w:r>
      <w:r>
        <w:rPr>
          <w:rFonts w:ascii="Times New Roman;serif" w:hAnsi="Times New Roman;serif"/>
          <w:b w:val="false"/>
          <w:sz w:val="20"/>
        </w:rPr>
        <w:t>after the Effective Date to the extent that such Investments were not made in contemplation of or in connection with such acquisition, merger or consolidation and were in existence on the date of such acquisition, merger or consolidation;</w:t>
      </w:r>
    </w:p>
    <w:p>
      <w:pPr>
        <w:pStyle w:val="TextBody"/>
        <w:bidi w:val="0"/>
        <w:spacing w:before="200" w:after="0"/>
        <w:jc w:val="both"/>
        <w:rPr>
          <w:rFonts w:ascii="Times New Roman" w:hAnsi="Times New Roman"/>
          <w:b w:val="false"/>
          <w:sz w:val="20"/>
        </w:rPr>
      </w:pPr>
      <w:r>
        <w:rPr>
          <w:rFonts w:ascii="Times New Roman" w:hAnsi="Times New Roman"/>
          <w:b w:val="false"/>
          <w:sz w:val="20"/>
        </w:rPr>
        <w:t>(s)</w:t>
      </w:r>
    </w:p>
    <w:p>
      <w:pPr>
        <w:pStyle w:val="TextBody"/>
        <w:bidi w:val="0"/>
        <w:spacing w:before="200" w:after="0"/>
        <w:jc w:val="both"/>
        <w:rPr/>
      </w:pPr>
      <w:r>
        <w:rPr>
          <w:rFonts w:ascii="Times New Roman;serif" w:hAnsi="Times New Roman;serif"/>
          <w:b w:val="false"/>
          <w:sz w:val="20"/>
        </w:rPr>
        <w:t xml:space="preserve">non-cash Investments in connection with tax planning and reorganization activities; </w:t>
      </w:r>
      <w:r>
        <w:rPr>
          <w:rFonts w:ascii="Times New Roman;serif" w:hAnsi="Times New Roman;serif"/>
          <w:b w:val="false"/>
          <w:sz w:val="20"/>
          <w:u w:val="single"/>
        </w:rPr>
        <w:t>provided</w:t>
      </w:r>
      <w:r>
        <w:rPr/>
        <w:t xml:space="preserve"> </w:t>
      </w:r>
      <w:r>
        <w:rPr>
          <w:rFonts w:ascii="Times New Roman;serif" w:hAnsi="Times New Roman;serif"/>
          <w:b w:val="false"/>
          <w:sz w:val="20"/>
        </w:rPr>
        <w:t>that after giving effect to any such activities, the security interests of the Lenders in the Collateral, taken as a whole, would not be materially impaired;</w:t>
      </w:r>
    </w:p>
    <w:p>
      <w:pPr>
        <w:pStyle w:val="TextBody"/>
        <w:bidi w:val="0"/>
        <w:spacing w:before="200" w:after="0"/>
        <w:jc w:val="both"/>
        <w:rPr>
          <w:rFonts w:ascii="Times New Roman" w:hAnsi="Times New Roman"/>
          <w:b w:val="false"/>
          <w:sz w:val="20"/>
        </w:rPr>
      </w:pPr>
      <w:r>
        <w:rPr>
          <w:rFonts w:ascii="Times New Roman" w:hAnsi="Times New Roman"/>
          <w:b w:val="false"/>
          <w:sz w:val="20"/>
        </w:rPr>
        <w:t>(t)</w:t>
      </w:r>
    </w:p>
    <w:p>
      <w:pPr>
        <w:pStyle w:val="TextBody"/>
        <w:bidi w:val="0"/>
        <w:spacing w:before="200" w:after="0"/>
        <w:jc w:val="both"/>
        <w:rPr/>
      </w:pPr>
      <w:r>
        <w:rPr>
          <w:rFonts w:ascii="Times New Roman;serif" w:hAnsi="Times New Roman;serif"/>
          <w:b w:val="false"/>
          <w:sz w:val="20"/>
        </w:rPr>
        <w:t xml:space="preserve">Investments consisting of Liens, Indebtedness, fundamental changes, Dispositions and Restricted Payments permitted (other than by reference to this </w:t>
      </w:r>
      <w:r>
        <w:rPr>
          <w:rFonts w:ascii="Times New Roman;serif" w:hAnsi="Times New Roman;serif"/>
          <w:b w:val="false"/>
          <w:sz w:val="20"/>
          <w:u w:val="single"/>
        </w:rPr>
        <w:t>Section 6.04(t)</w:t>
      </w:r>
      <w:r>
        <w:rPr>
          <w:rFonts w:ascii="Times New Roman;serif" w:hAnsi="Times New Roman;serif"/>
          <w:b w:val="false"/>
          <w:sz w:val="20"/>
        </w:rPr>
        <w:t xml:space="preserve">) under </w:t>
      </w:r>
      <w:r>
        <w:rPr>
          <w:rFonts w:ascii="Times New Roman;serif" w:hAnsi="Times New Roman;serif"/>
          <w:b w:val="false"/>
          <w:sz w:val="20"/>
          <w:u w:val="single"/>
        </w:rPr>
        <w:t>Section 6.01</w:t>
      </w:r>
      <w:r>
        <w:rPr>
          <w:rFonts w:ascii="Times New Roman;serif" w:hAnsi="Times New Roman;serif"/>
          <w:b w:val="false"/>
          <w:sz w:val="20"/>
        </w:rPr>
        <w:t xml:space="preserve">, </w:t>
      </w:r>
      <w:r>
        <w:rPr>
          <w:rFonts w:ascii="Times New Roman;serif" w:hAnsi="Times New Roman;serif"/>
          <w:b w:val="false"/>
          <w:sz w:val="20"/>
          <w:u w:val="single"/>
        </w:rPr>
        <w:t>6.02</w:t>
      </w:r>
      <w:r>
        <w:rPr>
          <w:rFonts w:ascii="Times New Roman;serif" w:hAnsi="Times New Roman;serif"/>
          <w:b w:val="false"/>
          <w:sz w:val="20"/>
        </w:rPr>
        <w:t xml:space="preserve">, </w:t>
      </w:r>
      <w:r>
        <w:rPr>
          <w:rFonts w:ascii="Times New Roman;serif" w:hAnsi="Times New Roman;serif"/>
          <w:b w:val="false"/>
          <w:sz w:val="20"/>
          <w:u w:val="single"/>
        </w:rPr>
        <w:t>6.03</w:t>
      </w:r>
      <w:r>
        <w:rPr>
          <w:rFonts w:ascii="Times New Roman;serif" w:hAnsi="Times New Roman;serif"/>
          <w:b w:val="false"/>
          <w:sz w:val="20"/>
        </w:rPr>
        <w:t xml:space="preserve">, </w:t>
      </w:r>
      <w:r>
        <w:rPr>
          <w:rFonts w:ascii="Times New Roman;serif" w:hAnsi="Times New Roman;serif"/>
          <w:b w:val="false"/>
          <w:sz w:val="20"/>
          <w:u w:val="single"/>
        </w:rPr>
        <w:t>6.05</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6.08</w:t>
      </w:r>
      <w:r>
        <w:rPr>
          <w:rFonts w:ascii="Times New Roman;serif" w:hAnsi="Times New Roman;serif"/>
          <w:b w:val="false"/>
          <w:sz w:val="20"/>
        </w:rPr>
        <w:t xml:space="preserve">, respectively, in each case, other than by reference to this </w:t>
      </w:r>
      <w:r>
        <w:rPr>
          <w:rFonts w:ascii="Times New Roman;serif" w:hAnsi="Times New Roman;serif"/>
          <w:b w:val="false"/>
          <w:sz w:val="20"/>
          <w:u w:val="single"/>
        </w:rPr>
        <w:t>Section 6.04(t)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(u)</w:t>
      </w:r>
    </w:p>
    <w:p>
      <w:pPr>
        <w:pStyle w:val="TextBody"/>
        <w:bidi w:val="0"/>
        <w:spacing w:before="200" w:after="0"/>
        <w:jc w:val="both"/>
        <w:rPr/>
      </w:pPr>
      <w:r>
        <w:rPr>
          <w:rFonts w:ascii="Times New Roman;serif" w:hAnsi="Times New Roman;serif"/>
          <w:b w:val="false"/>
          <w:sz w:val="20"/>
        </w:rPr>
        <w:t xml:space="preserve">additional Investments;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after giving effect to such Investment on a Pro Forma Basis, (i) the Total Leverage Ratio is less than or equal to 5.50 to 1.00 and (ii) there is no continuing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contributions to a “rabbi” trust for the benefit of employees, directors, consultants, independent contractors or other service providers or other grantor trust subject to claims of creditors in the case of a bankruptcy of Holdings or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(w)</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pStyle w:val="TextBody"/>
        <w:bidi w:val="0"/>
        <w:spacing w:before="200" w:after="0"/>
        <w:jc w:val="both"/>
        <w:rPr>
          <w:rFonts w:ascii="Times New Roman" w:hAnsi="Times New Roman"/>
          <w:b w:val="false"/>
          <w:sz w:val="20"/>
        </w:rPr>
      </w:pPr>
      <w:r>
        <w:rPr>
          <w:rFonts w:ascii="Times New Roman" w:hAnsi="Times New Roman"/>
          <w:b w:val="false"/>
          <w:sz w:val="20"/>
        </w:rPr>
        <w:t>(x)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Investments by an Unrestricted Subsidiary entered into prior to the day such Unrestricted Subsidiary is redesignated as a Restricted Subsidiary pursuant to the definition of “Unrestricted Subsidiary”;</w:t>
      </w:r>
    </w:p>
    <w:p>
      <w:pPr>
        <w:pStyle w:val="TextBody"/>
        <w:bidi w:val="0"/>
        <w:spacing w:before="200" w:after="0"/>
        <w:jc w:val="both"/>
        <w:rPr>
          <w:rFonts w:ascii="Times New Roman" w:hAnsi="Times New Roman"/>
          <w:b w:val="false"/>
          <w:sz w:val="20"/>
        </w:rPr>
      </w:pPr>
      <w:r>
        <w:rPr>
          <w:rFonts w:ascii="Times New Roman" w:hAnsi="Times New Roman"/>
          <w:b w:val="false"/>
          <w:sz w:val="20"/>
        </w:rPr>
        <w:t>(y)</w:t>
      </w:r>
    </w:p>
    <w:p>
      <w:pPr>
        <w:pStyle w:val="TextBody"/>
        <w:bidi w:val="0"/>
        <w:spacing w:before="200" w:after="0"/>
        <w:jc w:val="both"/>
        <w:rPr/>
      </w:pPr>
      <w:r>
        <w:rPr>
          <w:rFonts w:ascii="Times New Roman;serif" w:hAnsi="Times New Roman;serif"/>
          <w:b w:val="false"/>
          <w:sz w:val="20"/>
        </w:rPr>
        <w:t xml:space="preserve">any Investment in a Similar Business; </w:t>
      </w:r>
      <w:r>
        <w:rPr>
          <w:rFonts w:ascii="Times New Roman;serif" w:hAnsi="Times New Roman;serif"/>
          <w:b w:val="false"/>
          <w:sz w:val="20"/>
          <w:u w:val="single"/>
        </w:rPr>
        <w:t>provided</w:t>
      </w:r>
      <w:r>
        <w:rPr/>
        <w:t xml:space="preserve"> </w:t>
      </w:r>
      <w:r>
        <w:rPr>
          <w:rFonts w:ascii="Times New Roman;serif" w:hAnsi="Times New Roman;serif"/>
          <w:b w:val="false"/>
          <w:sz w:val="20"/>
        </w:rPr>
        <w:t>that at the time any such Investment is made, the aggregate outstanding amount of all Investments made in reliance on this clause (y) together with the aggregate amount of all consideration paid in connection with all other acquisitions made in reliance on this clause (y), shall not exceed the greater of (A) $43,000,000 and (B) 30% of Consolidated EBITDA for the most recently ended Test Period after giving Pro Forma Effect to the making of such Investment;</w:t>
      </w:r>
    </w:p>
    <w:p>
      <w:pPr>
        <w:pStyle w:val="TextBody"/>
        <w:bidi w:val="0"/>
        <w:spacing w:before="200" w:after="0"/>
        <w:jc w:val="both"/>
        <w:rPr>
          <w:rFonts w:ascii="Times New Roman" w:hAnsi="Times New Roman"/>
          <w:b w:val="false"/>
          <w:sz w:val="20"/>
        </w:rPr>
      </w:pPr>
      <w:r>
        <w:rPr>
          <w:rFonts w:ascii="Times New Roman" w:hAnsi="Times New Roman"/>
          <w:b w:val="false"/>
          <w:sz w:val="20"/>
        </w:rPr>
        <w:t>(z)</w:t>
      </w:r>
    </w:p>
    <w:p>
      <w:pPr>
        <w:pStyle w:val="TextBody"/>
        <w:bidi w:val="0"/>
        <w:spacing w:before="200" w:after="283"/>
        <w:jc w:val="both"/>
        <w:rPr/>
      </w:pPr>
      <w:r>
        <w:rPr>
          <w:rFonts w:ascii="Times New Roman;serif" w:hAnsi="Times New Roman;serif"/>
          <w:b w:val="false"/>
          <w:sz w:val="20"/>
        </w:rPr>
        <w:t xml:space="preserve">Investments in Unrestricted Subsidiaries; </w:t>
      </w:r>
      <w:r>
        <w:rPr>
          <w:rFonts w:ascii="Times New Roman;serif" w:hAnsi="Times New Roman;serif"/>
          <w:b w:val="false"/>
          <w:sz w:val="20"/>
          <w:u w:val="single"/>
        </w:rPr>
        <w:t>provided</w:t>
      </w:r>
      <w:r>
        <w:rPr/>
        <w:t xml:space="preserve"> </w:t>
      </w:r>
      <w:r>
        <w:rPr>
          <w:rFonts w:ascii="Times New Roman;serif" w:hAnsi="Times New Roman;serif"/>
          <w:b w:val="false"/>
          <w:sz w:val="20"/>
        </w:rPr>
        <w:t>that at the time any such Investment is made, the aggregate outstanding amount of all Investments made in reliance on this clause (z) together with the aggregate amount of all consideration paid in connection with all other acquisitions made in reliance on this clause (z), shall not exceed the greater of (A) $43,000,000 and (B) 30% of Consolidated EBITDA for the most recently ended Test Period after giving Pro Forma Effect to the making of such Investment; and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(aa) Investments in Subsidiaries in the form of receivables and related assets required in connection with a Permitted Receivables Financing (including the contribution or lending of cash and cash equivalents to Subsidiaries to finance the purchase of such assets from Holdings, the Borrower or other Restricted Subsidiaries or to otherwise fund required reserves).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purposes of determining compliance with this </w:t>
      </w:r>
      <w:r>
        <w:rPr>
          <w:rFonts w:ascii="Times New Roman;serif" w:hAnsi="Times New Roman;serif"/>
          <w:b w:val="false"/>
          <w:sz w:val="20"/>
          <w:u w:val="single"/>
        </w:rPr>
        <w:t>Section 6.04</w:t>
      </w:r>
      <w:r>
        <w:rPr>
          <w:rFonts w:ascii="Times New Roman;serif" w:hAnsi="Times New Roman;serif"/>
          <w:b w:val="false"/>
          <w:sz w:val="20"/>
        </w:rPr>
        <w:t xml:space="preserve">, in the event that a proposed Investment (or portion thereof) meets the criteria of clauses (a) through (aa) above (or any sub-clause therein), the Borrower will be entitled to classify or later reclassify (based on circumstances existing on the date of such reclassification) such Investment (or portion thereof) between such clauses (a) through (aa) (or any sub-clause therein), in a manner that otherwise complies with this </w:t>
      </w:r>
      <w:r>
        <w:rPr>
          <w:rFonts w:ascii="Times New Roman;serif" w:hAnsi="Times New Roman;serif"/>
          <w:b w:val="false"/>
          <w:sz w:val="20"/>
          <w:u w:val="single"/>
        </w:rPr>
        <w:t>Section 6.04</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if all or any portion of any Investment that is not initially made in reliance on </w:t>
      </w:r>
      <w:r>
        <w:rPr>
          <w:rFonts w:ascii="Times New Roman;serif" w:hAnsi="Times New Roman;serif"/>
          <w:b w:val="false"/>
          <w:sz w:val="20"/>
          <w:u w:val="single"/>
        </w:rPr>
        <w:t>Section 6.04(u)</w:t>
      </w:r>
      <w:r>
        <w:rPr>
          <w:rFonts w:ascii="Times New Roman" w:hAnsi="Times New Roman"/>
          <w:sz w:val="20"/>
        </w:rPr>
        <w:t xml:space="preserve"> </w:t>
      </w:r>
      <w:r>
        <w:rPr>
          <w:rFonts w:ascii="Times New Roman;serif" w:hAnsi="Times New Roman;serif"/>
          <w:b w:val="false"/>
          <w:sz w:val="20"/>
        </w:rPr>
        <w:t xml:space="preserve">subsequently could be made in reliance on </w:t>
      </w:r>
      <w:r>
        <w:rPr>
          <w:rFonts w:ascii="Times New Roman;serif" w:hAnsi="Times New Roman;serif"/>
          <w:b w:val="false"/>
          <w:sz w:val="20"/>
          <w:u w:val="single"/>
        </w:rPr>
        <w:t>Section 6.04(u)</w:t>
      </w:r>
      <w:r>
        <w:rPr>
          <w:rFonts w:ascii="Times New Roman;serif" w:hAnsi="Times New Roman;serif"/>
          <w:b w:val="false"/>
          <w:sz w:val="20"/>
        </w:rPr>
        <w:t xml:space="preserve">, such Investment, or the relevant portion thereof, shall automatically be reclassified as having been made in reliance on </w:t>
      </w:r>
      <w:r>
        <w:rPr>
          <w:rFonts w:ascii="Times New Roman;serif" w:hAnsi="Times New Roman;serif"/>
          <w:b w:val="false"/>
          <w:sz w:val="20"/>
          <w:u w:val="single"/>
        </w:rPr>
        <w:t>Section 6.04(u)</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6.05 </w:t>
      </w:r>
      <w:r>
        <w:rPr>
          <w:rFonts w:ascii="Times New Roman;serif" w:hAnsi="Times New Roman;serif"/>
          <w:b w:val="false"/>
          <w:sz w:val="20"/>
          <w:u w:val="single"/>
        </w:rPr>
        <w:t>Asset Sales</w:t>
      </w:r>
      <w:r>
        <w:rPr>
          <w:rFonts w:ascii="Times New Roman;serif" w:hAnsi="Times New Roman;serif"/>
          <w:b w:val="false"/>
          <w:sz w:val="20"/>
        </w:rPr>
        <w:t>. Neither Holdings nor the Borrower will, nor will they permit any Restricted Subsidiary to, (i) sell, transfer, lease, license or otherwise dispose of any asset (in one transaction or in a series of related transactions and whether effected pursuant to a Division or otherwise), including any Equity Interest owned by it or (ii) permit any Restricted Subsidiary to issue any additional Equity Interest in such Restricted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Subsidiary (other than issuing directors’ qualifying shares, nominal shares issued to foreign nationals to the extent required by applicable Requirements of Law and other than issuing Equity Interests to Holdings, the Borrower or a Restricted Subsidiary in compliance with </w:t>
      </w:r>
      <w:r>
        <w:rPr>
          <w:rFonts w:ascii="Times New Roman;serif" w:hAnsi="Times New Roman;serif"/>
          <w:b w:val="false"/>
          <w:sz w:val="20"/>
          <w:u w:val="single"/>
        </w:rPr>
        <w:t>Section 6.04(c)</w:t>
      </w:r>
      <w:r>
        <w:rPr>
          <w:rFonts w:ascii="Times New Roman;serif" w:hAnsi="Times New Roman;serif"/>
          <w:b w:val="false"/>
          <w:sz w:val="20"/>
        </w:rPr>
        <w:t>) (each, a “</w:t>
      </w:r>
      <w:r>
        <w:rPr>
          <w:rFonts w:ascii="Times New Roman;serif" w:hAnsi="Times New Roman;serif"/>
          <w:b w:val="false"/>
          <w:sz w:val="20"/>
          <w:u w:val="single"/>
        </w:rPr>
        <w:t>Disposition</w:t>
      </w:r>
      <w:r>
        <w:rPr>
          <w:rFonts w:ascii="Times New Roman" w:hAnsi="Times New Roman"/>
          <w:sz w:val="20"/>
        </w:rPr>
        <w:t>”</w:t>
      </w:r>
      <w:r>
        <w:rPr>
          <w:rFonts w:ascii="Times New Roman;serif" w:hAnsi="Times New Roman;serif"/>
          <w:b w:val="false"/>
          <w:sz w:val="20"/>
        </w:rPr>
        <w:t>), except:</w:t>
      </w:r>
    </w:p>
    <w:p>
      <w:pPr>
        <w:pStyle w:val="TextBody"/>
        <w:bidi w:val="0"/>
        <w:spacing w:before="200" w:after="0"/>
        <w:jc w:val="both"/>
        <w:rPr>
          <w:rFonts w:ascii="Times New Roman" w:hAnsi="Times New Roman"/>
          <w:b w:val="false"/>
          <w:sz w:val="22"/>
        </w:rPr>
      </w:pPr>
      <w:r>
        <w:rPr>
          <w:rFonts w:ascii="Times New Roman" w:hAnsi="Times New Roman"/>
          <w:b w:val="false"/>
          <w:sz w:val="22"/>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obsolete or worn out property, whether now owned or hereafter acquired, in the ordinary course of business and Dispositions of property no longer used or useful, or economically practicable to maintain, in the conduct of the business of Holdings, the Borrower and the Restricted Subsidiaries (including allowing any Intellectual Property that is no longer used or useful, or economically practicable to maintain, to lapse or go abandoned or be invalidated);</w:t>
      </w:r>
    </w:p>
    <w:p>
      <w:pPr>
        <w:pStyle w:val="TextBody"/>
        <w:bidi w:val="0"/>
        <w:spacing w:before="200" w:after="0"/>
        <w:jc w:val="both"/>
        <w:rPr>
          <w:rFonts w:ascii="Times New Roman" w:hAnsi="Times New Roman"/>
          <w:b w:val="false"/>
          <w:sz w:val="22"/>
        </w:rPr>
      </w:pPr>
      <w:r>
        <w:rPr>
          <w:rFonts w:ascii="Times New Roman" w:hAnsi="Times New Roman"/>
          <w:b w:val="false"/>
          <w:sz w:val="22"/>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inventory and other assets in the ordinary course of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property to the extent that (i) such property is exchanged for credit against the purchase price of similar replacement property, (ii) an amount equal to the Net Proceeds of such Disposition are promptly applied to the purchase price of such replacement property or (iii) such Disposition is allowable under Section 1031 of the Code, or any comparable or successor provision is for like property (and any boot thereon) and for use in a Similar Business;</w:t>
      </w:r>
    </w:p>
    <w:p>
      <w:pPr>
        <w:pStyle w:val="TextBody"/>
        <w:bidi w:val="0"/>
        <w:spacing w:before="200" w:after="0"/>
        <w:jc w:val="both"/>
        <w:rPr>
          <w:rFonts w:ascii="Times New Roman" w:hAnsi="Times New Roman"/>
          <w:b w:val="false"/>
          <w:sz w:val="22"/>
        </w:rPr>
      </w:pPr>
      <w:r>
        <w:rPr>
          <w:rFonts w:ascii="Times New Roman" w:hAnsi="Times New Roman"/>
          <w:b w:val="false"/>
          <w:sz w:val="22"/>
        </w:rPr>
        <w:t>(d)</w:t>
      </w:r>
    </w:p>
    <w:p>
      <w:pPr>
        <w:pStyle w:val="TextBody"/>
        <w:bidi w:val="0"/>
        <w:spacing w:before="200" w:after="0"/>
        <w:jc w:val="both"/>
        <w:rPr/>
      </w:pPr>
      <w:r>
        <w:rPr>
          <w:rFonts w:ascii="Times New Roman;serif" w:hAnsi="Times New Roman;serif"/>
          <w:b w:val="false"/>
          <w:sz w:val="20"/>
        </w:rPr>
        <w:t xml:space="preserve">Dispositions of property to Holdings, the Borrower or a Restricted Subsidiary;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if the transferor in such a transaction is a Loan Party, then either (i) the transferee must be a Loan Party, (ii) to the extent constituting an Investment, such Investment must be an Investment in a Restricted Subsidiary that is not a Loan Party permitted by </w:t>
      </w:r>
      <w:r>
        <w:rPr>
          <w:rFonts w:ascii="Times New Roman;serif" w:hAnsi="Times New Roman;serif"/>
          <w:b w:val="false"/>
          <w:sz w:val="20"/>
          <w:u w:val="single"/>
        </w:rPr>
        <w:t>Section 6.04</w:t>
      </w:r>
      <w:r>
        <w:rPr/>
        <w:t xml:space="preserve"> </w:t>
      </w:r>
      <w:r>
        <w:rPr>
          <w:rFonts w:ascii="Times New Roman;serif" w:hAnsi="Times New Roman;serif"/>
          <w:b w:val="false"/>
          <w:sz w:val="20"/>
        </w:rPr>
        <w:t xml:space="preserve">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Times New Roman;serif" w:hAnsi="Times New Roman;serif"/>
          <w:b w:val="false"/>
          <w:sz w:val="20"/>
          <w:u w:val="single"/>
        </w:rPr>
        <w:t>Section 6.04</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(e)</w:t>
      </w:r>
    </w:p>
    <w:p>
      <w:pPr>
        <w:pStyle w:val="TextBody"/>
        <w:bidi w:val="0"/>
        <w:spacing w:before="200" w:after="0"/>
        <w:jc w:val="both"/>
        <w:rPr/>
      </w:pPr>
      <w:r>
        <w:rPr>
          <w:rFonts w:ascii="Times New Roman;serif" w:hAnsi="Times New Roman;serif"/>
          <w:b w:val="false"/>
          <w:sz w:val="20"/>
        </w:rPr>
        <w:t xml:space="preserve">Dispositions permitted by </w:t>
      </w:r>
      <w:r>
        <w:rPr>
          <w:rFonts w:ascii="Times New Roman;serif" w:hAnsi="Times New Roman;serif"/>
          <w:b w:val="false"/>
          <w:sz w:val="20"/>
          <w:u w:val="single"/>
        </w:rPr>
        <w:t>Section 6.03</w:t>
      </w:r>
      <w:r>
        <w:rPr>
          <w:rFonts w:ascii="Times New Roman;serif" w:hAnsi="Times New Roman;serif"/>
          <w:b w:val="false"/>
          <w:sz w:val="20"/>
        </w:rPr>
        <w:t xml:space="preserve">, Investments permitted by </w:t>
      </w:r>
      <w:r>
        <w:rPr>
          <w:rFonts w:ascii="Times New Roman;serif" w:hAnsi="Times New Roman;serif"/>
          <w:b w:val="false"/>
          <w:sz w:val="20"/>
          <w:u w:val="single"/>
        </w:rPr>
        <w:t>Section 6.04</w:t>
      </w:r>
      <w:r>
        <w:rPr>
          <w:rFonts w:ascii="Times New Roman;serif" w:hAnsi="Times New Roman;serif"/>
          <w:b w:val="false"/>
          <w:sz w:val="20"/>
        </w:rPr>
        <w:t xml:space="preserve">, Restricted Payments permitted by </w:t>
      </w:r>
      <w:r>
        <w:rPr>
          <w:rFonts w:ascii="Times New Roman;serif" w:hAnsi="Times New Roman;serif"/>
          <w:b w:val="false"/>
          <w:sz w:val="20"/>
          <w:u w:val="single"/>
        </w:rPr>
        <w:t>Section 6.08</w:t>
      </w:r>
      <w:r>
        <w:rPr>
          <w:rFonts w:ascii="Times New Roman;serif" w:hAnsi="Times New Roman;serif"/>
          <w:b w:val="false"/>
          <w:sz w:val="20"/>
        </w:rPr>
        <w:t xml:space="preserve">, Liens permitted by </w:t>
      </w:r>
      <w:r>
        <w:rPr>
          <w:rFonts w:ascii="Times New Roman;serif" w:hAnsi="Times New Roman;serif"/>
          <w:b w:val="false"/>
          <w:sz w:val="20"/>
          <w:u w:val="single"/>
        </w:rPr>
        <w:t>Section 6.02</w:t>
      </w:r>
      <w:r>
        <w:rPr>
          <w:rFonts w:ascii="Times New Roman;serif" w:hAnsi="Times New Roman;serif"/>
          <w:b w:val="false"/>
          <w:sz w:val="20"/>
        </w:rPr>
        <w:t xml:space="preserve">, in each case, other than by reference to this </w:t>
      </w:r>
      <w:r>
        <w:rPr>
          <w:rFonts w:ascii="Times New Roman;serif" w:hAnsi="Times New Roman;serif"/>
          <w:b w:val="false"/>
          <w:sz w:val="20"/>
          <w:u w:val="single"/>
        </w:rPr>
        <w:t>Section 6.05(e)</w:t>
      </w:r>
      <w:r>
        <w:rPr>
          <w:rFonts w:ascii="Times New Roman;serif" w:hAnsi="Times New Roman;serif"/>
          <w:b w:val="false"/>
          <w:sz w:val="20"/>
        </w:rPr>
        <w:t>;</w:t>
      </w:r>
    </w:p>
    <w:p>
      <w:pPr>
        <w:pStyle w:val="TextBody"/>
        <w:bidi w:val="0"/>
        <w:spacing w:before="200" w:after="0"/>
        <w:jc w:val="both"/>
        <w:rPr>
          <w:rFonts w:ascii="Times New Roman" w:hAnsi="Times New Roman"/>
          <w:b w:val="false"/>
          <w:sz w:val="22"/>
        </w:rPr>
      </w:pPr>
      <w:r>
        <w:rPr>
          <w:rFonts w:ascii="Times New Roman" w:hAnsi="Times New Roman"/>
          <w:b w:val="false"/>
          <w:sz w:val="22"/>
        </w:rPr>
        <w:t>(f)</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issuance, sale or pledge of Equity Interests in, or Indebtedness, or other securities of, an Unrestricted Subsidiary;</w:t>
      </w:r>
    </w:p>
    <w:p>
      <w:pPr>
        <w:pStyle w:val="TextBody"/>
        <w:bidi w:val="0"/>
        <w:spacing w:before="200" w:after="0"/>
        <w:jc w:val="both"/>
        <w:rPr>
          <w:rFonts w:ascii="Times New Roman" w:hAnsi="Times New Roman"/>
          <w:b w:val="false"/>
          <w:sz w:val="22"/>
        </w:rPr>
      </w:pPr>
      <w:r>
        <w:rPr>
          <w:rFonts w:ascii="Times New Roman" w:hAnsi="Times New Roman"/>
          <w:b w:val="false"/>
          <w:sz w:val="22"/>
        </w:rPr>
        <w:t>(g)</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Permitted Investments;</w:t>
      </w:r>
    </w:p>
    <w:p>
      <w:pPr>
        <w:pStyle w:val="TextBody"/>
        <w:bidi w:val="0"/>
        <w:spacing w:before="200" w:after="0"/>
        <w:jc w:val="both"/>
        <w:rPr>
          <w:rFonts w:ascii="Times New Roman" w:hAnsi="Times New Roman"/>
          <w:b w:val="false"/>
          <w:sz w:val="22"/>
        </w:rPr>
      </w:pPr>
      <w:r>
        <w:rPr>
          <w:rFonts w:ascii="Times New Roman" w:hAnsi="Times New Roman"/>
          <w:b w:val="false"/>
          <w:sz w:val="22"/>
        </w:rPr>
        <w:t>(h)</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(A) accounts receivable in connection with the collection or compromise thereof (including sales to factors or other third parties) and (B) receivables and related assets pursuant to any Permitted Receivables Financing;</w:t>
      </w:r>
    </w:p>
    <w:p>
      <w:pPr>
        <w:pStyle w:val="TextBody"/>
        <w:bidi w:val="0"/>
        <w:spacing w:before="200" w:after="0"/>
        <w:jc w:val="both"/>
        <w:rPr>
          <w:rFonts w:ascii="Times New Roman" w:hAnsi="Times New Roman"/>
          <w:b w:val="false"/>
          <w:sz w:val="22"/>
        </w:rPr>
      </w:pPr>
      <w:r>
        <w:rPr>
          <w:rFonts w:ascii="Times New Roman" w:hAnsi="Times New Roman"/>
          <w:b w:val="false"/>
          <w:sz w:val="22"/>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 xml:space="preserve">leases, subleases, licenses or sublicenses (including the provision of software under an open source license), in each case in the ordinary course of business and that do not materially interfere with the business of Holdings, the Borrower and the Restricted Subsidiaries, taken as a whole; </w:t>
      </w:r>
    </w:p>
    <w:p>
      <w:pPr>
        <w:pStyle w:val="TextBody"/>
        <w:bidi w:val="0"/>
        <w:spacing w:before="200" w:after="0"/>
        <w:jc w:val="both"/>
        <w:rPr>
          <w:rFonts w:ascii="Times New Roman" w:hAnsi="Times New Roman"/>
          <w:b w:val="false"/>
          <w:sz w:val="22"/>
        </w:rPr>
      </w:pPr>
      <w:r>
        <w:rPr>
          <w:rFonts w:ascii="Times New Roman" w:hAnsi="Times New Roman"/>
          <w:b w:val="false"/>
          <w:sz w:val="22"/>
        </w:rPr>
        <w:t>(j)</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transfers of property subject to Casualty Events upon receipt of the Net Proceeds of such Casualty Event;</w:t>
      </w:r>
    </w:p>
    <w:p>
      <w:pPr>
        <w:pStyle w:val="TextBody"/>
        <w:bidi w:val="0"/>
        <w:spacing w:before="200" w:after="0"/>
        <w:jc w:val="both"/>
        <w:rPr>
          <w:rFonts w:ascii="Times New Roman" w:hAnsi="Times New Roman"/>
          <w:b w:val="false"/>
          <w:sz w:val="22"/>
        </w:rPr>
      </w:pPr>
      <w:r>
        <w:rPr>
          <w:rFonts w:ascii="Times New Roman" w:hAnsi="Times New Roman"/>
          <w:b w:val="false"/>
          <w:sz w:val="22"/>
        </w:rPr>
        <w:t>(k)</w:t>
      </w:r>
    </w:p>
    <w:p>
      <w:pPr>
        <w:pStyle w:val="TextBody"/>
        <w:bidi w:val="0"/>
        <w:spacing w:before="200" w:after="283"/>
        <w:jc w:val="both"/>
        <w:rPr/>
      </w:pPr>
      <w:r>
        <w:rPr>
          <w:rFonts w:ascii="Times New Roman;serif" w:hAnsi="Times New Roman;serif"/>
          <w:b w:val="false"/>
          <w:sz w:val="20"/>
        </w:rPr>
        <w:t xml:space="preserve">Dispositions of property to Persons other than Holdings, the Borrower or any of the Restricted Subsidiaries (including (x) the sale or issuance of Equity Interests in a Restricted Subsidiary and (y) any Sale Leaseback) not otherwise permitted under this </w:t>
      </w:r>
      <w:r>
        <w:rPr>
          <w:rFonts w:ascii="Times New Roman;serif" w:hAnsi="Times New Roman;serif"/>
          <w:b w:val="false"/>
          <w:sz w:val="20"/>
          <w:u w:val="single"/>
        </w:rPr>
        <w:t>Section 6.05</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such Disposition is made for Fair Market Value and (ii) except in the case of a Permitted Asset Swap, with respect to any Disposition pursuant to this clause (k) for a purchase price in excess of the greater of (x) $7,500,000 and (y) 5% of Consolidated EBITDA for the most recently ended Test Period for all transactions permitted pursuant to this clause (k) since the Effective Date, Holdings, the Borrower or a Restricted Subsidiary shall receive not less than (I) 75% of such consideration in the form of cash or Permitted Investments or (II) 50% of such consideration in the form of cash or Permitted Investments;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xml:space="preserve">, that for the purposes of this clause (ii), (A) the greater of the principal amount and carrying value of any liabilities (as reflected on the most recent balance sheet of the Borrower (or a Parent Entity) provided hereunder or in the footnotes thereto), or if incurred, accrued or increased subsequent to the date of such balance sheet, such liabilities that would have been reflected on the balance sheet of Borrower (or Parent Entity) or in the footnotes thereto if such incurrence, accrual or increase had taken place on or prior to the date of such balance sheet, as determined in good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faith by Borrower) of Holdings, the Borrower or such Restricted Subsidiary, other than liabilities that are by their terms subordinated to the Loan Document Obligations, that are assumed by the transferee of any such assets (or are otherwise extinguished in connection with the transactions relating to such Disposition) pursuant to a written agreement which releases Holdings, the Borrower or such Restricted Subsidiary from such liabilities, (B) any securities received by Holdings, the Borrower or such Restricted Subsidiary from such transferee that are converted by the Borrower or such Restricted Subsidiary into cash or Permitted Investments (to the extent of the cash or Permitted Investments received) within 180 days following the closing of the applicable Disposition, shall be deemed to be cash and (C) any Designated Non-Cash Consideration received by Holdings, the Borrower or such Restricted Subsidiary in respect of such Disposition having an aggregate Fair Market Value, taken together with all other Designated Non-Cash Consideration received pursuant to this clause (l) that is at that time outstanding, not in excess (at the time of receipt of such Designated Non-Cash Consideration) of 5% of Consolidated Total Assets for the most recently ended Test Period as of the time of receipt of such Designated Non-Cash Consideration, with the Fair Market Value of each item of Designated Non-Cash Consideration being measured at the time received and without giving effect to subsequent changes in value, shall be deemed to be cash;</w:t>
      </w:r>
    </w:p>
    <w:p>
      <w:pPr>
        <w:pStyle w:val="TextBody"/>
        <w:bidi w:val="0"/>
        <w:spacing w:before="200" w:after="0"/>
        <w:jc w:val="both"/>
        <w:rPr>
          <w:rFonts w:ascii="Times New Roman" w:hAnsi="Times New Roman"/>
          <w:b w:val="false"/>
          <w:sz w:val="22"/>
        </w:rPr>
      </w:pPr>
      <w:r>
        <w:rPr>
          <w:rFonts w:ascii="Times New Roman" w:hAnsi="Times New Roman"/>
          <w:b w:val="false"/>
          <w:sz w:val="22"/>
        </w:rPr>
        <w:t>(l)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200" w:after="0"/>
        <w:jc w:val="both"/>
        <w:rPr>
          <w:rFonts w:ascii="Times New Roman" w:hAnsi="Times New Roman"/>
          <w:b w:val="false"/>
          <w:sz w:val="22"/>
        </w:rPr>
      </w:pPr>
      <w:r>
        <w:rPr>
          <w:rFonts w:ascii="Times New Roman" w:hAnsi="Times New Roman"/>
          <w:b w:val="false"/>
          <w:sz w:val="22"/>
        </w:rPr>
        <w:t>(m)</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Dispositions of any assets (including Equity Interests) (A) acquired in connection with any Permitted Acquisition or other Investment permitted hereunder, which assets are not used or useful to the core or principal business of Holdings, the Borrower and the Restricted Subsidiaries and (B) made to obtain the approval of any applicable antitrust authority in connection with a Permitted Acquisition;</w:t>
      </w:r>
    </w:p>
    <w:p>
      <w:pPr>
        <w:pStyle w:val="TextBody"/>
        <w:bidi w:val="0"/>
        <w:spacing w:before="200" w:after="0"/>
        <w:jc w:val="both"/>
        <w:rPr>
          <w:rFonts w:ascii="Times New Roman" w:hAnsi="Times New Roman"/>
          <w:b w:val="false"/>
          <w:sz w:val="22"/>
        </w:rPr>
      </w:pPr>
      <w:r>
        <w:rPr>
          <w:rFonts w:ascii="Times New Roman" w:hAnsi="Times New Roman"/>
          <w:b w:val="false"/>
          <w:sz w:val="22"/>
        </w:rPr>
        <w:t>(n)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pStyle w:val="TextBody"/>
        <w:bidi w:val="0"/>
        <w:spacing w:before="200" w:after="0"/>
        <w:jc w:val="both"/>
        <w:rPr>
          <w:rFonts w:ascii="Times New Roman" w:hAnsi="Times New Roman"/>
          <w:b w:val="false"/>
          <w:sz w:val="22"/>
        </w:rPr>
      </w:pPr>
      <w:r>
        <w:rPr>
          <w:rFonts w:ascii="Times New Roman" w:hAnsi="Times New Roman"/>
          <w:b w:val="false"/>
          <w:sz w:val="22"/>
        </w:rPr>
        <w:t>(o)</w:t>
      </w:r>
    </w:p>
    <w:p>
      <w:pPr>
        <w:pStyle w:val="TextBody"/>
        <w:bidi w:val="0"/>
        <w:spacing w:before="200" w:after="0"/>
        <w:jc w:val="both"/>
        <w:rPr/>
      </w:pPr>
      <w:r>
        <w:rPr>
          <w:rFonts w:ascii="Times New Roman;serif" w:hAnsi="Times New Roman;serif"/>
          <w:b w:val="false"/>
          <w:sz w:val="20"/>
        </w:rPr>
        <w:t xml:space="preserve">Dispositions of property for Fair Market Value not otherwise permitted under this </w:t>
      </w:r>
      <w:r>
        <w:rPr>
          <w:rFonts w:ascii="Times New Roman;serif" w:hAnsi="Times New Roman;serif"/>
          <w:b w:val="false"/>
          <w:sz w:val="20"/>
          <w:u w:val="single"/>
        </w:rPr>
        <w:t xml:space="preserve">Section 6.05 </w:t>
      </w:r>
      <w:r>
        <w:rPr>
          <w:rFonts w:ascii="Times New Roman;serif" w:hAnsi="Times New Roman;serif"/>
          <w:b w:val="false"/>
          <w:sz w:val="20"/>
        </w:rPr>
        <w:t>having an aggregate purchase price not to exceed the greater of (A) $22,000,000 and (B) 15% of Consolidated EBITDA for the most recently ended Test Period at the time of such Disposition;</w:t>
      </w:r>
    </w:p>
    <w:p>
      <w:pPr>
        <w:pStyle w:val="TextBody"/>
        <w:bidi w:val="0"/>
        <w:spacing w:before="200" w:after="0"/>
        <w:jc w:val="both"/>
        <w:rPr>
          <w:rFonts w:ascii="Times New Roman" w:hAnsi="Times New Roman"/>
          <w:b w:val="false"/>
          <w:sz w:val="22"/>
        </w:rPr>
      </w:pPr>
      <w:r>
        <w:rPr>
          <w:rFonts w:ascii="Times New Roman" w:hAnsi="Times New Roman"/>
          <w:b w:val="false"/>
          <w:sz w:val="22"/>
        </w:rPr>
        <w:t>(p)</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sale or discount (with or without recourse) (including by way of assignment or participation) of other receivables (including, without limitation, trade and lease receivables) and related assets in connection with a Permitted Receivables Financing;</w:t>
      </w:r>
    </w:p>
    <w:p>
      <w:pPr>
        <w:pStyle w:val="TextBody"/>
        <w:bidi w:val="0"/>
        <w:spacing w:before="200" w:after="0"/>
        <w:jc w:val="both"/>
        <w:rPr>
          <w:rFonts w:ascii="Times New Roman" w:hAnsi="Times New Roman"/>
          <w:b w:val="false"/>
          <w:sz w:val="22"/>
        </w:rPr>
      </w:pPr>
      <w:r>
        <w:rPr>
          <w:rFonts w:ascii="Times New Roman" w:hAnsi="Times New Roman"/>
          <w:b w:val="false"/>
          <w:sz w:val="22"/>
        </w:rPr>
        <w:t>(q)</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unwinding of any Swap Obligations or Cash Management Obligations; and</w:t>
      </w:r>
    </w:p>
    <w:p>
      <w:pPr>
        <w:pStyle w:val="TextBody"/>
        <w:bidi w:val="0"/>
        <w:spacing w:before="200" w:after="0"/>
        <w:jc w:val="both"/>
        <w:rPr>
          <w:rFonts w:ascii="Times New Roman" w:hAnsi="Times New Roman"/>
          <w:b w:val="false"/>
          <w:sz w:val="22"/>
        </w:rPr>
      </w:pPr>
      <w:r>
        <w:rPr>
          <w:rFonts w:ascii="Times New Roman" w:hAnsi="Times New Roman"/>
          <w:b w:val="false"/>
          <w:sz w:val="22"/>
        </w:rPr>
        <w:t>(r)</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Holdings and its Subsidiaries may undertake or consummate any IPO Reorganization Transactions or any transaction related thereto or contemplated thereby.</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6.06 </w:t>
      </w:r>
      <w:r>
        <w:rPr>
          <w:rFonts w:ascii="Times New Roman;serif" w:hAnsi="Times New Roman;serif"/>
          <w:b w:val="false"/>
          <w:sz w:val="20"/>
          <w:u w:val="single"/>
        </w:rPr>
        <w:t>Holdings Covenant</w:t>
      </w:r>
      <w:r>
        <w:rPr>
          <w:rFonts w:ascii="Times New Roman;serif" w:hAnsi="Times New Roman;serif"/>
          <w:b w:val="false"/>
          <w:sz w:val="20"/>
        </w:rPr>
        <w:t xml:space="preserve">. Holdings will not conduct, transact or otherwise engage in any business or operations other than (i) the ownership and/or acquisition of the Equity Interests of any direct or indirect parent of the Borrower, the Borrower, any IPO Shell Company and any wholly-owned subsidiary of Holdings formed in contemplation of an IPO to become the entity which consummates an IPO, (ii) the maintenance of its legal existence, including the ability to incur fees, costs and expenses relating to such maintenance, (iii) participating in tax, accounting and other administrative matters as a member of the consolidated group of Holdings and the Borrower or any of their Subsidiaries, (iv) the performance of its obligations under and in connection with the Loan Documents, any documentation governing any Indebtedness or Guarantee permitted to be incurred or made by it under Article VI, the Acquisition Agreement, the Transactions, the other agreements contemplated by the Acquisition Agreement and the other agreements contemplated hereby and thereby, (v) financing activities, including any public offering of its common stock or any other issuance or registration of its Equity Interests for sale or resale not prohibited by this Agreement, including the costs, fees and expenses related thereto including the formation of one or more “shell” companies to facilitate any such offering or issuance, (vi) any transaction that Holdings is permitted to enter into or consummate under </w:t>
      </w:r>
      <w:r>
        <w:rPr>
          <w:rFonts w:ascii="Times New Roman;serif" w:hAnsi="Times New Roman;serif"/>
          <w:b w:val="false"/>
          <w:sz w:val="20"/>
          <w:u w:val="single"/>
        </w:rPr>
        <w:t>Article VI</w:t>
      </w:r>
      <w:r>
        <w:rPr>
          <w:rFonts w:ascii="Times New Roman" w:hAnsi="Times New Roman"/>
          <w:sz w:val="20"/>
        </w:rPr>
        <w:t xml:space="preserve"> </w:t>
      </w:r>
      <w:r>
        <w:rPr>
          <w:rFonts w:ascii="Times New Roman;serif" w:hAnsi="Times New Roman;serif"/>
          <w:b w:val="false"/>
          <w:sz w:val="20"/>
        </w:rPr>
        <w:t xml:space="preserve">(including, but not limited to, the making of any Restricted Payment permitted by </w:t>
      </w:r>
      <w:r>
        <w:rPr>
          <w:rFonts w:ascii="Times New Roman;serif" w:hAnsi="Times New Roman;serif"/>
          <w:b w:val="false"/>
          <w:sz w:val="20"/>
          <w:u w:val="single"/>
        </w:rPr>
        <w:t>Section 6.08</w:t>
      </w:r>
      <w:r>
        <w:rPr>
          <w:rFonts w:ascii="Times New Roman" w:hAnsi="Times New Roman"/>
          <w:sz w:val="20"/>
        </w:rPr>
        <w:t xml:space="preserve"> </w:t>
      </w:r>
      <w:r>
        <w:rPr>
          <w:rFonts w:ascii="Times New Roman;serif" w:hAnsi="Times New Roman;serif"/>
          <w:b w:val="false"/>
          <w:sz w:val="20"/>
        </w:rPr>
        <w:t xml:space="preserve">or holding of any cash or Permitted Investments received in connection with Restricted Payments made in accordance with </w:t>
      </w:r>
      <w:r>
        <w:rPr>
          <w:rFonts w:ascii="Times New Roman;serif" w:hAnsi="Times New Roman;serif"/>
          <w:b w:val="false"/>
          <w:sz w:val="20"/>
          <w:u w:val="single"/>
        </w:rPr>
        <w:t>Section 6.08</w:t>
      </w:r>
      <w:r>
        <w:rPr>
          <w:rFonts w:ascii="Times New Roman" w:hAnsi="Times New Roman"/>
          <w:sz w:val="20"/>
        </w:rPr>
        <w:t xml:space="preserve"> </w:t>
      </w:r>
      <w:r>
        <w:rPr>
          <w:rFonts w:ascii="Times New Roman;serif" w:hAnsi="Times New Roman;serif"/>
          <w:b w:val="false"/>
          <w:sz w:val="20"/>
        </w:rPr>
        <w:t xml:space="preserve">pending application thereof in the manner contemplated by </w:t>
      </w:r>
      <w:r>
        <w:rPr>
          <w:rFonts w:ascii="Times New Roman;serif" w:hAnsi="Times New Roman;serif"/>
          <w:b w:val="false"/>
          <w:sz w:val="20"/>
          <w:u w:val="single"/>
        </w:rPr>
        <w:t>Section 6.04</w:t>
      </w:r>
      <w:r>
        <w:rPr>
          <w:rFonts w:ascii="Times New Roman;serif" w:hAnsi="Times New Roman;serif"/>
          <w:b w:val="false"/>
          <w:sz w:val="20"/>
        </w:rPr>
        <w: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incurrence of any Indebtedness permitted to be incurred by it under </w:t>
      </w:r>
      <w:r>
        <w:rPr>
          <w:rFonts w:ascii="Times New Roman;serif" w:hAnsi="Times New Roman;serif"/>
          <w:b w:val="false"/>
          <w:sz w:val="20"/>
          <w:u w:val="single"/>
        </w:rPr>
        <w:t>Section 6.01</w:t>
      </w:r>
      <w:r>
        <w:rPr>
          <w:rFonts w:ascii="Times New Roman" w:hAnsi="Times New Roman"/>
          <w:sz w:val="20"/>
        </w:rPr>
        <w:t xml:space="preserve"> </w:t>
      </w:r>
      <w:r>
        <w:rPr>
          <w:rFonts w:ascii="Times New Roman;serif" w:hAnsi="Times New Roman;serif"/>
          <w:b w:val="false"/>
          <w:sz w:val="20"/>
        </w:rPr>
        <w:t xml:space="preserve">and the making of (and activities as necessary to consummate) any Investment permitted to be made by it under </w:t>
      </w:r>
      <w:r>
        <w:rPr>
          <w:rFonts w:ascii="Times New Roman;serif" w:hAnsi="Times New Roman;serif"/>
          <w:b w:val="false"/>
          <w:sz w:val="20"/>
          <w:u w:val="single"/>
        </w:rPr>
        <w:t>Section 6.04</w:t>
      </w:r>
      <w:r>
        <w:rPr>
          <w:rFonts w:ascii="Times New Roman;serif" w:hAnsi="Times New Roman;serif"/>
          <w:b w:val="false"/>
          <w:sz w:val="20"/>
        </w:rPr>
        <w:t xml:space="preserve">), (vii) incurring fees, costs and expenses relating to overhead and general operating including professional fees for legal, tax and accounting issues and paying taxes, (viii) providing indemnification to officers and directors and as otherwise permitted in </w:t>
      </w:r>
      <w:r>
        <w:rPr>
          <w:rFonts w:ascii="Times New Roman;serif" w:hAnsi="Times New Roman;serif"/>
          <w:b w:val="false"/>
          <w:sz w:val="20"/>
          <w:u w:val="single"/>
        </w:rPr>
        <w:t>Section 6.09</w:t>
      </w:r>
      <w:r>
        <w:rPr>
          <w:rFonts w:ascii="Times New Roman;serif" w:hAnsi="Times New Roman;serif"/>
          <w:b w:val="false"/>
          <w:sz w:val="20"/>
        </w:rPr>
        <w:t>, (ix) activities as necessary to consummate, or incidental to the consummation of, any Permitted Acquisition or any other Investment permitted hereunder, (x) activities incidental to the consummation of the Transactions, (xi) activities reasonably incidental to the consummation of an IPO, including the IPO Reorganization Transactions and (xii) activities incidental to the businesses or activities described in clauses (i) to (xi) of this paragraph.</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6.07 </w:t>
      </w:r>
      <w:r>
        <w:rPr>
          <w:rFonts w:ascii="Times New Roman;serif" w:hAnsi="Times New Roman;serif"/>
          <w:b w:val="false"/>
          <w:sz w:val="20"/>
          <w:u w:val="single"/>
        </w:rPr>
        <w:t>Negative Pledge</w:t>
      </w:r>
      <w:r>
        <w:rPr>
          <w:rFonts w:ascii="Times New Roman;serif" w:hAnsi="Times New Roman;serif"/>
          <w:b w:val="false"/>
          <w:sz w:val="20"/>
        </w:rPr>
        <w:t xml:space="preserve">. Holdings and 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the foregoing shall not apply to restrictions and conditions imposed by:</w:t>
      </w:r>
    </w:p>
    <w:p>
      <w:pPr>
        <w:pStyle w:val="TextBody"/>
        <w:bidi w:val="0"/>
        <w:spacing w:before="200" w:after="0"/>
        <w:jc w:val="both"/>
        <w:rPr>
          <w:rFonts w:ascii="Times New Roman" w:hAnsi="Times New Roman"/>
          <w:b w:val="false"/>
          <w:sz w:val="22"/>
        </w:rPr>
      </w:pPr>
      <w:r>
        <w:rPr>
          <w:rFonts w:ascii="Times New Roman" w:hAnsi="Times New Roman"/>
          <w:b w:val="false"/>
          <w:sz w:val="22"/>
        </w:rPr>
        <w:t>(a)</w:t>
      </w:r>
    </w:p>
    <w:p>
      <w:pPr>
        <w:pStyle w:val="TextBody"/>
        <w:bidi w:val="0"/>
        <w:spacing w:before="200" w:after="0"/>
        <w:jc w:val="both"/>
        <w:rPr/>
      </w:pPr>
      <w:r>
        <w:rPr>
          <w:rFonts w:ascii="Times New Roman;serif" w:hAnsi="Times New Roman;serif"/>
          <w:b w:val="false"/>
          <w:sz w:val="20"/>
        </w:rPr>
        <w:t xml:space="preserve">(i) Requirements of Law, (ii) any Loan Document, (iii) the Second Lien Credit Documents, (iv) any documentation relating to any Permitted Receivables Financing, (v) any documentation governing Incremental Equivalent Debt, (vi) any documentation governing Permitted Unsecured Refinancing Debt, Permitted First Priority Refinancing Debt or Permitted Second Priority Refinancing Debt, (vii) any documentation governing Indebtedness incurred pursuant to </w:t>
      </w:r>
      <w:r>
        <w:rPr>
          <w:rFonts w:ascii="Times New Roman;serif" w:hAnsi="Times New Roman;serif"/>
          <w:b w:val="false"/>
          <w:sz w:val="20"/>
          <w:u w:val="single"/>
        </w:rPr>
        <w:t>Section 6.01(a)(xxvii)</w:t>
      </w:r>
      <w:r>
        <w:rPr/>
        <w:t xml:space="preserve"> </w:t>
      </w:r>
      <w:r>
        <w:rPr>
          <w:rFonts w:ascii="Times New Roman;serif" w:hAnsi="Times New Roman;serif"/>
          <w:b w:val="false"/>
          <w:sz w:val="20"/>
        </w:rPr>
        <w:t xml:space="preserve">and (viii) any documentation governing any Permitted Refinancing incurred to refinance any such Indebtedness referenced in clauses (i) through (vii) above; </w:t>
      </w:r>
      <w:r>
        <w:rPr>
          <w:rFonts w:ascii="Times New Roman;serif" w:hAnsi="Times New Roman;serif"/>
          <w:b w:val="false"/>
          <w:sz w:val="20"/>
          <w:u w:val="single"/>
        </w:rPr>
        <w:t>provided</w:t>
      </w:r>
      <w:r>
        <w:rPr/>
        <w:t xml:space="preserve"> </w:t>
      </w:r>
      <w:r>
        <w:rPr>
          <w:rFonts w:ascii="Times New Roman;serif" w:hAnsi="Times New Roman;serif"/>
          <w:b w:val="false"/>
          <w:sz w:val="20"/>
        </w:rPr>
        <w:t>that with respect to Indebtedness referenced in (A) clauses (v) and (vii) above, such restrictions shall be no more restrictive in any material respect than the restrictions and conditions in the Loan Documents or, in the case of Junior Financing, are market terms at the time of issuance and (B) clause (vi) above, such restrictions shall not expand the scope in any material respect of any such restriction or condition contained in the Indebtedness being refinanced;</w:t>
      </w:r>
    </w:p>
    <w:p>
      <w:pPr>
        <w:pStyle w:val="TextBody"/>
        <w:bidi w:val="0"/>
        <w:spacing w:before="200" w:after="0"/>
        <w:jc w:val="both"/>
        <w:rPr>
          <w:rFonts w:ascii="Times New Roman" w:hAnsi="Times New Roman"/>
          <w:b w:val="false"/>
          <w:sz w:val="22"/>
        </w:rPr>
      </w:pPr>
      <w:r>
        <w:rPr>
          <w:rFonts w:ascii="Times New Roman" w:hAnsi="Times New Roman"/>
          <w:b w:val="false"/>
          <w:sz w:val="22"/>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pStyle w:val="TextBody"/>
        <w:bidi w:val="0"/>
        <w:spacing w:before="200" w:after="0"/>
        <w:jc w:val="both"/>
        <w:rPr>
          <w:rFonts w:ascii="Times New Roman" w:hAnsi="Times New Roman"/>
          <w:b w:val="false"/>
          <w:sz w:val="22"/>
        </w:rPr>
      </w:pPr>
      <w:r>
        <w:rPr>
          <w:rFonts w:ascii="Times New Roman" w:hAnsi="Times New Roman"/>
          <w:b w:val="false"/>
          <w:sz w:val="22"/>
        </w:rPr>
        <w:t>(c)</w:t>
      </w:r>
    </w:p>
    <w:p>
      <w:pPr>
        <w:pStyle w:val="TextBody"/>
        <w:bidi w:val="0"/>
        <w:spacing w:before="200" w:after="0"/>
        <w:jc w:val="both"/>
        <w:rPr/>
      </w:pPr>
      <w:r>
        <w:rPr>
          <w:rFonts w:ascii="Times New Roman;serif" w:hAnsi="Times New Roman;serif"/>
          <w:b w:val="false"/>
          <w:sz w:val="20"/>
        </w:rPr>
        <w:t xml:space="preserve">restrictions and conditions contained in agreements relating to the sale of a Subsidiary or any assets pending such sale;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restrictions and conditions apply only to the Subsidiary or assets that is or are to be sold and such sale is permitted hereunder;</w:t>
      </w:r>
    </w:p>
    <w:p>
      <w:pPr>
        <w:pStyle w:val="TextBody"/>
        <w:bidi w:val="0"/>
        <w:spacing w:before="200" w:after="0"/>
        <w:jc w:val="both"/>
        <w:rPr>
          <w:rFonts w:ascii="Times New Roman" w:hAnsi="Times New Roman"/>
          <w:b w:val="false"/>
          <w:sz w:val="22"/>
        </w:rPr>
      </w:pPr>
      <w:r>
        <w:rPr>
          <w:rFonts w:ascii="Times New Roman" w:hAnsi="Times New Roman"/>
          <w:b w:val="false"/>
          <w:sz w:val="22"/>
        </w:rPr>
        <w:t>(d)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customary provisions in leases, licenses and other contracts restricting the assignment thereof;</w:t>
      </w:r>
    </w:p>
    <w:p>
      <w:pPr>
        <w:pStyle w:val="TextBody"/>
        <w:bidi w:val="0"/>
        <w:spacing w:before="200" w:after="0"/>
        <w:jc w:val="both"/>
        <w:rPr>
          <w:rFonts w:ascii="Times New Roman" w:hAnsi="Times New Roman"/>
          <w:b w:val="false"/>
          <w:sz w:val="22"/>
        </w:rPr>
      </w:pPr>
      <w:r>
        <w:rPr>
          <w:rFonts w:ascii="Times New Roman" w:hAnsi="Times New Roman"/>
          <w:b w:val="false"/>
          <w:sz w:val="22"/>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restrictions imposed by any agreement relating to secured Indebtedness permitted by this Agreement to the extent such restriction applies only to the property securing by such Indebtedness;</w:t>
      </w:r>
    </w:p>
    <w:p>
      <w:pPr>
        <w:pStyle w:val="TextBody"/>
        <w:bidi w:val="0"/>
        <w:spacing w:before="200" w:after="0"/>
        <w:jc w:val="both"/>
        <w:rPr>
          <w:rFonts w:ascii="Times New Roman" w:hAnsi="Times New Roman"/>
          <w:b w:val="false"/>
          <w:sz w:val="22"/>
        </w:rPr>
      </w:pPr>
      <w:r>
        <w:rPr>
          <w:rFonts w:ascii="Times New Roman" w:hAnsi="Times New Roman"/>
          <w:b w:val="false"/>
          <w:sz w:val="22"/>
        </w:rPr>
        <w:t>(f)</w:t>
      </w:r>
    </w:p>
    <w:p>
      <w:pPr>
        <w:pStyle w:val="TextBody"/>
        <w:bidi w:val="0"/>
        <w:spacing w:before="200" w:after="0"/>
        <w:jc w:val="both"/>
        <w:rPr/>
      </w:pPr>
      <w:r>
        <w:rPr>
          <w:rFonts w:ascii="Times New Roman;serif" w:hAnsi="Times New Roman;serif"/>
          <w:b w:val="false"/>
          <w:sz w:val="20"/>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agreement was not entered into in contemplation of such Person becoming a Restricted Subsidiary and the restriction or condition set forth in such agreement does not apply to Holdings, the Borrower or any Restricted Subsidiary;</w:t>
      </w:r>
    </w:p>
    <w:p>
      <w:pPr>
        <w:pStyle w:val="TextBody"/>
        <w:bidi w:val="0"/>
        <w:spacing w:before="200" w:after="0"/>
        <w:jc w:val="both"/>
        <w:rPr>
          <w:rFonts w:ascii="Times New Roman" w:hAnsi="Times New Roman"/>
          <w:b w:val="false"/>
          <w:sz w:val="22"/>
        </w:rPr>
      </w:pPr>
      <w:r>
        <w:rPr>
          <w:rFonts w:ascii="Times New Roman" w:hAnsi="Times New Roman"/>
          <w:b w:val="false"/>
          <w:sz w:val="22"/>
        </w:rPr>
        <w:t>(g)</w:t>
      </w:r>
    </w:p>
    <w:p>
      <w:pPr>
        <w:pStyle w:val="TextBody"/>
        <w:bidi w:val="0"/>
        <w:spacing w:before="200" w:after="0"/>
        <w:jc w:val="both"/>
        <w:rPr/>
      </w:pPr>
      <w:r>
        <w:rPr>
          <w:rFonts w:ascii="Times New Roman;serif" w:hAnsi="Times New Roman;serif"/>
          <w:b w:val="false"/>
          <w:sz w:val="20"/>
        </w:rPr>
        <w:t xml:space="preserve">restrictions or conditions in any Indebtedness permitted pursuant to </w:t>
      </w:r>
      <w:r>
        <w:rPr>
          <w:rFonts w:ascii="Times New Roman;serif" w:hAnsi="Times New Roman;serif"/>
          <w:b w:val="false"/>
          <w:sz w:val="20"/>
          <w:u w:val="single"/>
        </w:rPr>
        <w:t>Section 6.01</w:t>
      </w:r>
      <w:r>
        <w:rPr/>
        <w:t xml:space="preserve"> </w:t>
      </w:r>
      <w:r>
        <w:rPr>
          <w:rFonts w:ascii="Times New Roman;serif" w:hAnsi="Times New Roman;serif"/>
          <w:b w:val="false"/>
          <w:sz w:val="20"/>
        </w:rPr>
        <w:t>that is incurred or assumed by Restricted Subsidiaries that are not Loan Parties to the extent such restrictions or conditions are no more restrictive in any material respect than the restrictions and conditions in the Loan Documents or are market terms at the time of issuance and are imposed solely on such Restricted Subsidiary and its Subsidiaries;</w:t>
      </w:r>
    </w:p>
    <w:p>
      <w:pPr>
        <w:pStyle w:val="TextBody"/>
        <w:bidi w:val="0"/>
        <w:spacing w:before="200" w:after="0"/>
        <w:jc w:val="both"/>
        <w:rPr>
          <w:rFonts w:ascii="Times New Roman" w:hAnsi="Times New Roman"/>
          <w:b w:val="false"/>
          <w:sz w:val="22"/>
        </w:rPr>
      </w:pPr>
      <w:r>
        <w:rPr>
          <w:rFonts w:ascii="Times New Roman" w:hAnsi="Times New Roman"/>
          <w:b w:val="false"/>
          <w:sz w:val="22"/>
        </w:rPr>
        <w:t>(h)</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restrictions on cash (or Permitted Investments) or other deposits imposed by agreements entered into in the ordinary course of business (or other restrictions on cash or deposits constituting Permitted Encumbrances);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2"/>
        </w:rPr>
      </w:pPr>
      <w:r>
        <w:rPr>
          <w:rFonts w:ascii="Times New Roman" w:hAnsi="Times New Roman"/>
          <w:b w:val="false"/>
          <w:sz w:val="22"/>
        </w:rPr>
        <w:t>(i)</w:t>
      </w:r>
    </w:p>
    <w:p>
      <w:pPr>
        <w:pStyle w:val="TextBody"/>
        <w:bidi w:val="0"/>
        <w:spacing w:before="200" w:after="0"/>
        <w:jc w:val="both"/>
        <w:rPr/>
      </w:pPr>
      <w:r>
        <w:rPr>
          <w:rFonts w:ascii="Times New Roman;serif" w:hAnsi="Times New Roman;serif"/>
          <w:b w:val="false"/>
          <w:sz w:val="20"/>
        </w:rPr>
        <w:t xml:space="preserve">restrictions set forth on </w:t>
      </w:r>
      <w:r>
        <w:rPr>
          <w:rFonts w:ascii="Times New Roman;serif" w:hAnsi="Times New Roman;serif"/>
          <w:b w:val="false"/>
          <w:sz w:val="20"/>
          <w:u w:val="single"/>
        </w:rPr>
        <w:t>Schedule 6.07</w:t>
      </w:r>
      <w:r>
        <w:rPr/>
        <w:t xml:space="preserve"> </w:t>
      </w:r>
      <w:r>
        <w:rPr>
          <w:rFonts w:ascii="Times New Roman;serif" w:hAnsi="Times New Roman;serif"/>
          <w:b w:val="false"/>
          <w:sz w:val="20"/>
        </w:rPr>
        <w:t>and any extension, renewal, amendment, modification or replacement thereof, except to the extent any such amendment, modification or replacement expands the scope of any such restriction or condition;</w:t>
      </w:r>
    </w:p>
    <w:p>
      <w:pPr>
        <w:pStyle w:val="TextBody"/>
        <w:bidi w:val="0"/>
        <w:spacing w:before="200" w:after="0"/>
        <w:jc w:val="both"/>
        <w:rPr>
          <w:rFonts w:ascii="Times New Roman" w:hAnsi="Times New Roman"/>
          <w:b w:val="false"/>
          <w:sz w:val="22"/>
        </w:rPr>
      </w:pPr>
      <w:r>
        <w:rPr>
          <w:rFonts w:ascii="Times New Roman" w:hAnsi="Times New Roman"/>
          <w:b w:val="false"/>
          <w:sz w:val="22"/>
        </w:rPr>
        <w:t>(j)</w:t>
      </w:r>
    </w:p>
    <w:p>
      <w:pPr>
        <w:pStyle w:val="TextBody"/>
        <w:bidi w:val="0"/>
        <w:spacing w:before="200" w:after="0"/>
        <w:jc w:val="both"/>
        <w:rPr/>
      </w:pPr>
      <w:r>
        <w:rPr>
          <w:rFonts w:ascii="Times New Roman;serif" w:hAnsi="Times New Roman;serif"/>
          <w:b w:val="false"/>
          <w:sz w:val="20"/>
        </w:rPr>
        <w:t xml:space="preserve">customary provisions in joint venture agreements and other similar agreements applicable to joint ventures permitted by </w:t>
      </w:r>
      <w:r>
        <w:rPr>
          <w:rFonts w:ascii="Times New Roman;serif" w:hAnsi="Times New Roman;serif"/>
          <w:b w:val="false"/>
          <w:sz w:val="20"/>
          <w:u w:val="single"/>
        </w:rPr>
        <w:t>Section 6.02</w:t>
      </w:r>
      <w:r>
        <w:rPr/>
        <w:t xml:space="preserve"> </w:t>
      </w:r>
      <w:r>
        <w:rPr>
          <w:rFonts w:ascii="Times New Roman;serif" w:hAnsi="Times New Roman;serif"/>
          <w:b w:val="false"/>
          <w:sz w:val="20"/>
        </w:rPr>
        <w:t>and applicable solely to such joint venture and entered into in the ordinary course of business; and</w:t>
      </w:r>
    </w:p>
    <w:p>
      <w:pPr>
        <w:pStyle w:val="TextBody"/>
        <w:bidi w:val="0"/>
        <w:spacing w:before="200" w:after="0"/>
        <w:jc w:val="both"/>
        <w:rPr>
          <w:rFonts w:ascii="Times New Roman" w:hAnsi="Times New Roman"/>
          <w:b w:val="false"/>
          <w:sz w:val="22"/>
        </w:rPr>
      </w:pPr>
      <w:r>
        <w:rPr>
          <w:rFonts w:ascii="Times New Roman" w:hAnsi="Times New Roman"/>
          <w:b w:val="false"/>
          <w:sz w:val="22"/>
        </w:rPr>
        <w:t>(k)</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customary net worth provisions contained in real property leases entered into by Subsidiaries, so long as Holdings has determined in good faith that such net worth provisions could not reasonably be expected to impair the ability of Holdings and its Subsidiaries to meet their ongoing obligations.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6.08 </w:t>
      </w:r>
      <w:r>
        <w:rPr>
          <w:rFonts w:ascii="Times New Roman;serif" w:hAnsi="Times New Roman;serif"/>
          <w:b w:val="false"/>
          <w:sz w:val="20"/>
          <w:u w:val="single"/>
        </w:rPr>
        <w:t>Restricted Payments; Certain Payments of Indebtedness</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Neither Holdings nor the Borrower will, nor will they permit any Restricted Subsidiary to, pay or make, directly or indirectly, any Restricted Payment, except: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pPr>
      <w:r>
        <w:rPr>
          <w:rFonts w:ascii="Times New Roman;serif" w:hAnsi="Times New Roman;serif"/>
          <w:b w:val="false"/>
          <w:sz w:val="20"/>
        </w:rPr>
        <w:t xml:space="preserve">the Borrower and each Restricted Subsidiary may make Restricted Payments to the Borrower or any other Restricted Subsidiary; </w:t>
      </w:r>
      <w:r>
        <w:rPr>
          <w:rFonts w:ascii="Times New Roman;serif" w:hAnsi="Times New Roman;serif"/>
          <w:b w:val="false"/>
          <w:sz w:val="20"/>
          <w:u w:val="single"/>
        </w:rPr>
        <w:t>provided</w:t>
      </w:r>
      <w:r>
        <w:rPr/>
        <w:t xml:space="preserve"> </w:t>
      </w:r>
      <w:r>
        <w:rPr>
          <w:rFonts w:ascii="Times New Roman;serif" w:hAnsi="Times New Roman;serif"/>
          <w:b w:val="false"/>
          <w:sz w:val="20"/>
        </w:rPr>
        <w:t>that in the case of any such Restricted Payment by a Restricted Subsidiary that is not a wholly-owned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pPr>
      <w:r>
        <w:rPr>
          <w:rFonts w:ascii="Times New Roman;serif" w:hAnsi="Times New Roman;serif"/>
          <w:b w:val="false"/>
          <w:sz w:val="20"/>
        </w:rPr>
        <w:t xml:space="preserve">Restricted Payments to satisfy appraisal or other dissenters’ rights, pursuant to or in connection with a consolidation, amalgamation, merger, transfer of assets or acquisition that complies with </w:t>
      </w:r>
      <w:r>
        <w:rPr>
          <w:rFonts w:ascii="Times New Roman;serif" w:hAnsi="Times New Roman;serif"/>
          <w:b w:val="false"/>
          <w:sz w:val="20"/>
          <w:u w:val="single"/>
        </w:rPr>
        <w:t>Section 6.03</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6.04</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may declare and make dividend payments or other distributions payable solely in the Equity Interests of such Person;</w:t>
      </w:r>
    </w:p>
    <w:p>
      <w:pPr>
        <w:pStyle w:val="TextBody"/>
        <w:bidi w:val="0"/>
        <w:spacing w:before="200" w:after="0"/>
        <w:jc w:val="both"/>
        <w:rPr>
          <w:rFonts w:ascii="Times New Roman" w:hAnsi="Times New Roman"/>
          <w:b w:val="false"/>
          <w:sz w:val="20"/>
        </w:rPr>
      </w:pPr>
      <w:r>
        <w:rPr>
          <w:rFonts w:ascii="Times New Roman" w:hAnsi="Times New Roman"/>
          <w:b w:val="false"/>
          <w:sz w:val="20"/>
        </w:rPr>
        <w:t>(iv)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Restricted Payments made in connection with or in order to consummate the Transactions (including, without limitation, (A) cash payments to holders of Equity Interests, restricted stock units, options or other equity-linked interests of Target (or any Parent Entity) as provided by the Acquisition Agreement, (B) Restricted Payments (x) to direct and indirect parent companies of Holdings to finance a portion of the consideration for the Acquisition and (y) to holders of Equity Interests of the Target (immediately prior to giving effect to the Acquisition) in connection with, or as a result of, their exercise of appraisal rights and the settlement of any claims or actions (whether actual, contingent or potential) with respect thereto, in each case, with respect to the Transactions and (C) other payments with respect to working capital adjustments or otherwise to the extent contemplated by the Acquisition Agreement, including any payments in respect of any warranty and indemnity insurance policy);</w:t>
      </w:r>
    </w:p>
    <w:p>
      <w:pPr>
        <w:pStyle w:val="TextBody"/>
        <w:bidi w:val="0"/>
        <w:spacing w:before="200" w:after="0"/>
        <w:jc w:val="both"/>
        <w:rPr>
          <w:rFonts w:ascii="Times New Roman" w:hAnsi="Times New Roman"/>
          <w:b w:val="false"/>
          <w:sz w:val="20"/>
        </w:rPr>
      </w:pPr>
      <w:r>
        <w:rPr>
          <w:rFonts w:ascii="Times New Roman" w:hAnsi="Times New Roman"/>
          <w:b w:val="false"/>
          <w:sz w:val="20"/>
        </w:rPr>
        <w:t>(v)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repurchases of Equity Interests in Holdings (or Restricted Payments by Holdings to allow repurchases of Equity Interests in any direct or indirect parent of Holdings) deemed to occur upon exercise of stock options or warrants or other incentive interests if such Equity Interests represent a portion of the exercise price of such stock options or warrants or other incentive interest;</w:t>
      </w:r>
    </w:p>
    <w:p>
      <w:pPr>
        <w:pStyle w:val="TextBody"/>
        <w:bidi w:val="0"/>
        <w:spacing w:before="200" w:after="0"/>
        <w:jc w:val="both"/>
        <w:rPr>
          <w:rFonts w:ascii="Times New Roman" w:hAnsi="Times New Roman"/>
          <w:b w:val="false"/>
          <w:sz w:val="20"/>
        </w:rPr>
      </w:pPr>
      <w:r>
        <w:rPr>
          <w:rFonts w:ascii="Times New Roman" w:hAnsi="Times New Roman"/>
          <w:b w:val="false"/>
          <w:sz w:val="20"/>
        </w:rPr>
        <w:t>(vi)</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 xml:space="preserve">Restricted Payments to Holdings which Holdings may use to redeem, acquire, retire or repurchase its Equity Interests (or any options, warrants, restricted stock units or stock appreciation rights or other equity-linked interests issued with respect to any of such Equity Interests) (or to make Restricted Payments to allow any of Holdings’ direct or indirect parent companies to so redeem, retire, acquire or repurchase their Equity Interests or other such interests) held by current or former officers, managers, consultants, directors and employees (or their respective Affiliates, spouses, former spouses, other Permitted Transferees, successors, executors, administrators, heirs, legatees or distributees) of Holdings (or any direct or indirect parent thereof), the Borrower and the Restricted Subsidiaries, upon the death, disability, retirement or termination of employment of any such Person or otherwise in accordance with any stock option or stock appreciation rights plan, any management, director and/or employee stock ownership or incentive plan, stock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subscription plan, profits interest, employment termination agreement or any other employment agreements or equity holders’ agreement;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except with respect to non-discretionary repurchases, the aggregate amount of Restricted Payments permitted by this clause (vi) after the Effective Date, together with the aggregate amount of loans and advances to Holdings (or any direct or indirect parent thereof) made pursuant to </w:t>
      </w:r>
      <w:r>
        <w:rPr>
          <w:rFonts w:ascii="Times New Roman;serif" w:hAnsi="Times New Roman;serif"/>
          <w:b w:val="false"/>
          <w:sz w:val="20"/>
          <w:u w:val="single"/>
        </w:rPr>
        <w:t>Section 6.04(m)</w:t>
      </w:r>
      <w:r>
        <w:rPr/>
        <w:t xml:space="preserve"> </w:t>
      </w:r>
      <w:r>
        <w:rPr>
          <w:rFonts w:ascii="Times New Roman;serif" w:hAnsi="Times New Roman;serif"/>
          <w:b w:val="false"/>
          <w:sz w:val="20"/>
        </w:rPr>
        <w:t>in lieu thereof, shall not exceed the sum of (a) the greater of $11,000,000 and 7.5% of Consolidated EBITDA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after the occurrence of an IPO, such amount shall be the greater of $22,000,000 and 15% of Consolidated EBITDA) for the most recently ended Test Period in any fiscal year of the Borrower (net of any proceeds from the reissuance or resale of such Equity Interests to another Person received by Holdings, the Borrower or any Restricted Subsidiary), (a) the amount in any fiscal year equal to the cash proceeds of key man life insurance policies received by Holdings, the Borrower or the Restricted Subsidiaries after the Effective Date, and (a) the cash proceeds from the sale of Equity Interests (other than Disqualified Equity Interests) of Holdings (to the extent contributed to Holdings in the form of common Equity Interests or Qualified Equity Interests) and, to the extent contributed to Holdings, the cash proceeds from the sale of Equity Interests of any direct or indirect Parent Entity or management investment vehicle, in each case to any future, present or former employees, directors, managers or consultants of Holdings, any of its Subsidiaries or any direct or indirect Parent Entity or management investment vehicle that occurs after the Effective Date, to the extent the cash proceeds from the sale of such Equity Interests are contributed to Holdings in the form of common Equity Interests or Qualified Equity Interests and are not Cure Amounts and have not otherwise been applied to the payment of Restricted Payments by virtue of the Available Equity Amount or are otherwise applied to increase any other basket hereunder;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any unused portion of the preceding basket calculated pursuant to clauses (a) and (b) above for any fiscal year may be carried forward to succeeding fiscal years;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any Indebtedness Incurred or Investments or payments made in reliance upon the Available RP Capacity Amount utilizing the unused amounts available pursuant to this </w:t>
      </w:r>
      <w:r>
        <w:rPr>
          <w:rFonts w:ascii="Times New Roman;serif" w:hAnsi="Times New Roman;serif"/>
          <w:b w:val="false"/>
          <w:sz w:val="20"/>
          <w:u w:val="single"/>
        </w:rPr>
        <w:t>Section 6.08(a)(vi)</w:t>
      </w:r>
      <w:r>
        <w:rPr/>
        <w:t xml:space="preserve"> </w:t>
      </w:r>
      <w:r>
        <w:rPr>
          <w:rFonts w:ascii="Times New Roman;serif" w:hAnsi="Times New Roman;serif"/>
          <w:b w:val="false"/>
          <w:sz w:val="20"/>
        </w:rPr>
        <w:t xml:space="preserve">shall reduce the amounts available pursuant to this </w:t>
      </w:r>
      <w:r>
        <w:rPr>
          <w:rFonts w:ascii="Times New Roman;serif" w:hAnsi="Times New Roman;serif"/>
          <w:b w:val="false"/>
          <w:sz w:val="20"/>
          <w:u w:val="single"/>
        </w:rPr>
        <w:t>Section 6.08(a)(vi)</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(vii)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and/or any Restricted Subsidiary may make Restricted Payments in cash:</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pPr>
      <w:r>
        <w:rPr>
          <w:rFonts w:ascii="Times New Roman;serif" w:hAnsi="Times New Roman;serif"/>
          <w:b w:val="false"/>
          <w:sz w:val="20"/>
        </w:rPr>
        <w:t xml:space="preserve">the proceeds of which shall be used by Holdings to pay (or to make Restricted Payments to allow any direct or indirect parent of Holdings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or officers of Holdings (or any parent thereof) attributable to the ownership or operations of Holdings, the Borrower and the Restricted Subsidiaries, (3) fees and expenses (x) due and payable by any of Holdings, the Borrower and the Restricted Subsidiaries and (y) otherwise permitted to be paid by Holdings, the Borrower and the Restricted Subsidiaries under this Agreement and (4) payments that would otherwise be permitted to be paid directly by Holdings, the Borrower or the Restricted Subsidiaries pursuant to </w:t>
      </w:r>
      <w:r>
        <w:rPr>
          <w:rFonts w:ascii="Times New Roman;serif" w:hAnsi="Times New Roman;serif"/>
          <w:b w:val="false"/>
          <w:sz w:val="20"/>
          <w:u w:val="single"/>
        </w:rPr>
        <w:t>Section 6.09(iii)</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(x)</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proceeds of which shall be used by Holdings to pay (or to make Restricted Payments to allow any direct or indirect parent of Holdings to pay) franchise and similar Taxes, and other fees and expenses, required to maintain its organizational existence;</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pPr>
      <w:r>
        <w:rPr>
          <w:rFonts w:ascii="Times New Roman;serif" w:hAnsi="Times New Roman;serif"/>
          <w:b w:val="false"/>
          <w:sz w:val="20"/>
        </w:rPr>
        <w:t xml:space="preserve">the proceeds of which shall be used by Holdings (or any other direct or indirect parent thereof) to make Restricted Payments of the type permitted by </w:t>
      </w:r>
      <w:r>
        <w:rPr>
          <w:rFonts w:ascii="Times New Roman;serif" w:hAnsi="Times New Roman;serif"/>
          <w:b w:val="false"/>
          <w:sz w:val="20"/>
          <w:u w:val="single"/>
        </w:rPr>
        <w:t>Section 6.08(a)(iv)</w:t>
      </w:r>
      <w:r>
        <w:rPr>
          <w:rFonts w:ascii="Times New Roman;serif" w:hAnsi="Times New Roman;serif"/>
          <w:b w:val="false"/>
          <w:sz w:val="20"/>
        </w:rPr>
        <w:t xml:space="preserve">,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6.08(a)(vi)</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6.08(a)(xi)</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283"/>
        <w:jc w:val="both"/>
        <w:rPr/>
      </w:pPr>
      <w:r>
        <w:rPr>
          <w:rFonts w:ascii="Times New Roman;serif" w:hAnsi="Times New Roman;serif"/>
          <w:b w:val="false"/>
          <w:sz w:val="20"/>
        </w:rPr>
        <w:t xml:space="preserve">to finance any Investment permitted to be made pursuant to </w:t>
      </w:r>
      <w:r>
        <w:rPr>
          <w:rFonts w:ascii="Times New Roman;serif" w:hAnsi="Times New Roman;serif"/>
          <w:b w:val="false"/>
          <w:sz w:val="20"/>
          <w:u w:val="single"/>
        </w:rPr>
        <w:t>Section 6.04</w:t>
      </w:r>
      <w:r>
        <w:rPr/>
        <w:t xml:space="preserve"> </w:t>
      </w:r>
      <w:r>
        <w:rPr>
          <w:rFonts w:ascii="Times New Roman;serif" w:hAnsi="Times New Roman;serif"/>
          <w:b w:val="false"/>
          <w:sz w:val="20"/>
        </w:rPr>
        <w:t xml:space="preserve">other than </w:t>
      </w:r>
      <w:r>
        <w:rPr>
          <w:rFonts w:ascii="Times New Roman;serif" w:hAnsi="Times New Roman;serif"/>
          <w:b w:val="false"/>
          <w:sz w:val="20"/>
          <w:u w:val="single"/>
        </w:rPr>
        <w:t>Section 6.04(m)</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(1) such Restricted Payment shall be made substantially concurrently with the closing of such Investment and (2) Holdings shall, immediately following the closing thereof, cause (x) all property acquired (whether assets or Equity Interests but not including any loans or advances made pursuant to </w:t>
      </w:r>
      <w:r>
        <w:rPr>
          <w:rFonts w:ascii="Times New Roman;serif" w:hAnsi="Times New Roman;serif"/>
          <w:b w:val="false"/>
          <w:sz w:val="20"/>
          <w:u w:val="single"/>
        </w:rPr>
        <w:t>Section 6.04(b)</w:t>
      </w:r>
      <w:r>
        <w:rPr>
          <w:rFonts w:ascii="Times New Roman;serif" w:hAnsi="Times New Roman;serif"/>
          <w:b w:val="false"/>
          <w:sz w:val="20"/>
        </w:rPr>
        <w:t xml:space="preserve">) to be contributed to the Borrower or the Restricted Subsidiaries or (y) the Person formed or acquired to merge into or consolidate with the Borrower or any of the Restricted Subsidiaries to the extent such merger, amalgamation or consolidation is permitted in </w:t>
      </w:r>
      <w:r>
        <w:rPr>
          <w:rFonts w:ascii="Times New Roman;serif" w:hAnsi="Times New Roman;serif"/>
          <w:b w:val="false"/>
          <w:sz w:val="20"/>
          <w:u w:val="single"/>
        </w:rPr>
        <w:t>Section 6.03</w:t>
      </w:r>
      <w:r>
        <w:rPr>
          <w:rFonts w:ascii="Times New Roman;serif" w:hAnsi="Times New Roman;serif"/>
          <w:b w:val="false"/>
          <w:sz w:val="20"/>
        </w:rPr>
        <w:t xml:space="preserve">) in order to consummate such Investment, in each case in accordance with the requirements of </w:t>
      </w:r>
      <w:r>
        <w:rPr>
          <w:rFonts w:ascii="Times New Roman;serif" w:hAnsi="Times New Roman;serif"/>
          <w:b w:val="false"/>
          <w:sz w:val="20"/>
          <w:u w:val="single"/>
        </w:rPr>
        <w:t>Sections 5.11</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5.12</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proceeds of which shall be used to pay customary salary, bonus and other benefits payable to officers and employees of Holdings or any direct or indirect parent company of Holdings to the extent such salaries, bonuses and other benefits are attributable to the ownership or operation of Holdings, the Borrower and the Restricted Subsidiaries; and</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proceeds of which shall be used by Holdings to pay (or to make Restricted Payments to allow any direct or indirect parent thereof to pay) fees and expenses related to any equity offering, debt offering or other non-ordinary course transaction not prohibited by this Agreement (whether or not such offering or other transaction is successful);</w:t>
      </w:r>
    </w:p>
    <w:p>
      <w:pPr>
        <w:pStyle w:val="TextBody"/>
        <w:bidi w:val="0"/>
        <w:spacing w:before="200" w:after="0"/>
        <w:jc w:val="both"/>
        <w:rPr>
          <w:rFonts w:ascii="Times New Roman" w:hAnsi="Times New Roman"/>
          <w:b w:val="false"/>
          <w:sz w:val="20"/>
        </w:rPr>
      </w:pPr>
      <w:r>
        <w:rPr>
          <w:rFonts w:ascii="Times New Roman" w:hAnsi="Times New Roman"/>
          <w:b w:val="false"/>
          <w:sz w:val="20"/>
        </w:rPr>
        <w:t>(viii)</w:t>
      </w:r>
    </w:p>
    <w:p>
      <w:pPr>
        <w:pStyle w:val="TextBody"/>
        <w:bidi w:val="0"/>
        <w:spacing w:before="200" w:after="0"/>
        <w:jc w:val="both"/>
        <w:rPr/>
      </w:pPr>
      <w:r>
        <w:rPr>
          <w:rFonts w:ascii="Times New Roman;serif" w:hAnsi="Times New Roman;serif"/>
          <w:b w:val="false"/>
          <w:sz w:val="20"/>
        </w:rPr>
        <w:t xml:space="preserve">additional Restricted Payments (including Restricted Payments to Holdings, the proceeds of which may be utilized by Holdings to make additional Restricted Payments, to make any payments in respect of any Permitted Holdings Debt or otherwise) (A) in an aggregate amount not to exceed, at the time of making any such Restricted Payment and when taken together with the aggregate amount of loans and advances to Holdings (or any direct or indirect parent thereof) made pursuant to </w:t>
      </w:r>
      <w:r>
        <w:rPr>
          <w:rFonts w:ascii="Times New Roman;serif" w:hAnsi="Times New Roman;serif"/>
          <w:b w:val="false"/>
          <w:sz w:val="20"/>
          <w:u w:val="single"/>
        </w:rPr>
        <w:t>Section 6.04(m)</w:t>
      </w:r>
      <w:r>
        <w:rPr/>
        <w:t xml:space="preserve"> </w:t>
      </w:r>
      <w:r>
        <w:rPr>
          <w:rFonts w:ascii="Times New Roman;serif" w:hAnsi="Times New Roman;serif"/>
          <w:b w:val="false"/>
          <w:sz w:val="20"/>
        </w:rPr>
        <w:t xml:space="preserve">in lieu of Restricted Payments permitted by this clause (viii) and the aggregate amount of any other Restricted Payments made utilizing this clause (A), the greater of $43,000,000 and 30% of Consolidated EBITDA for the most recently ended Test Period after giving Pro Forma Effect to the making of such Restricted Payment, (B) so long as, immediately after giving effect to any such Restricted Payment, no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has occurred and is continuing, in an amount not to exceed the Available Amount that is Not Otherwise Applied and (C) in an amount not to exceed the Available Equity Amount that is Not Otherwise Applied;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any Indebtedness Incurred or Investments or payments made in reliance upon the Available RP Capacity Amount utilizing the unused amounts available pursuant to this </w:t>
      </w:r>
      <w:r>
        <w:rPr>
          <w:rFonts w:ascii="Times New Roman;serif" w:hAnsi="Times New Roman;serif"/>
          <w:b w:val="false"/>
          <w:sz w:val="20"/>
          <w:u w:val="single"/>
        </w:rPr>
        <w:t>Section 6.08(a)(viii)</w:t>
      </w:r>
      <w:r>
        <w:rPr/>
        <w:t xml:space="preserve"> </w:t>
      </w:r>
      <w:r>
        <w:rPr>
          <w:rFonts w:ascii="Times New Roman;serif" w:hAnsi="Times New Roman;serif"/>
          <w:b w:val="false"/>
          <w:sz w:val="20"/>
        </w:rPr>
        <w:t xml:space="preserve">shall reduce the amounts available pursuant to this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6.08(a)(viii)</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(ix)</w:t>
      </w:r>
    </w:p>
    <w:p>
      <w:pPr>
        <w:pStyle w:val="TextBody"/>
        <w:bidi w:val="0"/>
        <w:spacing w:before="200" w:after="0"/>
        <w:jc w:val="both"/>
        <w:rPr/>
      </w:pPr>
      <w:r>
        <w:rPr>
          <w:rFonts w:ascii="Times New Roman;serif" w:hAnsi="Times New Roman;serif"/>
          <w:b w:val="false"/>
          <w:sz w:val="20"/>
        </w:rPr>
        <w:t xml:space="preserve">redemptions in whole or in part of any of its Equity Interests for another class of its Equity Interests or with proceeds from substantially concurrent equity contributions or issuances of new Equity Interests;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new Equity Interests contain terms and provisions at least as advantageous to the Lenders in all respects material to their interests as those contained in the Equity Interests redeemed thereby;</w:t>
      </w:r>
    </w:p>
    <w:p>
      <w:pPr>
        <w:pStyle w:val="TextBody"/>
        <w:bidi w:val="0"/>
        <w:spacing w:before="200" w:after="0"/>
        <w:jc w:val="both"/>
        <w:rPr>
          <w:rFonts w:ascii="Times New Roman" w:hAnsi="Times New Roman"/>
          <w:b w:val="false"/>
          <w:sz w:val="20"/>
        </w:rPr>
      </w:pPr>
      <w:r>
        <w:rPr>
          <w:rFonts w:ascii="Times New Roman" w:hAnsi="Times New Roman"/>
          <w:b w:val="false"/>
          <w:sz w:val="20"/>
        </w:rPr>
        <w:t>(x)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payments made or expected to be made in respect of withholding or similar Taxes payable by any future, present or former employee, director, manager or consultant and any repurchases of Equity Interests in consideration of such payments including deemed repurchases, in each case, in connection with the exercise of stock options and the vesting of restricted stock and restricted stock units and (b) payments or other adjustments to outstanding Equity Interests in accordance with any management equity plan, stock option plan or any other similar employee benefit plan, agreement or arrangement in connection with any Restricted Payment;</w:t>
      </w:r>
    </w:p>
    <w:p>
      <w:pPr>
        <w:pStyle w:val="TextBody"/>
        <w:bidi w:val="0"/>
        <w:spacing w:before="200" w:after="0"/>
        <w:jc w:val="both"/>
        <w:rPr>
          <w:rFonts w:ascii="Times New Roman" w:hAnsi="Times New Roman"/>
          <w:b w:val="false"/>
          <w:sz w:val="20"/>
        </w:rPr>
      </w:pPr>
      <w:r>
        <w:rPr>
          <w:rFonts w:ascii="Times New Roman" w:hAnsi="Times New Roman"/>
          <w:b w:val="false"/>
          <w:sz w:val="20"/>
        </w:rPr>
        <w:t>(xi)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or any Restricted Subsidiary may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200" w:after="0"/>
        <w:jc w:val="both"/>
        <w:rPr>
          <w:rFonts w:ascii="Times New Roman" w:hAnsi="Times New Roman"/>
          <w:b w:val="false"/>
          <w:sz w:val="20"/>
        </w:rPr>
      </w:pPr>
      <w:r>
        <w:rPr>
          <w:rFonts w:ascii="Times New Roman" w:hAnsi="Times New Roman"/>
          <w:b w:val="false"/>
          <w:sz w:val="20"/>
        </w:rPr>
        <w:t>(xii)</w:t>
      </w:r>
    </w:p>
    <w:p>
      <w:pPr>
        <w:pStyle w:val="TextBody"/>
        <w:bidi w:val="0"/>
        <w:spacing w:before="200" w:after="283"/>
        <w:jc w:val="both"/>
        <w:rPr/>
      </w:pPr>
      <w:r>
        <w:rPr>
          <w:rFonts w:ascii="Times New Roman;serif" w:hAnsi="Times New Roman;serif"/>
          <w:b w:val="false"/>
          <w:sz w:val="20"/>
        </w:rPr>
        <w:t xml:space="preserve">the declaration and payment of Restricted Payments on Holdings’ common stock (or the payment of Restricted Payments to any direct or indirect parent company of Holdings to fund a payment of dividends on such company’s common stock), following consummation of an IPO, in an annual amount for each fiscal year of Holdings equal to the sum of (a) an amount equal to 6.0% of the net cash proceeds of such IPO (and any subsequent public offerings) received by or contributed to Holdings and/or its Subsidiaries, other than public offerings with respect to common stock registered on Form S-8 and (b) an amount equal to 7.0% of the market capitalization of the IPO Entity at the time of such IPO;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any Indebtedness Incurred or Investments or payments made in reliance upon the Available RP Capacity Amount utilizing the unused amounts available pursuant to this </w:t>
      </w:r>
      <w:r>
        <w:rPr>
          <w:rFonts w:ascii="Times New Roman;serif" w:hAnsi="Times New Roman;serif"/>
          <w:b w:val="false"/>
          <w:sz w:val="20"/>
          <w:u w:val="single"/>
        </w:rPr>
        <w:t>Section 6.08(a)(xii)</w:t>
      </w:r>
      <w:r>
        <w:rPr/>
        <w:t xml:space="preserve"> </w:t>
      </w:r>
      <w:r>
        <w:rPr>
          <w:rFonts w:ascii="Times New Roman;serif" w:hAnsi="Times New Roman;serif"/>
          <w:b w:val="false"/>
          <w:sz w:val="20"/>
        </w:rPr>
        <w:t xml:space="preserve">shall reduce the amounts available pursuant to this </w:t>
      </w:r>
      <w:r>
        <w:rPr>
          <w:rFonts w:ascii="Times New Roman;serif" w:hAnsi="Times New Roman;serif"/>
          <w:b w:val="false"/>
          <w:sz w:val="20"/>
          <w:u w:val="single"/>
        </w:rPr>
        <w:t>Section 6.08(a)(xii)</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(xiii)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payments made or expected to be made by Holdings, the Borrower or any Restricted Subsidiary in respect of withholding or similar taxes payable upon exercise of Equity Interests by any future, present or former employee, director, officer, manager or consultant (or their respective controlled Affiliates, Immediate Family Members or Permitted Transferees) and any repurchases of Equity Interests deemed to occur upon exercise of stock options or warrants if such Equity Interests represent a portion of the exercise price of such options or warrants or required withholding or similar taxes;</w:t>
      </w:r>
    </w:p>
    <w:p>
      <w:pPr>
        <w:pStyle w:val="TextBody"/>
        <w:bidi w:val="0"/>
        <w:spacing w:before="200" w:after="0"/>
        <w:jc w:val="both"/>
        <w:rPr>
          <w:rFonts w:ascii="Times New Roman" w:hAnsi="Times New Roman"/>
          <w:b w:val="false"/>
          <w:sz w:val="20"/>
        </w:rPr>
      </w:pPr>
      <w:r>
        <w:rPr>
          <w:rFonts w:ascii="Times New Roman" w:hAnsi="Times New Roman"/>
          <w:b w:val="false"/>
          <w:sz w:val="20"/>
        </w:rPr>
        <w:t>(xiv)</w:t>
      </w:r>
    </w:p>
    <w:p>
      <w:pPr>
        <w:pStyle w:val="TextBody"/>
        <w:bidi w:val="0"/>
        <w:spacing w:before="200" w:after="0"/>
        <w:jc w:val="both"/>
        <w:rPr/>
      </w:pPr>
      <w:r>
        <w:rPr>
          <w:rFonts w:ascii="Times New Roman;serif" w:hAnsi="Times New Roman;serif"/>
          <w:b w:val="false"/>
          <w:sz w:val="20"/>
        </w:rPr>
        <w:t xml:space="preserve">additional Restricted Payments;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after giving effect to such Restricted Payment (A) on a Pro Forma Basis, the Total Leverage Ratio is less than or equal to 5.00 to 1.00 and (B) there is no continuing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(xv)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Restricted Payments constituting or otherwise made in connection with or relating to any IPO Reorganization Transactions;</w:t>
      </w:r>
    </w:p>
    <w:p>
      <w:pPr>
        <w:pStyle w:val="TextBody"/>
        <w:bidi w:val="0"/>
        <w:spacing w:before="200" w:after="0"/>
        <w:jc w:val="both"/>
        <w:rPr>
          <w:rFonts w:ascii="Times New Roman" w:hAnsi="Times New Roman"/>
          <w:b w:val="false"/>
          <w:sz w:val="20"/>
        </w:rPr>
      </w:pPr>
      <w:r>
        <w:rPr>
          <w:rFonts w:ascii="Times New Roman" w:hAnsi="Times New Roman"/>
          <w:b w:val="false"/>
          <w:sz w:val="20"/>
        </w:rPr>
        <w:t>(xvi)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distribution, by dividend or otherwise, of shares of Equity Interests of, or Indebtedness owed to Holdings, the Borrower or a Restricted Subsidiary by, Unrestricted Subsidiaries (other than Unrestricted Subsidiaries, the primary assets of which are Permitted Investments);</w:t>
      </w:r>
    </w:p>
    <w:p>
      <w:pPr>
        <w:pStyle w:val="TextBody"/>
        <w:bidi w:val="0"/>
        <w:spacing w:before="200" w:after="0"/>
        <w:jc w:val="both"/>
        <w:rPr>
          <w:rFonts w:ascii="Times New Roman" w:hAnsi="Times New Roman"/>
          <w:b w:val="false"/>
          <w:sz w:val="20"/>
        </w:rPr>
      </w:pPr>
      <w:r>
        <w:rPr>
          <w:rFonts w:ascii="Times New Roman" w:hAnsi="Times New Roman"/>
          <w:b w:val="false"/>
          <w:sz w:val="20"/>
        </w:rPr>
        <w:t>(xvii)</w:t>
      </w:r>
    </w:p>
    <w:p>
      <w:pPr>
        <w:pStyle w:val="TextBody"/>
        <w:bidi w:val="0"/>
        <w:spacing w:before="200" w:after="0"/>
        <w:jc w:val="both"/>
        <w:rPr/>
      </w:pPr>
      <w:r>
        <w:rPr>
          <w:rFonts w:ascii="Times New Roman;serif" w:hAnsi="Times New Roman;serif"/>
          <w:b w:val="false"/>
          <w:sz w:val="20"/>
        </w:rPr>
        <w:t xml:space="preserve">the declaration and payment of dividends in respect of JV Preferred Equity Interests issued in accordance with </w:t>
      </w:r>
      <w:r>
        <w:rPr>
          <w:rFonts w:ascii="Times New Roman;serif" w:hAnsi="Times New Roman;serif"/>
          <w:b w:val="false"/>
          <w:sz w:val="20"/>
          <w:u w:val="single"/>
        </w:rPr>
        <w:t>Section 6.01</w:t>
      </w:r>
      <w:r>
        <w:rPr/>
        <w:t xml:space="preserve"> </w:t>
      </w:r>
      <w:r>
        <w:rPr>
          <w:rFonts w:ascii="Times New Roman;serif" w:hAnsi="Times New Roman;serif"/>
          <w:b w:val="false"/>
          <w:sz w:val="20"/>
        </w:rPr>
        <w:t>to the extent such dividends are included in the calculation of Consolidated Interest Expense; and</w:t>
      </w:r>
    </w:p>
    <w:p>
      <w:pPr>
        <w:pStyle w:val="TextBody"/>
        <w:bidi w:val="0"/>
        <w:spacing w:before="200" w:after="0"/>
        <w:jc w:val="both"/>
        <w:rPr>
          <w:rFonts w:ascii="Times New Roman" w:hAnsi="Times New Roman"/>
          <w:b w:val="false"/>
          <w:sz w:val="20"/>
        </w:rPr>
      </w:pPr>
      <w:r>
        <w:rPr>
          <w:rFonts w:ascii="Times New Roman" w:hAnsi="Times New Roman"/>
          <w:b w:val="false"/>
          <w:sz w:val="20"/>
        </w:rPr>
        <w:t>(xviii)</w:t>
      </w:r>
    </w:p>
    <w:p>
      <w:pPr>
        <w:pStyle w:val="TextBody"/>
        <w:bidi w:val="0"/>
        <w:spacing w:before="200" w:after="283"/>
        <w:jc w:val="both"/>
        <w:rPr/>
      </w:pPr>
      <w:r>
        <w:rPr>
          <w:rFonts w:ascii="Times New Roman;serif" w:hAnsi="Times New Roman;serif"/>
          <w:b w:val="false"/>
          <w:sz w:val="20"/>
        </w:rPr>
        <w:t>Holdings, the Borrower or any Restricted Subsidiary may make Restricted Payments in cash, the proceeds of which shall be used by Holdings to pay (or to make Restricted Payments to allow any direct or indirect parent of Holdings to pay), for any taxable period for which Holdings and/or any of its Subsidiaries are members of a consolidated, combined or unitary tax group for U.S. federal and/or applicable state, local or foreign income Tax purposes of which a direct or indirect parent of Holdings is the common parent (a “</w:t>
      </w:r>
      <w:r>
        <w:rPr>
          <w:rFonts w:ascii="Times New Roman;serif" w:hAnsi="Times New Roman;serif"/>
          <w:b w:val="false"/>
          <w:sz w:val="20"/>
          <w:u w:val="single"/>
        </w:rPr>
        <w:t>Tax Group</w:t>
      </w:r>
      <w:r>
        <w:rPr/>
        <w:t>”</w:t>
      </w:r>
      <w:r>
        <w:rPr>
          <w:rFonts w:ascii="Times New Roman;serif" w:hAnsi="Times New Roman;serif"/>
          <w:b w:val="false"/>
          <w:sz w:val="20"/>
        </w:rPr>
        <w:t xml:space="preserve">), the portion of any U.S. federal, state, local or foreign Taxes (as applicable) of such Tax Group for such taxable period that are attributable to the income of Holdings and/or its Subsidiaries; </w:t>
      </w:r>
      <w:r>
        <w:rPr>
          <w:rFonts w:ascii="Times New Roman;serif" w:hAnsi="Times New Roman;serif"/>
          <w:b w:val="false"/>
          <w:sz w:val="20"/>
          <w:u w:val="single"/>
        </w:rPr>
        <w:t>provided</w:t>
      </w:r>
      <w:r>
        <w:rPr/>
        <w:t xml:space="preserve"> </w:t>
      </w:r>
      <w:r>
        <w:rPr>
          <w:rFonts w:ascii="Times New Roman;serif" w:hAnsi="Times New Roman;serif"/>
          <w:b w:val="false"/>
          <w:sz w:val="20"/>
        </w:rPr>
        <w:t>that Restricted Payments made pursuant to this clause (a)(xviii) shall not exceed the Tax liability that Holdings and/or its Subsidiaries (as applicable) would have incurred were such Taxes determined as if such entity(ies) were a stand-alone taxpayer or a stand-alone group; and provided, further, that Restricted Payments under this clause (a)(xviii) in respect of any Taxes attributable to the income of any Unrestricted Subsidiaries of Holdings may be made only to the extent that such Unrestricted Subsidiaries have made cash payments for such purpose to the Borrower or their Restricted Subsidiaries.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purposes of determining compliance with this </w:t>
      </w:r>
      <w:r>
        <w:rPr>
          <w:rFonts w:ascii="Times New Roman;serif" w:hAnsi="Times New Roman;serif"/>
          <w:b w:val="false"/>
          <w:sz w:val="20"/>
          <w:u w:val="single"/>
        </w:rPr>
        <w:t>Section 6.08(a)</w:t>
      </w:r>
      <w:r>
        <w:rPr>
          <w:rFonts w:ascii="Times New Roman;serif" w:hAnsi="Times New Roman;serif"/>
          <w:b w:val="false"/>
          <w:sz w:val="20"/>
        </w:rPr>
        <w:t xml:space="preserve">, in the event that a proposed Restricted Payment (or a portion thereof) meets the criteria of clauses (i) through (xvii) above (or any sub-clause therein), the Borrower will be entitled to classify or later reclassify (based on circumstances existing on the date of such reclassification) such Restricted Payment (or portion thereof) between such clauses (i) through (xvii) (or any sub-clause therein), in a manner that otherwise complies with this </w:t>
      </w:r>
      <w:r>
        <w:rPr>
          <w:rFonts w:ascii="Times New Roman;serif" w:hAnsi="Times New Roman;serif"/>
          <w:b w:val="false"/>
          <w:sz w:val="20"/>
          <w:u w:val="single"/>
        </w:rPr>
        <w:t>Section 6.08(a)</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if all or any portion of any Restricted Payment that is not initially made in reliance on </w:t>
      </w:r>
      <w:r>
        <w:rPr>
          <w:rFonts w:ascii="Times New Roman;serif" w:hAnsi="Times New Roman;serif"/>
          <w:b w:val="false"/>
          <w:sz w:val="20"/>
          <w:u w:val="single"/>
        </w:rPr>
        <w:t>Section 6.08(a)(xiv)</w:t>
      </w:r>
      <w:r>
        <w:rPr>
          <w:rFonts w:ascii="Times New Roman" w:hAnsi="Times New Roman"/>
          <w:sz w:val="20"/>
        </w:rPr>
        <w:t xml:space="preserve"> </w:t>
      </w:r>
      <w:r>
        <w:rPr>
          <w:rFonts w:ascii="Times New Roman;serif" w:hAnsi="Times New Roman;serif"/>
          <w:b w:val="false"/>
          <w:sz w:val="20"/>
        </w:rPr>
        <w:t xml:space="preserve">subsequently could be made in reliance on </w:t>
      </w:r>
      <w:r>
        <w:rPr>
          <w:rFonts w:ascii="Times New Roman;serif" w:hAnsi="Times New Roman;serif"/>
          <w:b w:val="false"/>
          <w:sz w:val="20"/>
          <w:u w:val="single"/>
        </w:rPr>
        <w:t>Section 6.08(a)(xiv)</w:t>
      </w:r>
      <w:r>
        <w:rPr>
          <w:rFonts w:ascii="Times New Roman;serif" w:hAnsi="Times New Roman;serif"/>
          <w:b w:val="false"/>
          <w:sz w:val="20"/>
        </w:rPr>
        <w:t xml:space="preserve">, such Restricted Payment, or the relevant portion thereof, shall automatically be reclassified as having been made in reliance on </w:t>
      </w:r>
      <w:r>
        <w:rPr>
          <w:rFonts w:ascii="Times New Roman;serif" w:hAnsi="Times New Roman;serif"/>
          <w:b w:val="false"/>
          <w:sz w:val="20"/>
          <w:u w:val="single"/>
        </w:rPr>
        <w:t>Section 6.08(a)(xiv)</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pPr>
      <w:r>
        <w:rPr>
          <w:rFonts w:ascii="Times New Roman;serif" w:hAnsi="Times New Roman;serif"/>
          <w:b w:val="false"/>
          <w:sz w:val="20"/>
        </w:rPr>
        <w:t>Neither Holdings nor the Borrower will, nor will they permit any Subsidiary Loan Party to, make or pay,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prepayment, defeasance, acquisition, cancellation or termination of any Junior Financing (any such payment, a “</w:t>
      </w:r>
      <w:r>
        <w:rPr>
          <w:rFonts w:ascii="Times New Roman;serif" w:hAnsi="Times New Roman;serif"/>
          <w:b w:val="false"/>
          <w:sz w:val="20"/>
          <w:u w:val="single"/>
        </w:rPr>
        <w:t>Restricted Debt Payment</w:t>
      </w:r>
      <w:r>
        <w:rPr/>
        <w:t>”</w:t>
      </w:r>
      <w:r>
        <w:rPr>
          <w:rFonts w:ascii="Times New Roman;serif" w:hAnsi="Times New Roman;serif"/>
          <w:b w:val="false"/>
          <w:sz w:val="20"/>
        </w:rPr>
        <w:t>), except: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payment of regularly scheduled interest and principal payments as, in the form of payment and when due in respect of any Indebtedness, other than payments in respect of any Junior Financing prohibited by the subordination provisions thereof;</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283"/>
        <w:jc w:val="both"/>
        <w:rPr/>
      </w:pPr>
      <w:r>
        <w:rPr>
          <w:rFonts w:ascii="Times New Roman;serif" w:hAnsi="Times New Roman;serif"/>
          <w:b w:val="false"/>
          <w:sz w:val="20"/>
        </w:rPr>
        <w:t xml:space="preserve">refinancings of Junior Financing Indebtedness with proceeds of other Junior Financing Indebtedness permitted to be incurred under </w:t>
      </w:r>
      <w:r>
        <w:rPr>
          <w:rFonts w:ascii="Times New Roman;serif" w:hAnsi="Times New Roman;serif"/>
          <w:b w:val="false"/>
          <w:sz w:val="20"/>
          <w:u w:val="single"/>
        </w:rPr>
        <w:t>Section 6.01</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conversion of any Junior Financing to Equity Interests (other than Disqualified Equity Interests) of Holdings or any of its direct or indirect parent companies;</w:t>
      </w:r>
    </w:p>
    <w:p>
      <w:pPr>
        <w:pStyle w:val="TextBody"/>
        <w:bidi w:val="0"/>
        <w:spacing w:before="200" w:after="0"/>
        <w:jc w:val="both"/>
        <w:rPr>
          <w:rFonts w:ascii="Times New Roman" w:hAnsi="Times New Roman"/>
          <w:b w:val="false"/>
          <w:sz w:val="20"/>
        </w:rPr>
      </w:pPr>
      <w:r>
        <w:rPr>
          <w:rFonts w:ascii="Times New Roman" w:hAnsi="Times New Roman"/>
          <w:b w:val="false"/>
          <w:sz w:val="20"/>
        </w:rPr>
        <w:t>(iv)</w:t>
      </w:r>
    </w:p>
    <w:p>
      <w:pPr>
        <w:pStyle w:val="TextBody"/>
        <w:bidi w:val="0"/>
        <w:spacing w:before="200" w:after="0"/>
        <w:jc w:val="both"/>
        <w:rPr/>
      </w:pPr>
      <w:r>
        <w:rPr>
          <w:rFonts w:ascii="Times New Roman;serif" w:hAnsi="Times New Roman;serif"/>
          <w:b w:val="false"/>
          <w:sz w:val="20"/>
        </w:rPr>
        <w:t xml:space="preserve">Restricted Debt Payments prior to their scheduled maturity (A) in an aggregate amount not to exceed, at the time of making any such Restricted Debt Payment and when taken together with the aggregate amount of loans and advances to Holdings (or any direct or indirect parent thereof) made pursuant to </w:t>
      </w:r>
      <w:r>
        <w:rPr>
          <w:rFonts w:ascii="Times New Roman;serif" w:hAnsi="Times New Roman;serif"/>
          <w:b w:val="false"/>
          <w:sz w:val="20"/>
          <w:u w:val="single"/>
        </w:rPr>
        <w:t>Section 6.04(m)</w:t>
      </w:r>
      <w:r>
        <w:rPr/>
        <w:t xml:space="preserve"> </w:t>
      </w:r>
      <w:r>
        <w:rPr>
          <w:rFonts w:ascii="Times New Roman;serif" w:hAnsi="Times New Roman;serif"/>
          <w:b w:val="false"/>
          <w:sz w:val="20"/>
        </w:rPr>
        <w:t xml:space="preserve">in lieu of Restricted Debt Payments permitted by this clause (iv) and any other Restricted Debt Payments made utilizing this subclause (A), the greater of $36,000,000 and 25% of Consolidated EBITDA for the most recently ended Test Period after giving Pro Forma Effect to the making of such Restricted Debt Payment, (B) so long as, immediately after giving effect to any such Restricted Debt Payment, no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has occurred and is continuing, in an amount not to exceed the Available Amount that is Not Otherwise Applied, (C) in an amount not to exceed the Available Equity Amount that is Not Otherwise Applied and (D) in an amount not to exceed the Available RP Capacity Amount; and</w:t>
      </w:r>
    </w:p>
    <w:p>
      <w:pPr>
        <w:pStyle w:val="TextBody"/>
        <w:bidi w:val="0"/>
        <w:spacing w:before="200" w:after="0"/>
        <w:jc w:val="both"/>
        <w:rPr>
          <w:rFonts w:ascii="Times New Roman" w:hAnsi="Times New Roman"/>
          <w:b w:val="false"/>
          <w:sz w:val="20"/>
        </w:rPr>
      </w:pPr>
      <w:r>
        <w:rPr>
          <w:rFonts w:ascii="Times New Roman" w:hAnsi="Times New Roman"/>
          <w:b w:val="false"/>
          <w:sz w:val="20"/>
        </w:rPr>
        <w:t>(v)</w:t>
      </w:r>
    </w:p>
    <w:p>
      <w:pPr>
        <w:pStyle w:val="TextBody"/>
        <w:bidi w:val="0"/>
        <w:spacing w:before="200" w:after="283"/>
        <w:jc w:val="both"/>
        <w:rPr/>
      </w:pPr>
      <w:r>
        <w:rPr>
          <w:rFonts w:ascii="Times New Roman;serif" w:hAnsi="Times New Roman;serif"/>
          <w:b w:val="false"/>
          <w:sz w:val="20"/>
        </w:rPr>
        <w:t xml:space="preserve">Restricted Debt Payments (including prior to their scheduled maturity); </w:t>
      </w:r>
      <w:r>
        <w:rPr>
          <w:rFonts w:ascii="Times New Roman;serif" w:hAnsi="Times New Roman;serif"/>
          <w:b w:val="false"/>
          <w:sz w:val="20"/>
          <w:u w:val="single"/>
        </w:rPr>
        <w:t>provided</w:t>
      </w:r>
      <w:r>
        <w:rPr/>
        <w:t xml:space="preserve"> </w:t>
      </w:r>
      <w:r>
        <w:rPr>
          <w:rFonts w:ascii="Times New Roman;serif" w:hAnsi="Times New Roman;serif"/>
          <w:b w:val="false"/>
          <w:sz w:val="20"/>
        </w:rPr>
        <w:t>that after giving effect to such Restricted Debt Payment on a Pro Forma Basis, the Total Leverage Ratio is less than or equal to 5.00 to 1.00.</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For purposes of determining compliance with this </w:t>
      </w:r>
      <w:r>
        <w:rPr>
          <w:rFonts w:ascii="Times New Roman;serif" w:hAnsi="Times New Roman;serif"/>
          <w:b w:val="false"/>
          <w:sz w:val="20"/>
          <w:u w:val="single"/>
        </w:rPr>
        <w:t>Section 6.08(b)</w:t>
      </w:r>
      <w:r>
        <w:rPr>
          <w:rFonts w:ascii="Times New Roman;serif" w:hAnsi="Times New Roman;serif"/>
          <w:b w:val="false"/>
          <w:sz w:val="20"/>
        </w:rPr>
        <w:t xml:space="preserve">, in the event that any Restricted Debt Payment (or a portion thereof) meets the criteria of clauses (i) through (v) above (or any sub-clause therein), the Borrower will be entitled to classify or later reclassify (based on circumstances existing on the date of such reclassification) such payment (or portion thereof) between such clauses (i) through (v) (or any sub-clause therein), in a manner that otherwise complies with this </w:t>
      </w:r>
      <w:r>
        <w:rPr>
          <w:rFonts w:ascii="Times New Roman;serif" w:hAnsi="Times New Roman;serif"/>
          <w:b w:val="false"/>
          <w:sz w:val="20"/>
          <w:u w:val="single"/>
        </w:rPr>
        <w:t>Section 6.08(b)</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if all or any portion of any Restricted Debt Payment that is not initially made in reliance on </w:t>
      </w:r>
      <w:r>
        <w:rPr>
          <w:rFonts w:ascii="Times New Roman;serif" w:hAnsi="Times New Roman;serif"/>
          <w:b w:val="false"/>
          <w:sz w:val="20"/>
          <w:u w:val="single"/>
        </w:rPr>
        <w:t>Section 6.08(b)(v)</w:t>
      </w:r>
      <w:r>
        <w:rPr>
          <w:rFonts w:ascii="Times New Roman" w:hAnsi="Times New Roman"/>
          <w:sz w:val="20"/>
        </w:rPr>
        <w:t xml:space="preserve"> </w:t>
      </w:r>
      <w:r>
        <w:rPr>
          <w:rFonts w:ascii="Times New Roman;serif" w:hAnsi="Times New Roman;serif"/>
          <w:b w:val="false"/>
          <w:sz w:val="20"/>
        </w:rPr>
        <w:t xml:space="preserve">subsequently could be made in reliance on </w:t>
      </w:r>
      <w:r>
        <w:rPr>
          <w:rFonts w:ascii="Times New Roman;serif" w:hAnsi="Times New Roman;serif"/>
          <w:b w:val="false"/>
          <w:sz w:val="20"/>
          <w:u w:val="single"/>
        </w:rPr>
        <w:t>Section 6.08(b)(v)</w:t>
      </w:r>
      <w:r>
        <w:rPr>
          <w:rFonts w:ascii="Times New Roman;serif" w:hAnsi="Times New Roman;serif"/>
          <w:b w:val="false"/>
          <w:sz w:val="20"/>
        </w:rPr>
        <w:t xml:space="preserve">, such Restricted Debt Payment, or the relevant portion thereof, shall automatically be reclassified as having been made in reliance on </w:t>
      </w:r>
      <w:r>
        <w:rPr>
          <w:rFonts w:ascii="Times New Roman;serif" w:hAnsi="Times New Roman;serif"/>
          <w:b w:val="false"/>
          <w:sz w:val="20"/>
          <w:u w:val="single"/>
        </w:rPr>
        <w:t>Section 6.08(b)(v)</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Neither Holdings nor the Borrower will, nor will they permit any Restricted Subsidiary to, amend or modify any documentation governing any Junior Financing, in each case if the effect of such amendment or modification (when taken as a whole) is materially adverse to the Lenders.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anything herein to the contrary, the foregoing provisions of this </w:t>
      </w:r>
      <w:r>
        <w:rPr>
          <w:rFonts w:ascii="Times New Roman;serif" w:hAnsi="Times New Roman;serif"/>
          <w:b w:val="false"/>
          <w:sz w:val="20"/>
          <w:u w:val="single"/>
        </w:rPr>
        <w:t>Section 6.08</w:t>
      </w:r>
      <w:r>
        <w:rPr>
          <w:rFonts w:ascii="Times New Roman" w:hAnsi="Times New Roman"/>
          <w:sz w:val="20"/>
        </w:rPr>
        <w:t xml:space="preserve"> </w:t>
      </w:r>
      <w:r>
        <w:rPr>
          <w:rFonts w:ascii="Times New Roman;serif" w:hAnsi="Times New Roman;serif"/>
          <w:b w:val="false"/>
          <w:sz w:val="20"/>
        </w:rPr>
        <w:t>will not prohibit the payment of any Restricted Payment or Restricted Debt Payment within 60 days after the date of declaration thereof or the giving of such irrevocable notice, as applicable, if at the date of declaration or the giving of such notice such payment would have complied with the provisions of this Agreement.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6.09 </w:t>
      </w:r>
      <w:r>
        <w:rPr>
          <w:rFonts w:ascii="Times New Roman;serif" w:hAnsi="Times New Roman;serif"/>
          <w:b w:val="false"/>
          <w:sz w:val="20"/>
          <w:u w:val="single"/>
        </w:rPr>
        <w:t>Transactions with Affiliates</w:t>
      </w:r>
      <w:r>
        <w:rPr>
          <w:rFonts w:ascii="Times New Roman;serif" w:hAnsi="Times New Roman;serif"/>
          <w:b w:val="false"/>
          <w:sz w:val="20"/>
        </w:rPr>
        <w:t>. Neither Holdings nor the Borrower will, nor will they permit any Restricted Subsidiary to, sell, lease or otherwise transfer any property or assets to, or purchase, lease or otherwise acquire any property or assets from, or otherwise engage in any other transactions respect thereto with, any of its Affiliates, except:</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 transactions with Holdings, the Borrower or any Restricted Subsidiary and (B) transactions involving aggregate payments or consideration of less than the greater of $7,500,000 and 5% of Consolidated EBITDA for the most recently ended Test Period prior to such transaction;</w:t>
      </w:r>
    </w:p>
    <w:p>
      <w:pPr>
        <w:pStyle w:val="TextBody"/>
        <w:bidi w:val="0"/>
        <w:spacing w:before="200" w:after="0"/>
        <w:jc w:val="both"/>
        <w:rPr>
          <w:rFonts w:ascii="Times New Roman" w:hAnsi="Times New Roman"/>
          <w:b w:val="false"/>
          <w:sz w:val="20"/>
        </w:rPr>
      </w:pPr>
      <w:r>
        <w:rPr>
          <w:rFonts w:ascii="Times New Roman" w:hAnsi="Times New Roman"/>
          <w:b w:val="false"/>
          <w:sz w:val="20"/>
        </w:rPr>
        <w:t>(ii)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terms substantially as favorable to Holdings, the Borrower or such Restricted Subsidiary as would be obtainable by such Person at the time in a comparable arm’s-length transaction with a Person other than an Affiliate;</w:t>
      </w:r>
    </w:p>
    <w:p>
      <w:pPr>
        <w:pStyle w:val="TextBody"/>
        <w:bidi w:val="0"/>
        <w:spacing w:before="200" w:after="0"/>
        <w:jc w:val="both"/>
        <w:rPr>
          <w:rFonts w:ascii="Times New Roman" w:hAnsi="Times New Roman"/>
          <w:b w:val="false"/>
          <w:sz w:val="20"/>
        </w:rPr>
      </w:pPr>
      <w:r>
        <w:rPr>
          <w:rFonts w:ascii="Times New Roman" w:hAnsi="Times New Roman"/>
          <w:b w:val="false"/>
          <w:sz w:val="20"/>
        </w:rPr>
        <w:t>(iii)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Transactions and the payment of fees and expenses related to the Transactions;</w:t>
      </w:r>
    </w:p>
    <w:p>
      <w:pPr>
        <w:pStyle w:val="TextBody"/>
        <w:bidi w:val="0"/>
        <w:spacing w:before="200" w:after="0"/>
        <w:jc w:val="both"/>
        <w:rPr>
          <w:rFonts w:ascii="Times New Roman" w:hAnsi="Times New Roman"/>
          <w:b w:val="false"/>
          <w:sz w:val="20"/>
        </w:rPr>
      </w:pPr>
      <w:r>
        <w:rPr>
          <w:rFonts w:ascii="Times New Roman" w:hAnsi="Times New Roman"/>
          <w:b w:val="false"/>
          <w:sz w:val="20"/>
        </w:rPr>
        <w:t>(iv)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issuances of Equity Interests of Holdings or the Borrower to the extent otherwise permitted by this Agreement;</w:t>
      </w:r>
    </w:p>
    <w:p>
      <w:pPr>
        <w:pStyle w:val="TextBody"/>
        <w:bidi w:val="0"/>
        <w:spacing w:before="200" w:after="0"/>
        <w:jc w:val="both"/>
        <w:rPr>
          <w:rFonts w:ascii="Times New Roman" w:hAnsi="Times New Roman"/>
          <w:b w:val="false"/>
          <w:sz w:val="20"/>
        </w:rPr>
      </w:pPr>
      <w:r>
        <w:rPr>
          <w:rFonts w:ascii="Times New Roman" w:hAnsi="Times New Roman"/>
          <w:b w:val="false"/>
          <w:sz w:val="20"/>
        </w:rPr>
        <w:t>(v)</w:t>
      </w:r>
    </w:p>
    <w:p>
      <w:pPr>
        <w:pStyle w:val="TextBody"/>
        <w:bidi w:val="0"/>
        <w:spacing w:before="200" w:after="283"/>
        <w:jc w:val="both"/>
        <w:rPr/>
      </w:pPr>
      <w:r>
        <w:rPr>
          <w:rFonts w:ascii="Times New Roman;serif" w:hAnsi="Times New Roman;serif"/>
          <w:b w:val="false"/>
          <w:sz w:val="20"/>
        </w:rPr>
        <w:t xml:space="preserve">employment and severance arrangements (including salary or guaranteed payments and bonuses) between Holdings, the Borrower and the Restricted Subsidiaries and their respective officers and employees in the ordinary course of business or otherwise in connection with the Transactions (including loans and advances pursuant to </w:t>
      </w:r>
      <w:r>
        <w:rPr>
          <w:rFonts w:ascii="Times New Roman;serif" w:hAnsi="Times New Roman;serif"/>
          <w:b w:val="false"/>
          <w:sz w:val="20"/>
          <w:u w:val="single"/>
        </w:rPr>
        <w:t>Sections 6.04(b)</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6.04(p)</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(vi)</w:t>
      </w:r>
    </w:p>
    <w:p>
      <w:pPr>
        <w:pStyle w:val="TextBody"/>
        <w:bidi w:val="0"/>
        <w:spacing w:before="200" w:after="0"/>
        <w:jc w:val="both"/>
        <w:rPr/>
      </w:pPr>
      <w:r>
        <w:rPr>
          <w:rFonts w:ascii="Times New Roman;serif" w:hAnsi="Times New Roman;serif"/>
          <w:b w:val="false"/>
          <w:sz w:val="20"/>
        </w:rPr>
        <w:t xml:space="preserve">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Holdings, the Borrower and the Restricted Subsidiaries, to the extent payments are permitted by </w:t>
      </w:r>
      <w:r>
        <w:rPr>
          <w:rFonts w:ascii="Times New Roman;serif" w:hAnsi="Times New Roman;serif"/>
          <w:b w:val="false"/>
          <w:sz w:val="20"/>
          <w:u w:val="single"/>
        </w:rPr>
        <w:t>Section 6.08</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(vii)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payment of customary fees and reasonable out-of-pocket costs to, and indemnities provided on behalf of, directors, officers and employees of Holdings (or any direct or indirect parent company thereof), the Borrower and the Restricted Subsidiaries in the ordinary course of business to the extent attributable to the ownership or operation of Holdings, the Borrower and the Restricted Subsidiaries;</w:t>
      </w:r>
    </w:p>
    <w:p>
      <w:pPr>
        <w:pStyle w:val="TextBody"/>
        <w:bidi w:val="0"/>
        <w:spacing w:before="200" w:after="0"/>
        <w:jc w:val="both"/>
        <w:rPr>
          <w:rFonts w:ascii="Times New Roman" w:hAnsi="Times New Roman"/>
          <w:b w:val="false"/>
          <w:sz w:val="20"/>
        </w:rPr>
      </w:pPr>
      <w:r>
        <w:rPr>
          <w:rFonts w:ascii="Times New Roman" w:hAnsi="Times New Roman"/>
          <w:b w:val="false"/>
          <w:sz w:val="20"/>
        </w:rPr>
        <w:t>(viii)</w:t>
      </w:r>
    </w:p>
    <w:p>
      <w:pPr>
        <w:pStyle w:val="TextBody"/>
        <w:bidi w:val="0"/>
        <w:spacing w:before="200" w:after="0"/>
        <w:jc w:val="both"/>
        <w:rPr/>
      </w:pPr>
      <w:r>
        <w:rPr>
          <w:rFonts w:ascii="Times New Roman;serif" w:hAnsi="Times New Roman;serif"/>
          <w:b w:val="false"/>
          <w:sz w:val="20"/>
        </w:rPr>
        <w:t xml:space="preserve">transactions pursuant to any agreement or arrangement in effect as of the Effective Date and set forth on </w:t>
      </w:r>
      <w:r>
        <w:rPr>
          <w:rFonts w:ascii="Times New Roman;serif" w:hAnsi="Times New Roman;serif"/>
          <w:b w:val="false"/>
          <w:sz w:val="20"/>
          <w:u w:val="single"/>
        </w:rPr>
        <w:t>Schedule 6.09</w:t>
      </w:r>
      <w:r>
        <w:rPr>
          <w:rFonts w:ascii="Times New Roman;serif" w:hAnsi="Times New Roman;serif"/>
          <w:b w:val="false"/>
          <w:sz w:val="20"/>
        </w:rPr>
        <w:t>, or any amendment, modification, supplement or replacement thereto (so long as any such amendment, modification, supplement or replacement is not disadvantageous in any material respect to the Lenders when taken as a whole as compared to the applicable agreement or arrangement as in effect on the Effective Date as determined by the Borrower in good faith);</w:t>
      </w:r>
    </w:p>
    <w:p>
      <w:pPr>
        <w:pStyle w:val="TextBody"/>
        <w:bidi w:val="0"/>
        <w:spacing w:before="200" w:after="0"/>
        <w:jc w:val="both"/>
        <w:rPr>
          <w:rFonts w:ascii="Times New Roman" w:hAnsi="Times New Roman"/>
          <w:b w:val="false"/>
          <w:sz w:val="20"/>
        </w:rPr>
      </w:pPr>
      <w:r>
        <w:rPr>
          <w:rFonts w:ascii="Times New Roman" w:hAnsi="Times New Roman"/>
          <w:b w:val="false"/>
          <w:sz w:val="20"/>
        </w:rPr>
        <w:t>(ix)</w:t>
      </w:r>
    </w:p>
    <w:p>
      <w:pPr>
        <w:pStyle w:val="TextBody"/>
        <w:bidi w:val="0"/>
        <w:spacing w:before="200" w:after="0"/>
        <w:jc w:val="both"/>
        <w:rPr/>
      </w:pPr>
      <w:r>
        <w:rPr>
          <w:rFonts w:ascii="Times New Roman;serif" w:hAnsi="Times New Roman;serif"/>
          <w:b w:val="false"/>
          <w:sz w:val="20"/>
        </w:rPr>
        <w:t xml:space="preserve">Restricted Payments permitted under </w:t>
      </w:r>
      <w:r>
        <w:rPr>
          <w:rFonts w:ascii="Times New Roman;serif" w:hAnsi="Times New Roman;serif"/>
          <w:b w:val="false"/>
          <w:sz w:val="20"/>
          <w:u w:val="single"/>
        </w:rPr>
        <w:t>Section 6.08</w:t>
      </w:r>
      <w:r>
        <w:rPr/>
        <w:t xml:space="preserve"> </w:t>
      </w:r>
      <w:r>
        <w:rPr>
          <w:rFonts w:ascii="Times New Roman;serif" w:hAnsi="Times New Roman;serif"/>
          <w:b w:val="false"/>
          <w:sz w:val="20"/>
        </w:rPr>
        <w:t xml:space="preserve">(and loans made in lieu thereof pursuant to </w:t>
      </w:r>
      <w:r>
        <w:rPr>
          <w:rFonts w:ascii="Times New Roman;serif" w:hAnsi="Times New Roman;serif"/>
          <w:b w:val="false"/>
          <w:sz w:val="20"/>
          <w:u w:val="single"/>
        </w:rPr>
        <w:t>Section 6.04(m)</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(x)</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customary payments by Holdings, the Borrower and any of the Restricted Subsidiaries made for any financial advisory, consulting, financing, underwriting or placement services or in respect of other investment banking activities (including in connection with acquisitions, divestitures or financings) and any subsequent transaction or exit fee, which payments are approved by the majority of the members of the Board of Directors or a majority of the disinterested members of the Board of Directors of such Person in good faith;</w:t>
      </w:r>
    </w:p>
    <w:p>
      <w:pPr>
        <w:pStyle w:val="TextBody"/>
        <w:bidi w:val="0"/>
        <w:spacing w:before="200" w:after="0"/>
        <w:jc w:val="both"/>
        <w:rPr>
          <w:rFonts w:ascii="Times New Roman" w:hAnsi="Times New Roman"/>
          <w:b w:val="false"/>
          <w:sz w:val="20"/>
        </w:rPr>
      </w:pPr>
      <w:r>
        <w:rPr>
          <w:rFonts w:ascii="Times New Roman" w:hAnsi="Times New Roman"/>
          <w:b w:val="false"/>
          <w:sz w:val="20"/>
        </w:rPr>
        <w:t>(xi)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issuance or transfer of Equity Interests (other than Disqualified Equity Interests) of Holdings (or any direct or indirect parent thereof) to any Permitted Holder or to any former, current or future director, manager, officer, employee or consultant (or any Affiliate of any of the foregoing) of Holdings, the Borrower, any of the Subsidiaries or any direct or indirect parent thereof;</w:t>
      </w:r>
    </w:p>
    <w:p>
      <w:pPr>
        <w:pStyle w:val="TextBody"/>
        <w:bidi w:val="0"/>
        <w:spacing w:before="200" w:after="0"/>
        <w:jc w:val="both"/>
        <w:rPr>
          <w:rFonts w:ascii="Times New Roman" w:hAnsi="Times New Roman"/>
          <w:b w:val="false"/>
          <w:sz w:val="20"/>
        </w:rPr>
      </w:pPr>
      <w:r>
        <w:rPr>
          <w:rFonts w:ascii="Times New Roman" w:hAnsi="Times New Roman"/>
          <w:b w:val="false"/>
          <w:sz w:val="20"/>
        </w:rPr>
        <w:t>(xii)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and their Subsidiaries may undertake or consummate or otherwise be subject to any IPO Reorganization Transactions;</w:t>
      </w:r>
    </w:p>
    <w:p>
      <w:pPr>
        <w:pStyle w:val="TextBody"/>
        <w:bidi w:val="0"/>
        <w:spacing w:before="200" w:after="0"/>
        <w:jc w:val="both"/>
        <w:rPr>
          <w:rFonts w:ascii="Times New Roman" w:hAnsi="Times New Roman"/>
          <w:b w:val="false"/>
          <w:sz w:val="20"/>
        </w:rPr>
      </w:pPr>
      <w:r>
        <w:rPr>
          <w:rFonts w:ascii="Times New Roman" w:hAnsi="Times New Roman"/>
          <w:b w:val="false"/>
          <w:sz w:val="20"/>
        </w:rPr>
        <w:t>(xiii)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Affiliate repurchases of the Loans and/or Commitments to the extent permitted hereunder, and the holding of such Loans and the payments and other related transactions in respect thereof;</w:t>
      </w:r>
    </w:p>
    <w:p>
      <w:pPr>
        <w:pStyle w:val="TextBody"/>
        <w:bidi w:val="0"/>
        <w:spacing w:before="200" w:after="0"/>
        <w:jc w:val="both"/>
        <w:rPr>
          <w:rFonts w:ascii="Times New Roman" w:hAnsi="Times New Roman"/>
          <w:b w:val="false"/>
          <w:sz w:val="20"/>
        </w:rPr>
      </w:pPr>
      <w:r>
        <w:rPr>
          <w:rFonts w:ascii="Times New Roman" w:hAnsi="Times New Roman"/>
          <w:b w:val="false"/>
          <w:sz w:val="20"/>
        </w:rPr>
        <w:t>(xiv)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transactions in connection with any Permitted Receivables Financing;</w:t>
      </w:r>
    </w:p>
    <w:p>
      <w:pPr>
        <w:pStyle w:val="TextBody"/>
        <w:bidi w:val="0"/>
        <w:spacing w:before="200" w:after="0"/>
        <w:jc w:val="both"/>
        <w:rPr>
          <w:rFonts w:ascii="Times New Roman" w:hAnsi="Times New Roman"/>
          <w:b w:val="false"/>
          <w:sz w:val="20"/>
        </w:rPr>
      </w:pPr>
      <w:r>
        <w:rPr>
          <w:rFonts w:ascii="Times New Roman" w:hAnsi="Times New Roman"/>
          <w:b w:val="false"/>
          <w:sz w:val="20"/>
        </w:rPr>
        <w:t>(xv)</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loans, advances and other transactions between or among Holdings, the Borrower, any Restricted Subsidiary and/or any joint venture (regardless of the form of legal entity) in which Holdings, the Borrower or any Subsidiary has invested (and which Subsidiary or joint venture would not be an Affiliate of Holdings but for Holdings’ or a Subsidiary’s ownership of Equity Interests in such joint venture or Subsidiary) to the extent permitted hereunder; and</w:t>
      </w:r>
    </w:p>
    <w:p>
      <w:pPr>
        <w:pStyle w:val="TextBody"/>
        <w:bidi w:val="0"/>
        <w:spacing w:before="200" w:after="0"/>
        <w:jc w:val="both"/>
        <w:rPr>
          <w:rFonts w:ascii="Times New Roman" w:hAnsi="Times New Roman"/>
          <w:b w:val="false"/>
          <w:sz w:val="20"/>
        </w:rPr>
      </w:pPr>
      <w:r>
        <w:rPr>
          <w:rFonts w:ascii="Times New Roman" w:hAnsi="Times New Roman"/>
          <w:b w:val="false"/>
          <w:sz w:val="20"/>
        </w:rPr>
        <w:t>(xvi)</w:t>
      </w:r>
    </w:p>
    <w:p>
      <w:pPr>
        <w:pStyle w:val="TextBody"/>
        <w:bidi w:val="0"/>
        <w:spacing w:before="200" w:after="283"/>
        <w:jc w:val="both"/>
        <w:rPr/>
      </w:pPr>
      <w:r>
        <w:rPr>
          <w:rFonts w:ascii="Times New Roman;serif" w:hAnsi="Times New Roman;serif"/>
          <w:b w:val="false"/>
          <w:sz w:val="20"/>
        </w:rPr>
        <w:t xml:space="preserve">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transaction was not entered into in contemplation of such designation or redesignation, as applicable.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6.10 </w:t>
      </w:r>
      <w:r>
        <w:rPr>
          <w:rFonts w:ascii="Times New Roman;serif" w:hAnsi="Times New Roman;serif"/>
          <w:b w:val="false"/>
          <w:sz w:val="20"/>
          <w:u w:val="single"/>
        </w:rPr>
        <w:t>Financial Covenant</w:t>
      </w:r>
      <w:r>
        <w:rPr>
          <w:rFonts w:ascii="Times New Roman;serif" w:hAnsi="Times New Roman;serif"/>
          <w:b w:val="false"/>
          <w:sz w:val="20"/>
        </w:rPr>
        <w:t>. Solely with respect to the Revolving Credit Facility, if on the last day of any Test Period, beginning with the Test Period ending September 30, 2020, the sum of (i) the aggregate principal amount of Revolving Loans then outstanding (other than, for the Test Periods ending September 30, 2020, December 31, 2020 and March 31, 2021, any Revolving Loans made on the Effective Date to finance the Transactions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or to pay Transaction Costs) plus (ii) the amount by which the face amount of Letters of Credit then outstanding (other than Letters of Credit that are Cash Collateralized) is in excess of $15,000,000 in the aggregate, exceeds 35.0% of the aggregate principal amount of Revolving Commitments then in effect, the Borrower will not permit the First Lien Leverage Ratio to exceed 7.75 to 1.00 as of the last day of such Test Period.</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ARTICLE VII</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EVENTS OF DEFAULT</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SECTION 7.01 </w:t>
      </w:r>
      <w:r>
        <w:rPr>
          <w:rFonts w:ascii="Times New Roman;serif" w:hAnsi="Times New Roman;serif"/>
          <w:b w:val="false"/>
          <w:sz w:val="20"/>
          <w:u w:val="single"/>
        </w:rPr>
        <w:t>Events of Default</w:t>
      </w:r>
      <w:r>
        <w:rPr>
          <w:rFonts w:ascii="Times New Roman;serif" w:hAnsi="Times New Roman;serif"/>
          <w:b w:val="false"/>
          <w:sz w:val="20"/>
        </w:rPr>
        <w:t>. If any of the following events (any such event, an “</w:t>
      </w:r>
      <w:r>
        <w:rPr>
          <w:rFonts w:ascii="Times New Roman;serif" w:hAnsi="Times New Roman;serif"/>
          <w:b w:val="false"/>
          <w:sz w:val="20"/>
          <w:u w:val="single"/>
        </w:rPr>
        <w:t>Event of Default</w:t>
      </w:r>
      <w:r>
        <w:rPr>
          <w:rFonts w:ascii="Times New Roman" w:hAnsi="Times New Roman"/>
          <w:sz w:val="20"/>
        </w:rPr>
        <w:t>”</w:t>
      </w:r>
      <w:r>
        <w:rPr>
          <w:rFonts w:ascii="Times New Roman;serif" w:hAnsi="Times New Roman;serif"/>
          <w:b w:val="false"/>
          <w:sz w:val="20"/>
        </w:rPr>
        <w:t>) shall occur:</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Loan Party shall fail to pay any principal of any Loan when and as the same shall become due and payable and in the currency required hereunder, whether at the due date thereof or at a date fixed for prepayment thereof or otherwise;</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Loan Party shall fail to pay any interest on any Loan, or any reimbursement obligation in respect of any LC Disbursement or any fee or any other amount (other than an amount referred to in paragraph (a) of this Section) payable under any Loan Document, when and as the same shall become due and payable, and such failure shall continue unremedied for a period of five Business Days;</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representation or warranty made or deemed made by or on behalf of Holdings, the Borrower or any of the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including by a restatement of any relevant financial statements) shall remain incorrect for a period of 30 days after notice thereof from the Administrative Agent to the Borrower;</w:t>
      </w:r>
    </w:p>
    <w:p>
      <w:pPr>
        <w:pStyle w:val="TextBody"/>
        <w:bidi w:val="0"/>
        <w:spacing w:before="200" w:after="0"/>
        <w:jc w:val="both"/>
        <w:rPr>
          <w:rFonts w:ascii="Times New Roman" w:hAnsi="Times New Roman"/>
          <w:b w:val="false"/>
          <w:sz w:val="20"/>
        </w:rPr>
      </w:pPr>
      <w:r>
        <w:rPr>
          <w:rFonts w:ascii="Times New Roman" w:hAnsi="Times New Roman"/>
          <w:b w:val="false"/>
          <w:sz w:val="20"/>
        </w:rPr>
        <w:t>(d)</w:t>
      </w:r>
    </w:p>
    <w:p>
      <w:pPr>
        <w:pStyle w:val="TextBody"/>
        <w:bidi w:val="0"/>
        <w:spacing w:before="200" w:after="0"/>
        <w:jc w:val="both"/>
        <w:rPr/>
      </w:pPr>
      <w:r>
        <w:rPr>
          <w:rFonts w:ascii="Times New Roman;serif" w:hAnsi="Times New Roman;serif"/>
          <w:b w:val="false"/>
          <w:sz w:val="20"/>
        </w:rPr>
        <w:t xml:space="preserve">Holdings, the Borrower or any of the Restricted Subsidiaries shall fail to observe or perform any covenant, condition or agreement contained in </w:t>
      </w:r>
      <w:r>
        <w:rPr>
          <w:rFonts w:ascii="Times New Roman;serif" w:hAnsi="Times New Roman;serif"/>
          <w:b w:val="false"/>
          <w:sz w:val="20"/>
          <w:u w:val="single"/>
        </w:rPr>
        <w:t>Sections 5.02(a)</w:t>
      </w:r>
      <w:r>
        <w:rPr>
          <w:rFonts w:ascii="Times New Roman;serif" w:hAnsi="Times New Roman;serif"/>
          <w:b w:val="false"/>
          <w:sz w:val="20"/>
        </w:rPr>
        <w:t xml:space="preserve">, </w:t>
      </w:r>
      <w:r>
        <w:rPr>
          <w:rFonts w:ascii="Times New Roman;serif" w:hAnsi="Times New Roman;serif"/>
          <w:b w:val="false"/>
          <w:sz w:val="20"/>
          <w:u w:val="single"/>
        </w:rPr>
        <w:t>5.04</w:t>
      </w:r>
      <w:r>
        <w:rPr/>
        <w:t xml:space="preserve"> </w:t>
      </w:r>
      <w:r>
        <w:rPr>
          <w:rFonts w:ascii="Times New Roman;serif" w:hAnsi="Times New Roman;serif"/>
          <w:b w:val="false"/>
          <w:sz w:val="20"/>
        </w:rPr>
        <w:t xml:space="preserve">(with respect to the existence of Holdings or the Borrower) or in </w:t>
      </w:r>
      <w:r>
        <w:rPr>
          <w:rFonts w:ascii="Times New Roman;serif" w:hAnsi="Times New Roman;serif"/>
          <w:b w:val="false"/>
          <w:sz w:val="20"/>
          <w:u w:val="single"/>
        </w:rPr>
        <w:t>Article VI</w:t>
      </w:r>
      <w:r>
        <w:rPr/>
        <w:t xml:space="preserve"> </w:t>
      </w:r>
      <w:r>
        <w:rPr>
          <w:rFonts w:ascii="Times New Roman;serif" w:hAnsi="Times New Roman;serif"/>
          <w:b w:val="false"/>
          <w:sz w:val="20"/>
        </w:rPr>
        <w:t xml:space="preserve">(other than </w:t>
      </w:r>
      <w:r>
        <w:rPr>
          <w:rFonts w:ascii="Times New Roman;serif" w:hAnsi="Times New Roman;serif"/>
          <w:b w:val="false"/>
          <w:sz w:val="20"/>
          <w:u w:val="single"/>
        </w:rPr>
        <w:t>Section 6.10</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any Event of Default under </w:t>
      </w:r>
      <w:r>
        <w:rPr>
          <w:rFonts w:ascii="Times New Roman;serif" w:hAnsi="Times New Roman;serif"/>
          <w:b w:val="false"/>
          <w:sz w:val="20"/>
          <w:u w:val="single"/>
        </w:rPr>
        <w:t>Section 6.10</w:t>
      </w:r>
      <w:r>
        <w:rPr/>
        <w:t xml:space="preserve"> </w:t>
      </w:r>
      <w:r>
        <w:rPr>
          <w:rFonts w:ascii="Times New Roman;serif" w:hAnsi="Times New Roman;serif"/>
          <w:b w:val="false"/>
          <w:sz w:val="20"/>
        </w:rPr>
        <w:t xml:space="preserve">is subject to cure as provided in </w:t>
      </w:r>
      <w:r>
        <w:rPr>
          <w:rFonts w:ascii="Times New Roman;serif" w:hAnsi="Times New Roman;serif"/>
          <w:b w:val="false"/>
          <w:sz w:val="20"/>
          <w:u w:val="single"/>
        </w:rPr>
        <w:t>Section 7.02</w:t>
      </w:r>
      <w:r>
        <w:rPr/>
        <w:t xml:space="preserve"> </w:t>
      </w:r>
      <w:r>
        <w:rPr>
          <w:rFonts w:ascii="Times New Roman;serif" w:hAnsi="Times New Roman;serif"/>
          <w:b w:val="false"/>
          <w:sz w:val="20"/>
        </w:rPr>
        <w:t xml:space="preserve">and an Event of Default with respect to such Section shall not occur until the expiration of the 10th Business Day subsequent to the date on which the financial statements with respect to the applicable fiscal quarter (or the fiscal year ended on the last day of such fiscal quarter) are required to be delivered pursuant to </w:t>
      </w:r>
      <w:r>
        <w:rPr>
          <w:rFonts w:ascii="Times New Roman;serif" w:hAnsi="Times New Roman;serif"/>
          <w:b w:val="false"/>
          <w:sz w:val="20"/>
          <w:u w:val="single"/>
        </w:rPr>
        <w:t>Section 5.01(a)</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5.01(b)</w:t>
      </w:r>
      <w:r>
        <w:rPr>
          <w:rFonts w:ascii="Times New Roman;serif" w:hAnsi="Times New Roman;serif"/>
          <w:b w:val="false"/>
          <w:sz w:val="20"/>
        </w:rPr>
        <w:t xml:space="preserve">, as applicable and (ii) a default under </w:t>
      </w:r>
      <w:r>
        <w:rPr>
          <w:rFonts w:ascii="Times New Roman;serif" w:hAnsi="Times New Roman;serif"/>
          <w:b w:val="false"/>
          <w:sz w:val="20"/>
          <w:u w:val="single"/>
        </w:rPr>
        <w:t>Section 6.10</w:t>
      </w:r>
      <w:r>
        <w:rPr/>
        <w:t xml:space="preserve"> </w:t>
      </w:r>
      <w:r>
        <w:rPr>
          <w:rFonts w:ascii="Times New Roman;serif" w:hAnsi="Times New Roman;serif"/>
          <w:b w:val="false"/>
          <w:sz w:val="20"/>
        </w:rPr>
        <w:t xml:space="preserve">shall not constitute an Event of Default with respect to the Term Loans unless and until the Required Revolving Lenders shall have terminated their Revolving Commitments or declared all amounts under the Revolving Loans to be due and payable, respectively (such period commencing with a default under </w:t>
      </w:r>
      <w:r>
        <w:rPr>
          <w:rFonts w:ascii="Times New Roman;serif" w:hAnsi="Times New Roman;serif"/>
          <w:b w:val="false"/>
          <w:sz w:val="20"/>
          <w:u w:val="single"/>
        </w:rPr>
        <w:t>Section 6.10</w:t>
      </w:r>
      <w:r>
        <w:rPr/>
        <w:t xml:space="preserve"> </w:t>
      </w:r>
      <w:r>
        <w:rPr>
          <w:rFonts w:ascii="Times New Roman;serif" w:hAnsi="Times New Roman;serif"/>
          <w:b w:val="false"/>
          <w:sz w:val="20"/>
        </w:rPr>
        <w:t>and ending on the date on which the Required Lenders with respect to the Revolving Credit Facility terminate or accelerate the Revolving Loans, the “</w:t>
      </w:r>
      <w:r>
        <w:rPr>
          <w:rFonts w:ascii="Times New Roman;serif" w:hAnsi="Times New Roman;serif"/>
          <w:b w:val="false"/>
          <w:sz w:val="20"/>
          <w:u w:val="single"/>
        </w:rPr>
        <w:t>Standstill Period</w:t>
      </w:r>
      <w:r>
        <w:rPr/>
        <w:t>”</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Loan Party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Holdings;</w:t>
      </w:r>
    </w:p>
    <w:p>
      <w:pPr>
        <w:pStyle w:val="TextBody"/>
        <w:bidi w:val="0"/>
        <w:spacing w:before="200" w:after="0"/>
        <w:jc w:val="both"/>
        <w:rPr>
          <w:rFonts w:ascii="Times New Roman" w:hAnsi="Times New Roman"/>
          <w:b w:val="false"/>
          <w:sz w:val="20"/>
        </w:rPr>
      </w:pPr>
      <w:r>
        <w:rPr>
          <w:rFonts w:ascii="Times New Roman" w:hAnsi="Times New Roman"/>
          <w:b w:val="false"/>
          <w:sz w:val="20"/>
        </w:rPr>
        <w:t>(f)</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pStyle w:val="TextBody"/>
        <w:bidi w:val="0"/>
        <w:spacing w:before="200" w:after="0"/>
        <w:jc w:val="both"/>
        <w:rPr>
          <w:rFonts w:ascii="Times New Roman" w:hAnsi="Times New Roman"/>
          <w:b w:val="false"/>
          <w:sz w:val="20"/>
        </w:rPr>
      </w:pPr>
      <w:r>
        <w:rPr>
          <w:rFonts w:ascii="Times New Roman" w:hAnsi="Times New Roman"/>
          <w:b w:val="false"/>
          <w:sz w:val="20"/>
        </w:rPr>
        <w:t>(g)</w:t>
      </w:r>
    </w:p>
    <w:p>
      <w:pPr>
        <w:pStyle w:val="TextBody"/>
        <w:bidi w:val="0"/>
        <w:spacing w:before="200" w:after="283"/>
        <w:jc w:val="both"/>
        <w:rPr/>
      </w:pPr>
      <w:r>
        <w:rPr>
          <w:rFonts w:ascii="Times New Roman;serif" w:hAnsi="Times New Roman;serif"/>
          <w:b w:val="false"/>
          <w:sz w:val="20"/>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this paragraph (g) shall not apply to (i) secured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pPr>
      <w:r>
        <w:rPr>
          <w:rFonts w:ascii="Times New Roman;serif" w:hAnsi="Times New Roman;serif"/>
          <w:b w:val="false"/>
          <w:sz w:val="20"/>
        </w:rPr>
        <w:t xml:space="preserve">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paragraph (f) of this Section will apply to any failure to make any payment required as a result of any such termination or similar event) or (iii) any breach or default that is (I) remedied by Holdings, the Borrower or the applicable Restricted Subsidiary or (II) waived (including in the form of amendment) by the required holders of the applicable item of Indebtedness, in either case, prior to the acceleration of Loans and Commitments pursuant to this </w:t>
      </w:r>
      <w:r>
        <w:rPr>
          <w:rFonts w:ascii="Times New Roman;serif" w:hAnsi="Times New Roman;serif"/>
          <w:b w:val="false"/>
          <w:sz w:val="20"/>
          <w:u w:val="single"/>
        </w:rPr>
        <w:t>Article VII</w:t>
      </w:r>
      <w:r>
        <w:rPr>
          <w:rFonts w:ascii="Times New Roman;serif" w:hAnsi="Times New Roman;serif"/>
          <w:b w:val="false"/>
          <w:sz w:val="20"/>
        </w:rPr>
        <w:t>;</w:t>
      </w:r>
    </w:p>
    <w:p>
      <w:pPr>
        <w:pStyle w:val="TextBody"/>
        <w:bidi w:val="0"/>
        <w:spacing w:before="200" w:after="0"/>
        <w:jc w:val="both"/>
        <w:rPr>
          <w:rFonts w:ascii="Times New Roman" w:hAnsi="Times New Roman"/>
          <w:b w:val="false"/>
          <w:sz w:val="20"/>
        </w:rPr>
      </w:pPr>
      <w:r>
        <w:rPr>
          <w:rFonts w:ascii="Times New Roman" w:hAnsi="Times New Roman"/>
          <w:b w:val="false"/>
          <w:sz w:val="20"/>
        </w:rPr>
        <w:t>(h)</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days or an order or decree approving or ordering any of the foregoing shall be entered;</w:t>
      </w:r>
    </w:p>
    <w:p>
      <w:pPr>
        <w:pStyle w:val="TextBody"/>
        <w:bidi w:val="0"/>
        <w:spacing w:before="200" w:after="0"/>
        <w:jc w:val="both"/>
        <w:rPr>
          <w:rFonts w:ascii="Times New Roman" w:hAnsi="Times New Roman"/>
          <w:b w:val="false"/>
          <w:sz w:val="20"/>
        </w:rPr>
      </w:pPr>
      <w:r>
        <w:rPr>
          <w:rFonts w:ascii="Times New Roman" w:hAnsi="Times New Roman"/>
          <w:b w:val="false"/>
          <w:sz w:val="20"/>
        </w:rPr>
        <w:t>(i)</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pStyle w:val="TextBody"/>
        <w:bidi w:val="0"/>
        <w:spacing w:before="200" w:after="0"/>
        <w:jc w:val="both"/>
        <w:rPr>
          <w:rFonts w:ascii="Times New Roman" w:hAnsi="Times New Roman"/>
          <w:b w:val="false"/>
          <w:sz w:val="20"/>
        </w:rPr>
      </w:pPr>
      <w:r>
        <w:rPr>
          <w:rFonts w:ascii="Times New Roman" w:hAnsi="Times New Roman"/>
          <w:b w:val="false"/>
          <w:sz w:val="20"/>
        </w:rPr>
        <w:t>(j)</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one or more enforceable judgments for the payment of money in an aggregate amount in excess of the greater of (a) $36,000,000 and (b) 25% of Consolidated EBITDA for the most recently ended Test Period (to the extent not covered by insurance or indemnities as to which the applicable insurance company or third party has not denied its obligation) shall be rendered against Holdings, the Borrower, any of the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the Borrower and the Restricted Subsidiaries, taken as a whole, to enforce any such judgment;</w:t>
      </w:r>
    </w:p>
    <w:p>
      <w:pPr>
        <w:pStyle w:val="TextBody"/>
        <w:bidi w:val="0"/>
        <w:spacing w:before="200" w:after="0"/>
        <w:jc w:val="both"/>
        <w:rPr>
          <w:rFonts w:ascii="Times New Roman" w:hAnsi="Times New Roman"/>
          <w:b w:val="false"/>
          <w:sz w:val="20"/>
        </w:rPr>
      </w:pPr>
      <w:r>
        <w:rPr>
          <w:rFonts w:ascii="Times New Roman" w:hAnsi="Times New Roman"/>
          <w:b w:val="false"/>
          <w:sz w:val="20"/>
        </w:rPr>
        <w:t>(k)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 an ERISA Event occurs that has resulted or could reasonably be expected to result in liability of any Loan Party under Title IV of ERISA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w:t>
      </w:r>
    </w:p>
    <w:p>
      <w:pPr>
        <w:pStyle w:val="TextBody"/>
        <w:bidi w:val="0"/>
        <w:spacing w:before="200" w:after="0"/>
        <w:jc w:val="both"/>
        <w:rPr>
          <w:rFonts w:ascii="Times New Roman" w:hAnsi="Times New Roman"/>
          <w:b w:val="false"/>
          <w:sz w:val="20"/>
        </w:rPr>
      </w:pPr>
      <w:r>
        <w:rPr>
          <w:rFonts w:ascii="Times New Roman" w:hAnsi="Times New Roman"/>
          <w:b w:val="false"/>
          <w:sz w:val="20"/>
        </w:rPr>
        <w:t>(l)</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to the extent unremedied for a period of 10 Business Days (in respect of a default under clause (x) only), any Lien purported to be created under any Security Document (x) shall cease to be, or (y) shall be asserted by any Loan Party not to be, a valid and perfected Lien on any material portion of the Collateral, except (i) as a result of the sale or other disposition of the applicable Collateral to a Person that is not a Loan Party in a transaction permitted under the Loan Documents, (ii) as a result of the Collateral Agent’s failure to (A) maintain possession of any stock certificates, promissory notes or other instruments delivered to it under the Security Documents or (B) file Uniform Commercial Code continuation statements, (iii) as to Collateral consisting of real property, to the extent that such losses are covered by a lender’s title insurance policy and such insurer has not denied coverage or (iv) as a result of acts or omissions of the Collateral Agent, the Administrative Agent or any Lender;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(m)</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material provision of any Loan Document or any Guarantee of the Loan Document Obligations shall for any reason be asserted by any Loan Party not to be a legal, valid and binding obligation of any Loan Party thereto other than as expressly permitted hereunder or thereunder;</w:t>
      </w:r>
    </w:p>
    <w:p>
      <w:pPr>
        <w:pStyle w:val="TextBody"/>
        <w:bidi w:val="0"/>
        <w:spacing w:before="200" w:after="0"/>
        <w:jc w:val="both"/>
        <w:rPr>
          <w:rFonts w:ascii="Times New Roman" w:hAnsi="Times New Roman"/>
          <w:b w:val="false"/>
          <w:sz w:val="20"/>
        </w:rPr>
      </w:pPr>
      <w:r>
        <w:rPr>
          <w:rFonts w:ascii="Times New Roman" w:hAnsi="Times New Roman"/>
          <w:b w:val="false"/>
          <w:sz w:val="20"/>
        </w:rPr>
        <w:t>(n)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any Guarantees of the Loan Document Obligations by Holdings, the Borrower or Subsidiary Loan Party pursuant to the Guarantee Agreement shall cease to be in full force and effect (in each case, other than in accordance with the terms of the Loan Documents);</w:t>
      </w:r>
    </w:p>
    <w:p>
      <w:pPr>
        <w:pStyle w:val="TextBody"/>
        <w:bidi w:val="0"/>
        <w:spacing w:before="200" w:after="0"/>
        <w:jc w:val="left"/>
        <w:rPr>
          <w:rFonts w:ascii="Times New Roman" w:hAnsi="Times New Roman"/>
          <w:b w:val="false"/>
          <w:sz w:val="20"/>
        </w:rPr>
      </w:pPr>
      <w:r>
        <w:rPr>
          <w:rFonts w:ascii="Times New Roman" w:hAnsi="Times New Roman"/>
          <w:b w:val="false"/>
          <w:sz w:val="20"/>
        </w:rPr>
        <w:t>(o)</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a Change in Control shall occur;</w:t>
      </w:r>
    </w:p>
    <w:p>
      <w:pPr>
        <w:pStyle w:val="TextBody"/>
        <w:bidi w:val="0"/>
        <w:spacing w:before="200" w:after="0"/>
        <w:jc w:val="both"/>
        <w:rPr>
          <w:rFonts w:ascii="Times New Roman" w:hAnsi="Times New Roman"/>
          <w:sz w:val="20"/>
        </w:rPr>
      </w:pPr>
      <w:r>
        <w:rPr>
          <w:rFonts w:ascii="Times New Roman;serif" w:hAnsi="Times New Roman;serif"/>
          <w:b w:val="false"/>
          <w:sz w:val="20"/>
        </w:rPr>
        <w:t>then, and in every such event (other than an event with respect to Holdings, or the Borrower described in paragraph (h) or (i) of this Article), and at any time thereafter during the continuance of such event, the Administrative Agent may, and at the request of the Required Lenders (or, if an Event of Default resulting from a breach of the Financial Performance Covenant occurs and is continuing and prior to the expiration of the Standstill Period, (x) at the request of the Required Revolving Lenders (in such case only with respect to the Revolving Commitments, Revolving Loans and any Letters of Credit) only (a “</w:t>
      </w:r>
      <w:r>
        <w:rPr>
          <w:rFonts w:ascii="Times New Roman;serif" w:hAnsi="Times New Roman;serif"/>
          <w:b w:val="false"/>
          <w:sz w:val="20"/>
          <w:u w:val="single"/>
        </w:rPr>
        <w:t>Revolving Acceleration</w:t>
      </w:r>
      <w:r>
        <w:rPr>
          <w:rFonts w:ascii="Times New Roman" w:hAnsi="Times New Roman"/>
          <w:sz w:val="20"/>
        </w:rPr>
        <w:t>”</w:t>
      </w:r>
      <w:r>
        <w:rPr>
          <w:rFonts w:ascii="Times New Roman;serif" w:hAnsi="Times New Roman;serif"/>
          <w:b w:val="false"/>
          <w:sz w:val="20"/>
        </w:rPr>
        <w:t xml:space="preserve">) and (y) after a Revolving Acceleration, at the request of the Required Term Lenders), shall, by notice to Holdings and the Borrower, take either or both of the following actions, at the same or different times: (i) terminate the applicable Commitments, and thereupon the Commitments shall terminate immediately, (ii) declare the applicable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Holdings or the Borrower accrued hereunder, shall become due and payable immediately and (iii) require the deposit of cash collateral in respect of LC Exposure as provided in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2.05(j)</w:t>
      </w:r>
      <w:r>
        <w:rPr>
          <w:rFonts w:ascii="Times New Roman;serif" w:hAnsi="Times New Roman;serif"/>
          <w:b w:val="false"/>
          <w:sz w:val="20"/>
        </w:rPr>
        <w:t>, in each case, without presentment, demand, protest or other notice of any kind, all of which are hereby waived by Holdings and the Borrower; and in case of any event with respect to Holdings or the Borrower described in paragraph (h) or (i) of this Article, the Commitments shall automatically terminate and the principal of the Loans then outstanding, together with accrued interest thereon and all fees and other obligations of Holdings and the Borrower accrued hereunder, shall automatically become due and payable, without presentment, demand, protest or other notice of any kind, all of which are hereby waived by Holdings and the Borrower.</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anything in this Agreement to the contrary, each Lender and the Administrative Agent hereby acknowledge and agree that a restatement of historical financial statements shall not result in a Default hereunder (whether pursuant to </w:t>
      </w:r>
      <w:r>
        <w:rPr>
          <w:rFonts w:ascii="Times New Roman;serif" w:hAnsi="Times New Roman;serif"/>
          <w:b w:val="false"/>
          <w:sz w:val="20"/>
          <w:u w:val="single"/>
        </w:rPr>
        <w:t>Section 7.01(c)</w:t>
      </w:r>
      <w:r>
        <w:rPr>
          <w:rFonts w:ascii="Times New Roman" w:hAnsi="Times New Roman"/>
          <w:sz w:val="20"/>
        </w:rPr>
        <w:t xml:space="preserve"> </w:t>
      </w:r>
      <w:r>
        <w:rPr>
          <w:rFonts w:ascii="Times New Roman;serif" w:hAnsi="Times New Roman;serif"/>
          <w:b w:val="false"/>
          <w:sz w:val="20"/>
        </w:rPr>
        <w:t xml:space="preserve">as it relates to a representation made with respect to such financial statements (including any interim unaudited financial statements) or pursuant to </w:t>
      </w:r>
      <w:r>
        <w:rPr>
          <w:rFonts w:ascii="Times New Roman;serif" w:hAnsi="Times New Roman;serif"/>
          <w:b w:val="false"/>
          <w:sz w:val="20"/>
          <w:u w:val="single"/>
        </w:rPr>
        <w:t>Section 7.01(d)</w:t>
      </w:r>
      <w:r>
        <w:rPr>
          <w:rFonts w:ascii="Times New Roman" w:hAnsi="Times New Roman"/>
          <w:sz w:val="20"/>
        </w:rPr>
        <w:t xml:space="preserve"> </w:t>
      </w:r>
      <w:r>
        <w:rPr>
          <w:rFonts w:ascii="Times New Roman;serif" w:hAnsi="Times New Roman;serif"/>
          <w:b w:val="false"/>
          <w:sz w:val="20"/>
        </w:rPr>
        <w:t xml:space="preserve">as it relates to delivery requirements for financial statements pursuant to </w:t>
      </w:r>
      <w:r>
        <w:rPr>
          <w:rFonts w:ascii="Times New Roman;serif" w:hAnsi="Times New Roman;serif"/>
          <w:b w:val="false"/>
          <w:sz w:val="20"/>
          <w:u w:val="single"/>
        </w:rPr>
        <w:t>Section 5.01</w:t>
      </w:r>
      <w:r>
        <w:rPr>
          <w:rFonts w:ascii="Times New Roman;serif" w:hAnsi="Times New Roman;serif"/>
          <w:b w:val="false"/>
          <w:sz w:val="20"/>
        </w:rPr>
        <w:t>) to the extent that such restatement does not reveal any material adverse difference in the financial condition, results of operations or cash flows of the Borrower and its Restricted Subsidiaries in the previously reported information from actual results reflected in such restatement for any relevant prior period.</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7.02 </w:t>
      </w:r>
      <w:r>
        <w:rPr>
          <w:rFonts w:ascii="Times New Roman;serif" w:hAnsi="Times New Roman;serif"/>
          <w:b w:val="false"/>
          <w:sz w:val="20"/>
          <w:u w:val="single"/>
        </w:rPr>
        <w:t>Right to Cure</w:t>
      </w:r>
      <w:r>
        <w:rPr>
          <w:rFonts w:ascii="Times New Roman;serif" w:hAnsi="Times New Roman;serif"/>
          <w:b w:val="false"/>
          <w:sz w:val="20"/>
        </w:rPr>
        <w:t xml:space="preserve">. Notwithstanding anything to the contrary contained in </w:t>
      </w:r>
      <w:r>
        <w:rPr>
          <w:rFonts w:ascii="Times New Roman;serif" w:hAnsi="Times New Roman;serif"/>
          <w:b w:val="false"/>
          <w:sz w:val="20"/>
          <w:u w:val="single"/>
        </w:rPr>
        <w:t>Section 7.01</w:t>
      </w:r>
      <w:r>
        <w:rPr>
          <w:rFonts w:ascii="Times New Roman;serif" w:hAnsi="Times New Roman;serif"/>
          <w:b w:val="false"/>
          <w:sz w:val="20"/>
        </w:rPr>
        <w:t>, in the event that the Borrower and its Restricted Subsidiaries fail to comply with the requirements of the Financial Performance Covenant as of the last day of any fiscal quarter of the Borrower, at any time after the beginning of such fiscal quarter until the expiration of the 10</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 xml:space="preserve">Business Day following the date on which the financial statements with respect to such fiscal quarter (or the fiscal year ended on the last day of such fiscal quarter) are required to be delivered pursuant to </w:t>
      </w:r>
      <w:r>
        <w:rPr>
          <w:rFonts w:ascii="Times New Roman;serif" w:hAnsi="Times New Roman;serif"/>
          <w:b w:val="false"/>
          <w:sz w:val="20"/>
          <w:u w:val="single"/>
        </w:rPr>
        <w:t>Section 5.01(a)</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5.01(b)</w:t>
      </w:r>
      <w:r>
        <w:rPr>
          <w:rFonts w:ascii="Times New Roman;serif" w:hAnsi="Times New Roman;serif"/>
          <w:b w:val="false"/>
          <w:sz w:val="20"/>
        </w:rPr>
        <w:t>, the Borrower or any Parent Entity thereof shall have the right to issue common Equity Interests or other Equity Interests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such other Equity Interests are reasonably satisfactory to the Administrative Agent) for cash or otherwise receive cash contributions to the capital of the Borrower as cash common Equity Interests or other Equity Interests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such other Equity Interests are reasonably satisfactory to the Administrative Agent) (collectively, the “</w:t>
      </w:r>
      <w:r>
        <w:rPr>
          <w:rFonts w:ascii="Times New Roman;serif" w:hAnsi="Times New Roman;serif"/>
          <w:b w:val="false"/>
          <w:sz w:val="20"/>
          <w:u w:val="single"/>
        </w:rPr>
        <w:t>Cure Right</w:t>
      </w:r>
      <w:r>
        <w:rPr>
          <w:rFonts w:ascii="Times New Roman" w:hAnsi="Times New Roman"/>
          <w:sz w:val="20"/>
        </w:rPr>
        <w:t>”</w:t>
      </w:r>
      <w:r>
        <w:rPr>
          <w:rFonts w:ascii="Times New Roman;serif" w:hAnsi="Times New Roman;serif"/>
          <w:b w:val="false"/>
          <w:sz w:val="20"/>
        </w:rPr>
        <w:t>), and upon the receipt by the Borrower of the Net Proceeds of such issuance that are not otherwise applied (the “</w:t>
      </w:r>
      <w:r>
        <w:rPr>
          <w:rFonts w:ascii="Times New Roman;serif" w:hAnsi="Times New Roman;serif"/>
          <w:b w:val="false"/>
          <w:sz w:val="20"/>
          <w:u w:val="single"/>
        </w:rPr>
        <w:t>Cure Amount</w:t>
      </w:r>
      <w:r>
        <w:rPr>
          <w:rFonts w:ascii="Times New Roman" w:hAnsi="Times New Roman"/>
          <w:sz w:val="20"/>
        </w:rPr>
        <w:t>”</w:t>
      </w:r>
      <w:r>
        <w:rPr>
          <w:rFonts w:ascii="Times New Roman;serif" w:hAnsi="Times New Roman;serif"/>
          <w:b w:val="false"/>
          <w:sz w:val="20"/>
        </w:rPr>
        <w:t>) pursuant to the exercise by the Borrower of such Cure Right such Financial Performance Covenant shall be recalculated giving effect to the following pro forma adjustment:</w:t>
      </w:r>
    </w:p>
    <w:p>
      <w:pPr>
        <w:pStyle w:val="TextBody"/>
        <w:bidi w:val="0"/>
        <w:spacing w:before="200" w:after="0"/>
        <w:jc w:val="both"/>
        <w:rPr>
          <w:rFonts w:ascii="Times New Roman" w:hAnsi="Times New Roman"/>
          <w:b w:val="false"/>
          <w:sz w:val="20"/>
        </w:rPr>
      </w:pPr>
      <w:r>
        <w:rPr>
          <w:rFonts w:ascii="Times New Roman" w:hAnsi="Times New Roman"/>
          <w:b w:val="false"/>
          <w:sz w:val="20"/>
        </w:rPr>
        <w:t>(a)</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b w:val="false"/>
          <w:sz w:val="20"/>
        </w:rPr>
      </w:pPr>
      <w:r>
        <w:rPr>
          <w:rFonts w:ascii="Times New Roman" w:hAnsi="Times New Roman"/>
          <w:b w:val="false"/>
          <w:sz w:val="20"/>
        </w:rPr>
        <w:t>(b)</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after giving effect to the foregoing pro forma adjustment (without giving effect to any portion of the Cure Amount on the balance sheet of the Borrower and its Restricted Subsidiaries with respect to such fiscal quarter only but with giving pro forma effect to any portion of the Cure Amount applied to any repayment of any Indebtedness), the Borrower and its Restricted Subsidiaries shall then be in compliance with the requirements of the Financial Performance Covenants,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and</w:t>
      </w:r>
    </w:p>
    <w:p>
      <w:pPr>
        <w:pStyle w:val="TextBody"/>
        <w:bidi w:val="0"/>
        <w:spacing w:before="200" w:after="0"/>
        <w:jc w:val="both"/>
        <w:rPr>
          <w:rFonts w:ascii="Times New Roman" w:hAnsi="Times New Roman"/>
          <w:b w:val="false"/>
          <w:sz w:val="20"/>
        </w:rPr>
      </w:pPr>
      <w:r>
        <w:rPr>
          <w:rFonts w:ascii="Times New Roman" w:hAnsi="Times New Roman"/>
          <w:b w:val="false"/>
          <w:sz w:val="20"/>
        </w:rPr>
        <w:t>(c)</w:t>
      </w:r>
    </w:p>
    <w:p>
      <w:pPr>
        <w:pStyle w:val="TextBody"/>
        <w:bidi w:val="0"/>
        <w:spacing w:before="200" w:after="283"/>
        <w:jc w:val="both"/>
        <w:rPr/>
      </w:pPr>
      <w:r>
        <w:rPr>
          <w:rFonts w:ascii="Times New Roman;serif" w:hAnsi="Times New Roman;serif"/>
          <w:b w:val="false"/>
          <w:sz w:val="20"/>
        </w:rPr>
        <w:t xml:space="preserve">Notwithstanding anything herein to the contrary, (i) in each four consecutive fiscal quarter period of the Borrower there shall be at least two fiscal quarters in which the Cure Right is not exercised, (ii) during the term of this Agreement, the Cure Right shall not be exercised more than five times, (iii) the Cure Amount shall be no greater than the amount required for purposes of complying with the Financial Performance Covenant and any amounts in excess thereof shall not be deemed to be a Cure Amount and (iv) the Lenders shall not be required to make a Loan or issue, amend, renew or extend any Letter of Credit unless and until the Borrower has received the Cure Amount required to cause the Borrower and the Restricted Subsidiaries to be in compliance with the Financial Performance Covenants. Notwithstanding any other provision in this Agreement to the contrary, the Cure Amount received pursuant to any exercise of the Cure Right shall be disregarded for purposes of determining the Available Amount, the Available Equity Amount, any financial ratio-based conditions or tests, pricing or any available basket under </w:t>
      </w:r>
      <w:r>
        <w:rPr>
          <w:rFonts w:ascii="Times New Roman;serif" w:hAnsi="Times New Roman;serif"/>
          <w:b w:val="false"/>
          <w:sz w:val="20"/>
          <w:u w:val="single"/>
        </w:rPr>
        <w:t>Article</w:t>
      </w:r>
      <w:r>
        <w:rPr/>
        <w:t xml:space="preserve"> </w:t>
      </w:r>
      <w:r>
        <w:rPr>
          <w:rFonts w:ascii="Times New Roman;serif" w:hAnsi="Times New Roman;serif"/>
          <w:b w:val="false"/>
          <w:sz w:val="20"/>
          <w:u w:val="single"/>
        </w:rPr>
        <w:t>VI</w:t>
      </w:r>
      <w:r>
        <w:rPr/>
        <w:t xml:space="preserve"> </w:t>
      </w:r>
      <w:r>
        <w:rPr>
          <w:rFonts w:ascii="Times New Roman;serif" w:hAnsi="Times New Roman;serif"/>
          <w:b w:val="false"/>
          <w:sz w:val="20"/>
        </w:rPr>
        <w:t>of this Agreement.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SECTION 7.03 </w:t>
      </w:r>
      <w:r>
        <w:rPr>
          <w:rFonts w:ascii="Times New Roman;serif" w:hAnsi="Times New Roman;serif"/>
          <w:b w:val="false"/>
          <w:sz w:val="20"/>
          <w:u w:val="single"/>
        </w:rPr>
        <w:t>Application of Proceeds</w:t>
      </w:r>
      <w:r>
        <w:rPr>
          <w:rFonts w:ascii="Times New Roman;serif" w:hAnsi="Times New Roman;serif"/>
          <w:b w:val="false"/>
          <w:sz w:val="20"/>
        </w:rPr>
        <w:t xml:space="preserve">. After the exercise of remedies provided for in </w:t>
      </w:r>
      <w:r>
        <w:rPr>
          <w:rFonts w:ascii="Times New Roman;serif" w:hAnsi="Times New Roman;serif"/>
          <w:b w:val="false"/>
          <w:sz w:val="20"/>
          <w:u w:val="single"/>
        </w:rPr>
        <w:t>Section 7.01</w:t>
      </w:r>
      <w:r>
        <w:rPr>
          <w:rFonts w:ascii="Times New Roman;serif" w:hAnsi="Times New Roman;serif"/>
          <w:b w:val="false"/>
          <w:sz w:val="20"/>
        </w:rPr>
        <w:t>, any amounts received on account of the Secured Obligations shall be applied by the Collateral Agent in accordance with Section 4.02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Section 4.02 of the Collateral Agreement and/or the similar provisions in the other Security Documents.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ARTICLE VIII</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THE ADMINISTRATIVE AGENT AND COLLATERAL AGENT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of the Lenders and the Issuing Banks hereby irrevocably appoint Bank of America to serve as Administrative Agent and Collateral Agent under the Loan Documents, and authorize the Administrative Agent and Collateral Agent to take such actions and to exercise such powers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w:t>
      </w:r>
    </w:p>
    <w:p>
      <w:pPr>
        <w:pStyle w:val="TextBody"/>
        <w:bidi w:val="0"/>
        <w:spacing w:before="200" w:after="0"/>
        <w:jc w:val="both"/>
        <w:rPr>
          <w:rFonts w:ascii="Times New Roman" w:hAnsi="Times New Roman"/>
          <w:sz w:val="20"/>
        </w:rPr>
      </w:pPr>
      <w:r>
        <w:rPr>
          <w:rFonts w:ascii="Times New Roman;serif" w:hAnsi="Times New Roman;serif"/>
          <w:b w:val="false"/>
          <w:sz w:val="20"/>
        </w:rPr>
        <w:t>The Administrative Agent, the Joint Bookrunners or the Lead Arrangers, as applicable, shall not have any duties or obligations except those expressly set forth in the Loan Documents. Without limiting the generality of the foregoing, the Administrative Agent, the Joint Bookrunners or the Lead Arrangers, as applicable, (a) shall not be subject to any fiduciary or other implied duties, regardless of whether a Default has occurred and is continuing, (b)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be necessary under the circumstances as provided in the Loan Documents);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the Administrative Agent shall not be required to take any action that, in its opinion, may expose the Administrative Agent to liability or that is contrary to any Loan Document or applicable law, and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 that is communicated to, obtained or in the possession of, the Administrative Agent, the Joint Bookrunners, the Lead Arrangers or any of their Related Parties in any capacity, except for notices, reports and other documents expressly required to be furnished to the Lenders by the Administrative Agent herein. Neither the Administrative Agent nor any Joint Bookrunner or Lead Arranger shall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w:t>
      </w:r>
      <w:r>
        <w:rPr>
          <w:rFonts w:ascii="Times New Roman;serif" w:hAnsi="Times New Roman;serif"/>
          <w:b w:val="false"/>
          <w:sz w:val="20"/>
          <w:u w:val="single"/>
        </w:rPr>
        <w:t>Section 9.02</w:t>
      </w:r>
      <w:r>
        <w:rPr>
          <w:rFonts w:ascii="Times New Roman;serif" w:hAnsi="Times New Roman;serif"/>
          <w:b w:val="false"/>
          <w:sz w:val="20"/>
        </w:rPr>
        <w:t xml:space="preserve">) or in the absence of its own gross negligence or willful misconduct. The Administrative Agent shall be deemed not to have knowledge of any Default unless and until written notice thereof is given to the Administrative Agent by Holdings, the Borrower, a Lender or an Issuing Bank. Neither the Administrative Agent nor any Joint Bookrunner or Lead Arranger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value or the sufficiency of any Collateral or creation, perfection or priority of any Lien purported to be created by the Security Documents or (vi) the satisfaction of any condition set forth in </w:t>
      </w:r>
      <w:r>
        <w:rPr>
          <w:rFonts w:ascii="Times New Roman;serif" w:hAnsi="Times New Roman;serif"/>
          <w:b w:val="false"/>
          <w:sz w:val="20"/>
          <w:u w:val="single"/>
        </w:rPr>
        <w:t>Article IV</w:t>
      </w:r>
      <w:r>
        <w:rPr>
          <w:rFonts w:ascii="Times New Roman" w:hAnsi="Times New Roman"/>
          <w:sz w:val="20"/>
        </w:rPr>
        <w:t xml:space="preserve"> </w:t>
      </w:r>
      <w:r>
        <w:rPr>
          <w:rFonts w:ascii="Times New Roman;serif" w:hAnsi="Times New Roman;serif"/>
          <w:b w:val="false"/>
          <w:sz w:val="20"/>
        </w:rPr>
        <w:t>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have any liability arising from any confirmation of the Revolving Exposure or the component amounts thereof.</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Subject to the appointment and acceptance of a successor Administrative Agent as provided in this paragraph, the Administrative Agent may resign upon 30 days’ notice to the Lenders, the Issuing Banks and the Borrower. If the Administrative Agent becomes a Defaulting Lender and is not performing its role hereunder as Administrative Agent, the Administrative Agent may be removed as the Administrative Agent hereunder at the request of the Borrower and the Required Lenders. Upon receipt of any such notice of resignation or upon such removal, the Required Lenders shall have the right, with the Borrower’s consent (unless an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 w:hAnsi="Times New Roman"/>
          <w:sz w:val="20"/>
        </w:rPr>
        <w:t xml:space="preserve"> </w:t>
      </w:r>
      <w:r>
        <w:rPr>
          <w:rFonts w:ascii="Times New Roman;serif" w:hAnsi="Times New Roman;serif"/>
          <w:b w:val="false"/>
          <w:sz w:val="20"/>
        </w:rPr>
        <w:t>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Times New Roman;serif" w:hAnsi="Times New Roman;serif"/>
          <w:b w:val="false"/>
          <w:sz w:val="20"/>
          <w:u w:val="single"/>
        </w:rPr>
        <w:t>Resignation Effective Date</w:t>
      </w:r>
      <w:r>
        <w:rPr>
          <w:rFonts w:ascii="Times New Roman" w:hAnsi="Times New Roman"/>
          <w:sz w:val="20"/>
        </w:rPr>
        <w:t>”</w:t>
      </w:r>
      <w:r>
        <w:rPr>
          <w:rFonts w:ascii="Times New Roman;serif" w:hAnsi="Times New Roman;serif"/>
          <w:b w:val="false"/>
          <w:sz w:val="20"/>
        </w:rPr>
        <w:t>).</w:t>
      </w:r>
    </w:p>
    <w:p>
      <w:pPr>
        <w:pStyle w:val="TextBody"/>
        <w:bidi w:val="0"/>
        <w:spacing w:before="200" w:after="0"/>
        <w:jc w:val="both"/>
        <w:rPr>
          <w:rFonts w:ascii="Times New Roman" w:hAnsi="Times New Roman"/>
          <w:sz w:val="20"/>
        </w:rPr>
      </w:pPr>
      <w:r>
        <w:rPr>
          <w:rFonts w:ascii="Times New Roman;serif" w:hAnsi="Times New Roman;serif"/>
          <w:b w:val="false"/>
          <w:sz w:val="20"/>
        </w:rPr>
        <w:t>If the Person serving as Administrative Agent is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Times New Roman;serif" w:hAnsi="Times New Roman;serif"/>
          <w:b w:val="false"/>
          <w:sz w:val="20"/>
          <w:u w:val="single"/>
        </w:rPr>
        <w:t>Removal</w:t>
      </w:r>
      <w:r>
        <w:rPr>
          <w:rFonts w:ascii="Times New Roman" w:hAnsi="Times New Roman"/>
          <w:sz w:val="20"/>
        </w:rPr>
        <w:t xml:space="preserve"> </w:t>
      </w:r>
      <w:r>
        <w:rPr>
          <w:rFonts w:ascii="Times New Roman;serif" w:hAnsi="Times New Roman;serif"/>
          <w:b w:val="false"/>
          <w:sz w:val="20"/>
          <w:u w:val="single"/>
        </w:rPr>
        <w:t>Effective Date</w:t>
      </w:r>
      <w:r>
        <w:rPr>
          <w:rFonts w:ascii="Times New Roman" w:hAnsi="Times New Roman"/>
          <w:sz w:val="20"/>
        </w:rPr>
        <w:t>”</w:t>
      </w:r>
      <w:r>
        <w:rPr>
          <w:rFonts w:ascii="Times New Roman;serif" w:hAnsi="Times New Roman;serif"/>
          <w:b w:val="false"/>
          <w:sz w:val="20"/>
        </w:rPr>
        <w:t>), then such removal shall nonetheless become effective in accordance with such notice on the Removal Effective Date.</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serif" w:hAnsi="Times New Roman;serif"/>
          <w:b w:val="false"/>
          <w:sz w:val="20"/>
          <w:u w:val="single"/>
        </w:rPr>
        <w:t>Section 9.04</w:t>
      </w:r>
      <w:r>
        <w:rPr>
          <w:rFonts w:ascii="Times New Roman" w:hAnsi="Times New Roman"/>
          <w:sz w:val="20"/>
        </w:rPr>
        <w:t xml:space="preserve"> </w:t>
      </w:r>
      <w:r>
        <w:rPr>
          <w:rFonts w:ascii="Times New Roman;serif" w:hAnsi="Times New Roman;serif"/>
          <w:b w:val="false"/>
          <w:sz w:val="20"/>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before="200" w:after="0"/>
        <w:jc w:val="both"/>
        <w:rPr>
          <w:rFonts w:ascii="Times New Roman" w:hAnsi="Times New Roman"/>
          <w:sz w:val="20"/>
        </w:rPr>
      </w:pPr>
      <w:r>
        <w:rPr>
          <w:rFonts w:ascii="Times New Roman;serif" w:hAnsi="Times New Roman;serif"/>
          <w:b w:val="false"/>
          <w:sz w:val="20"/>
        </w:rPr>
        <w:t>Each Lender and each Issuing Bank expressly acknowledges that none of the Administrative Agent nor the Lead Arrangers or Joint Bookrunners has made any representation or warranty to it, and that no act by the Administrative Agent, the Lead Arrangers or Joint Bookrunners hereafter taken, including any consent to, and acceptance of any assignment or review of the affairs of any Loan Party of any Affiliate thereof, shall be deemed to constitute any representation or warranty by the Administrative Agent, the Lead Arrangers or Joint Bookrunners to any Lender or any Issuing Bank as to any matter, including whether the Administrative Agent, the Lead Arrangers or Joint Bookrunners have disclosed material information in their (or their Related Parties’) possession. Each Lender and each Issuing Bank represents to the Administrative Agent, the Lead Arrangers and the Joint Bookrunners that it has, independently and without reliance upon the Administrative Agent, the Lead Arrangers, the Joint Bookrunners, any other Lender or any Issuing Bank, or any of the Related Parties of any of the foregoing,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Lead Arrangers, the Joint Bookrunners, any other Lender or any Issuing Bank, or any of the Related Parties of any of the foregoing,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Lender, by delivering its signature page to this Agreement and funding its Loans on the Effective Date, or delivering its signature page to an Assignment and Assumption, Incremental Facility Amendment, Refinancing Amendment or Loan Modification Offer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Lender, by delivering its signature page to this Agreement and funding its Loans on the Amendment No. 1 Effective Date, or delivering its signature page to an Assignment and Assumption, Incremental Facility Amendment, Refinancing Amendment or Loan Modification Offer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Amendment No. 1 Effective Date.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Lenders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Notwithstanding anything herein to the contrary, neither any Lead Arranger, any Joint Bookrunner nor any Person named on the cover page of this Agreement as the Syndication Agent or a Documentation Agent shall have any duties or obligations under this Agreement or any other Loan Document (except in its capacity, as applicable, as a Lender or an Issuing Bank), but all such Persons shall have the benefit of the indemnities provided for hereunder, including under </w:t>
      </w:r>
      <w:r>
        <w:rPr>
          <w:rFonts w:ascii="Times New Roman;serif" w:hAnsi="Times New Roman;serif"/>
          <w:b w:val="false"/>
          <w:sz w:val="20"/>
          <w:u w:val="single"/>
        </w:rPr>
        <w:t>Section 9.03</w:t>
      </w:r>
      <w:r>
        <w:rPr>
          <w:rFonts w:ascii="Times New Roman;serif" w:hAnsi="Times New Roman;serif"/>
          <w:b w:val="false"/>
          <w:sz w:val="20"/>
        </w:rPr>
        <w:t>,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Times New Roman;serif" w:hAnsi="Times New Roman;serif"/>
          <w:b w:val="false"/>
          <w:sz w:val="20"/>
          <w:u w:val="single"/>
        </w:rPr>
        <w:t>Section 2.17</w:t>
      </w:r>
      <w:r>
        <w:rPr>
          <w:rFonts w:ascii="Times New Roman;serif" w:hAnsi="Times New Roman;serif"/>
          <w:b w:val="false"/>
          <w:sz w:val="20"/>
        </w:rPr>
        <w:t>,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U.S.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Each Lender party to this Agreement hereby appoints the Administrative Agent and Collateral Agent to act as its agent under and in connection with the relevant Security Documents.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Administrative Agent shall not be responsible or have any liability for, or have any duty to ascertain, inquire into, monitor or enforce, compliance with the provisions hereof relating to Disqualified Lenders or Affiliated Lenders. Without limiting the generality of the foregoing, the Administrative Agent shall not (a) be obligated to ascertain, monitor or inquire as to whether any Lender or participant or prospective Lender or participant is a Disqualified Lender or Affiliated Lender or (b) have any liability with respect to or arising out of any assignment or participation of Loans or Commitments, or disclosure of confidential information, to any Disqualified Lender or Affiliated Lender.</w:t>
      </w:r>
    </w:p>
    <w:p>
      <w:pPr>
        <w:pStyle w:val="TextBody"/>
        <w:bidi w:val="0"/>
        <w:spacing w:before="200" w:after="0"/>
        <w:jc w:val="both"/>
        <w:rPr>
          <w:rFonts w:ascii="Times New Roman" w:hAnsi="Times New Roman"/>
          <w:sz w:val="20"/>
        </w:rPr>
      </w:pPr>
      <w:r>
        <w:rPr>
          <w:rFonts w:ascii="Times New Roman;serif" w:hAnsi="Times New Roman;serif"/>
          <w:b w:val="false"/>
          <w:sz w:val="20"/>
        </w:rPr>
        <w:t xml:space="preserve">All provisions of this </w:t>
      </w:r>
      <w:r>
        <w:rPr>
          <w:rFonts w:ascii="Times New Roman;serif" w:hAnsi="Times New Roman;serif"/>
          <w:b w:val="false"/>
          <w:sz w:val="20"/>
          <w:u w:val="single"/>
        </w:rPr>
        <w:t>Article VIII</w:t>
      </w:r>
      <w:r>
        <w:rPr>
          <w:rFonts w:ascii="Times New Roman" w:hAnsi="Times New Roman"/>
          <w:sz w:val="20"/>
        </w:rPr>
        <w:t xml:space="preserve"> </w:t>
      </w:r>
      <w:r>
        <w:rPr>
          <w:rFonts w:ascii="Times New Roman;serif" w:hAnsi="Times New Roman;serif"/>
          <w:b w:val="false"/>
          <w:sz w:val="20"/>
        </w:rPr>
        <w:t>applicable to the Administrative Agent shall apply to the Collateral Agent and the Collateral Agent shall be entitled to all the benefits and indemnities applicable to the Administrative Agent under this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ARTICLE IX</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MISCELLANEOUS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9.01 </w:t>
      </w:r>
      <w:r>
        <w:rPr>
          <w:rFonts w:ascii="Times New Roman;serif" w:hAnsi="Times New Roman;serif"/>
          <w:b w:val="false"/>
          <w:sz w:val="20"/>
          <w:u w:val="single"/>
        </w:rPr>
        <w:t>Notices</w:t>
      </w:r>
      <w:r>
        <w:rPr>
          <w:rFonts w:ascii="Times New Roman;serif" w:hAnsi="Times New Roman;serif"/>
          <w:b w:val="false"/>
          <w:sz w:val="20"/>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w:t>
      </w:r>
    </w:p>
    <w:p>
      <w:pPr>
        <w:pStyle w:val="TextBody"/>
        <w:bidi w:val="0"/>
        <w:spacing w:before="200" w:after="0"/>
        <w:jc w:val="left"/>
        <w:rPr>
          <w:rFonts w:ascii="Times New Roman" w:hAnsi="Times New Roman"/>
          <w:b w:val="false"/>
          <w:sz w:val="20"/>
        </w:rPr>
      </w:pPr>
      <w:r>
        <w:rPr>
          <w:rFonts w:ascii="Times New Roman" w:hAnsi="Times New Roman"/>
          <w:b w:val="false"/>
          <w:sz w:val="20"/>
        </w:rPr>
        <w:t>(a)</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If to Holdings, to:</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Fastball Parent, Inc.</w:t>
      </w:r>
    </w:p>
    <w:p>
      <w:pPr>
        <w:pStyle w:val="TextBody"/>
        <w:bidi w:val="0"/>
        <w:spacing w:before="0" w:after="0"/>
        <w:jc w:val="left"/>
        <w:rPr>
          <w:rFonts w:ascii="Times New Roman" w:hAnsi="Times New Roman"/>
          <w:sz w:val="20"/>
        </w:rPr>
      </w:pPr>
      <w:r>
        <w:rPr>
          <w:rFonts w:ascii="Times New Roman;serif" w:hAnsi="Times New Roman;serif"/>
          <w:b w:val="false"/>
          <w:sz w:val="20"/>
        </w:rPr>
        <w:t>c/o Silver Lake Partners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55 Hudson Yards</w:t>
      </w:r>
    </w:p>
    <w:p>
      <w:pPr>
        <w:pStyle w:val="TextBody"/>
        <w:bidi w:val="0"/>
        <w:spacing w:before="0" w:after="0"/>
        <w:jc w:val="left"/>
        <w:rPr>
          <w:rFonts w:ascii="Times New Roman" w:hAnsi="Times New Roman"/>
          <w:sz w:val="20"/>
        </w:rPr>
      </w:pPr>
      <w:r>
        <w:rPr>
          <w:rFonts w:ascii="Times New Roman;serif" w:hAnsi="Times New Roman;serif"/>
          <w:b w:val="false"/>
          <w:sz w:val="20"/>
        </w:rPr>
        <w:t>550 West 34th Street, 40th Floor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New York, NY 10001</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Attention: Andy Schaeder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Email: Andy.Schader@SilverLake.com</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With a copy to:</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Simpson Thacher &amp; Bartlett LLP</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425 Lexington Avenue</w:t>
      </w:r>
    </w:p>
    <w:p>
      <w:pPr>
        <w:pStyle w:val="TextBody"/>
        <w:bidi w:val="0"/>
        <w:spacing w:before="1" w:after="0"/>
        <w:jc w:val="left"/>
        <w:rPr>
          <w:rFonts w:ascii="Times New Roman" w:hAnsi="Times New Roman"/>
          <w:sz w:val="20"/>
        </w:rPr>
      </w:pPr>
      <w:r>
        <w:rPr>
          <w:rFonts w:ascii="Times New Roman;serif" w:hAnsi="Times New Roman;serif"/>
          <w:b w:val="false"/>
          <w:sz w:val="20"/>
        </w:rPr>
        <w:t>New York, NY 10017</w:t>
      </w:r>
      <w:r>
        <w:rPr>
          <w:rFonts w:ascii="Times New Roman" w:hAnsi="Times New Roman"/>
          <w:sz w:val="20"/>
        </w:rPr>
        <w:t xml:space="preserve"> </w:t>
      </w:r>
    </w:p>
    <w:p>
      <w:pPr>
        <w:pStyle w:val="TextBody"/>
        <w:bidi w:val="0"/>
        <w:spacing w:before="1" w:after="0"/>
        <w:jc w:val="left"/>
        <w:rPr>
          <w:rFonts w:ascii="Times New Roman" w:hAnsi="Times New Roman"/>
          <w:sz w:val="20"/>
        </w:rPr>
      </w:pPr>
      <w:r>
        <w:rPr>
          <w:rFonts w:ascii="Times New Roman;serif" w:hAnsi="Times New Roman;serif"/>
          <w:b w:val="false"/>
          <w:sz w:val="20"/>
        </w:rPr>
        <w:t>Attention: Jennifer Hobbs</w:t>
      </w:r>
      <w:r>
        <w:rPr>
          <w:rFonts w:ascii="Times New Roman" w:hAnsi="Times New Roman"/>
          <w:sz w:val="20"/>
        </w:rPr>
        <w:t xml:space="preserve"> </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Email: jhobbs@stblaw.com</w:t>
      </w:r>
    </w:p>
    <w:p>
      <w:pPr>
        <w:pStyle w:val="TextBody"/>
        <w:bidi w:val="0"/>
        <w:spacing w:before="360" w:after="0"/>
        <w:jc w:val="left"/>
        <w:rPr>
          <w:rFonts w:ascii="Times New Roman" w:hAnsi="Times New Roman"/>
          <w:b w:val="false"/>
          <w:sz w:val="20"/>
        </w:rPr>
      </w:pPr>
      <w:r>
        <w:rPr>
          <w:rFonts w:ascii="Times New Roman" w:hAnsi="Times New Roman"/>
          <w:b w:val="false"/>
          <w:sz w:val="20"/>
        </w:rPr>
        <w:t>(b)</w:t>
      </w:r>
    </w:p>
    <w:p>
      <w:pPr>
        <w:pStyle w:val="TextBody"/>
        <w:bidi w:val="0"/>
        <w:spacing w:before="360" w:after="283"/>
        <w:jc w:val="left"/>
        <w:rPr>
          <w:rFonts w:ascii="Times New Roman;serif" w:hAnsi="Times New Roman;serif"/>
          <w:b w:val="false"/>
          <w:sz w:val="20"/>
        </w:rPr>
      </w:pPr>
      <w:r>
        <w:rPr>
          <w:rFonts w:ascii="Times New Roman;serif" w:hAnsi="Times New Roman;serif"/>
          <w:b w:val="false"/>
          <w:sz w:val="20"/>
        </w:rPr>
        <w:t>If to the Borrower, to:</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First Advantage Holdings, LLC</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1 Concourse Parkway NE Suite 200</w:t>
      </w:r>
    </w:p>
    <w:p>
      <w:pPr>
        <w:pStyle w:val="TextBody"/>
        <w:bidi w:val="0"/>
        <w:spacing w:before="0" w:after="0"/>
        <w:jc w:val="left"/>
        <w:rPr>
          <w:rFonts w:ascii="Times New Roman" w:hAnsi="Times New Roman"/>
          <w:sz w:val="20"/>
        </w:rPr>
      </w:pPr>
      <w:r>
        <w:rPr>
          <w:rFonts w:ascii="Times New Roman;serif" w:hAnsi="Times New Roman;serif"/>
          <w:b w:val="false"/>
          <w:sz w:val="20"/>
        </w:rPr>
        <w:t>Atlanta, Georgia 30328</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Attention: Chief Financial Officer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Email: david.gamsey@fadv.com</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With a copy to:</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First Advantage Holdings, LLC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Concourse Parkway NE Suite 200</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Atlanta, Georgia 30328</w:t>
      </w:r>
    </w:p>
    <w:p>
      <w:pPr>
        <w:pStyle w:val="TextBody"/>
        <w:bidi w:val="0"/>
        <w:spacing w:before="1" w:after="0"/>
        <w:jc w:val="left"/>
        <w:rPr>
          <w:rFonts w:ascii="Times New Roman" w:hAnsi="Times New Roman"/>
          <w:sz w:val="20"/>
        </w:rPr>
      </w:pPr>
      <w:r>
        <w:rPr>
          <w:rFonts w:ascii="Times New Roman;serif" w:hAnsi="Times New Roman;serif"/>
          <w:b w:val="false"/>
          <w:sz w:val="20"/>
        </w:rPr>
        <w:t>Attention: General Counsel</w:t>
      </w:r>
      <w:r>
        <w:rPr>
          <w:rFonts w:ascii="Times New Roman" w:hAnsi="Times New Roman"/>
          <w:sz w:val="20"/>
        </w:rPr>
        <w:t xml:space="preserve"> </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Email: bret.jardine@fadv.com</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and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Simpson Thacher &amp; Bartlett LLP</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425 Lexington Avenue</w:t>
      </w:r>
    </w:p>
    <w:p>
      <w:pPr>
        <w:pStyle w:val="TextBody"/>
        <w:bidi w:val="0"/>
        <w:spacing w:before="1" w:after="0"/>
        <w:jc w:val="left"/>
        <w:rPr>
          <w:rFonts w:ascii="Times New Roman" w:hAnsi="Times New Roman"/>
          <w:sz w:val="20"/>
        </w:rPr>
      </w:pPr>
      <w:r>
        <w:rPr>
          <w:rFonts w:ascii="Times New Roman;serif" w:hAnsi="Times New Roman;serif"/>
          <w:b w:val="false"/>
          <w:sz w:val="20"/>
        </w:rPr>
        <w:t>New York, NY 10017</w:t>
      </w:r>
      <w:r>
        <w:rPr>
          <w:rFonts w:ascii="Times New Roman" w:hAnsi="Times New Roman"/>
          <w:sz w:val="20"/>
        </w:rPr>
        <w:t xml:space="preserve"> </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Attention: Jennifer Hobbs</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Email: jhobbs@stblaw.com</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If to the Administrative Agent, to:</w:t>
      </w:r>
    </w:p>
    <w:p>
      <w:pPr>
        <w:pStyle w:val="TextBody"/>
        <w:bidi w:val="0"/>
        <w:spacing w:before="200" w:after="0"/>
        <w:jc w:val="left"/>
        <w:rPr>
          <w:rFonts w:ascii="Times New Roman" w:hAnsi="Times New Roman"/>
          <w:sz w:val="20"/>
        </w:rPr>
      </w:pPr>
      <w:r>
        <w:rPr>
          <w:rFonts w:ascii="Times New Roman;serif" w:hAnsi="Times New Roman;serif"/>
          <w:b w:val="false"/>
          <w:sz w:val="20"/>
        </w:rPr>
        <w:t>Bank of America, N.A., as Administrative Agent</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900 West Trade Street, 6th Floor</w:t>
      </w:r>
    </w:p>
    <w:p>
      <w:pPr>
        <w:pStyle w:val="TextBody"/>
        <w:bidi w:val="0"/>
        <w:spacing w:before="1" w:after="0"/>
        <w:jc w:val="left"/>
        <w:rPr>
          <w:rFonts w:ascii="Times New Roman;serif" w:hAnsi="Times New Roman;serif"/>
          <w:b w:val="false"/>
          <w:sz w:val="20"/>
        </w:rPr>
      </w:pPr>
      <w:r>
        <w:rPr>
          <w:rFonts w:ascii="Times New Roman;serif" w:hAnsi="Times New Roman;serif"/>
          <w:b w:val="false"/>
          <w:sz w:val="20"/>
        </w:rPr>
        <w:t>NC1-026-06-03</w:t>
      </w:r>
    </w:p>
    <w:p>
      <w:pPr>
        <w:pStyle w:val="TextBody"/>
        <w:bidi w:val="0"/>
        <w:spacing w:before="0" w:after="0"/>
        <w:jc w:val="both"/>
        <w:rPr>
          <w:rFonts w:ascii="Times New Roman" w:hAnsi="Times New Roman"/>
          <w:sz w:val="20"/>
        </w:rPr>
      </w:pPr>
      <w:r>
        <w:rPr>
          <w:rFonts w:ascii="Times New Roman;serif" w:hAnsi="Times New Roman;serif"/>
          <w:b w:val="false"/>
          <w:sz w:val="20"/>
        </w:rPr>
        <w:t>Charlotte, NC 28255</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Attention: Lee Booth</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Tel: 980-386-4535</w:t>
      </w:r>
    </w:p>
    <w:p>
      <w:pPr>
        <w:pStyle w:val="TextBody"/>
        <w:bidi w:val="0"/>
        <w:spacing w:before="2" w:after="0"/>
        <w:jc w:val="both"/>
        <w:rPr>
          <w:rFonts w:ascii="Times New Roman;serif" w:hAnsi="Times New Roman;serif"/>
          <w:b w:val="false"/>
          <w:sz w:val="20"/>
        </w:rPr>
      </w:pPr>
      <w:r>
        <w:rPr>
          <w:rFonts w:ascii="Times New Roman;serif" w:hAnsi="Times New Roman;serif"/>
          <w:b w:val="false"/>
          <w:sz w:val="20"/>
        </w:rPr>
        <w:t>Fax: 704-409-0965</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Email: lee.booth@bofa.com</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If to the Administrative Agent, solely with respect to Borrowing Requests, Interest Election Requests, Notices of Loan Prepayments, Specified Discount Prepayment Notices, Solicited Discounted Prepayment Notices and Acceptance and Prepayment Notices, to:</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Bank of America, N.A.</w:t>
      </w:r>
    </w:p>
    <w:p>
      <w:pPr>
        <w:pStyle w:val="TextBody"/>
        <w:bidi w:val="0"/>
        <w:spacing w:before="1" w:after="0"/>
        <w:jc w:val="both"/>
        <w:rPr>
          <w:rFonts w:ascii="Times New Roman" w:hAnsi="Times New Roman"/>
          <w:sz w:val="20"/>
        </w:rPr>
      </w:pPr>
      <w:r>
        <w:rPr>
          <w:rFonts w:ascii="Times New Roman;serif" w:hAnsi="Times New Roman;serif"/>
          <w:b w:val="false"/>
          <w:sz w:val="20"/>
        </w:rPr>
        <w:t>2380 Performance Drive, Building C</w:t>
      </w:r>
      <w:r>
        <w:rPr>
          <w:rFonts w:ascii="Times New Roman" w:hAnsi="Times New Roman"/>
          <w:sz w:val="20"/>
        </w:rPr>
        <w:t xml:space="preserve"> </w:t>
      </w:r>
    </w:p>
    <w:p>
      <w:pPr>
        <w:pStyle w:val="TextBody"/>
        <w:bidi w:val="0"/>
        <w:spacing w:before="1" w:after="0"/>
        <w:jc w:val="both"/>
        <w:rPr>
          <w:rFonts w:ascii="Times New Roman;serif" w:hAnsi="Times New Roman;serif"/>
          <w:b w:val="false"/>
          <w:sz w:val="20"/>
        </w:rPr>
      </w:pPr>
      <w:r>
        <w:rPr>
          <w:rFonts w:ascii="Times New Roman;serif" w:hAnsi="Times New Roman;serif"/>
          <w:b w:val="false"/>
          <w:sz w:val="20"/>
        </w:rPr>
        <w:t>TX2-984-03-23</w:t>
      </w:r>
    </w:p>
    <w:p>
      <w:pPr>
        <w:pStyle w:val="TextBody"/>
        <w:bidi w:val="0"/>
        <w:spacing w:before="0" w:after="0"/>
        <w:jc w:val="both"/>
        <w:rPr>
          <w:rFonts w:ascii="Times New Roman" w:hAnsi="Times New Roman"/>
          <w:sz w:val="20"/>
        </w:rPr>
      </w:pPr>
      <w:r>
        <w:rPr>
          <w:rFonts w:ascii="Times New Roman;serif" w:hAnsi="Times New Roman;serif"/>
          <w:b w:val="false"/>
          <w:sz w:val="20"/>
        </w:rPr>
        <w:t>Richardson, TX 75082</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Attention: Gita Pandey</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Tel: 214-209-2984</w:t>
      </w:r>
    </w:p>
    <w:p>
      <w:pPr>
        <w:pStyle w:val="TextBody"/>
        <w:bidi w:val="0"/>
        <w:spacing w:before="2" w:after="0"/>
        <w:jc w:val="both"/>
        <w:rPr>
          <w:rFonts w:ascii="Times New Roman;serif" w:hAnsi="Times New Roman;serif"/>
          <w:b w:val="false"/>
          <w:sz w:val="20"/>
        </w:rPr>
      </w:pPr>
      <w:r>
        <w:rPr>
          <w:rFonts w:ascii="Times New Roman;serif" w:hAnsi="Times New Roman;serif"/>
          <w:b w:val="false"/>
          <w:sz w:val="20"/>
        </w:rPr>
        <w:t>Fax: 214-290-8350</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Email: gita.pandey@bofa.com</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to any Issuing Bank, to it at its address (or fax number or email address) most recently specified by it in a notice delivered to the Administrative Agent, Holdings, and the Borrower (or, in the absence of any such notice, to the address (or fax number or email address) set forth in the Administrative Questionnaire of the Lender that is serving as such Issuing Bank or is an Affiliate thereof); and</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If to any other Lender, to it at its address (or fax number or email address) set forth in its Administrative Questionnaire.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the foregoing shall not apply to notices to any Lender or Issuing Bank pursuant to </w:t>
      </w:r>
      <w:r>
        <w:rPr>
          <w:rFonts w:ascii="Times New Roman;serif" w:hAnsi="Times New Roman;serif"/>
          <w:b w:val="false"/>
          <w:sz w:val="20"/>
          <w:u w:val="single"/>
        </w:rPr>
        <w:t>Article II</w:t>
      </w:r>
      <w:r>
        <w:rPr>
          <w:rFonts w:ascii="Times New Roman" w:hAnsi="Times New Roman"/>
          <w:sz w:val="20"/>
        </w:rPr>
        <w:t xml:space="preserve"> </w:t>
      </w:r>
      <w:r>
        <w:rPr>
          <w:rFonts w:ascii="Times New Roman;serif" w:hAnsi="Times New Roman;serif"/>
          <w:b w:val="false"/>
          <w:sz w:val="20"/>
        </w:rPr>
        <w:t>if such Lender or Issuing Bank, as applicable, has notified the Administrative Agent that it is incapable of receiving notices under such Article by electronic transmission.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PLATFORM IS PROVIDED “AS IS” AND “AS AVAILABLE.” THE AGENT PARTIES (AS DE-FINED BELOW) DO NOT WARRANT THE ACCURACY OR COMPLETENESS OF THE COMPANY MATERIALS OR THE ADEQUACY OF THE PLATFORM, AND EXPRESSLY DISCLAIM LIABILITY FOR ERRORS IN OR OMISSIONS FROM THE COMPANY MATERIALS. NO WARRANTY OF ANY KIND, EXPRESS, IMPLIED OR STATUTORY, INCLUDING ANY WARRANTY OF MERCHANTABILITY, FITNESS FOR A PARTICULAR PURPOSE, NON-INFRINGEMENT OF THIRD PARTY RIGHTS OR FREEDOM FROM VIRUSES OR OTHER CODE DEFECTS, IS MADE BY ANY AGENT PARTY IN CONNECTION WITH THE COMPANY MATERIALS OR THE PLATFORM. In no event shall the Administrative Agent or any of its Related Parties (collectively, the “Agent Parties”) have any liability to Holdings, the Borrower, any Lender, any Issuing Bank or any other Person for losses, claims, damages, liabilities or expenses of any kind (whether in tort, contract or otherwise) arising out of the Borrower’s, any Loan Party’s or the Administrative Agent’s transmission of Company Materials or notices through the Platform, any other electronic messaging service, or through the Internet, except to the extent that such losses, claims, damages, liabilities or expenses have resulted from the willful misconduct, bad faith or gross negligence of the Administrative Agent or any of its Related Parties, as applicable.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Administrative Agent, the Issuing Banks and the Lenders shall be entitled to rely and act upon any notices (including telephonic notices and Borrowing Requests)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9.02 </w:t>
      </w:r>
      <w:r>
        <w:rPr>
          <w:rFonts w:ascii="Times New Roman;serif" w:hAnsi="Times New Roman;serif"/>
          <w:b w:val="false"/>
          <w:sz w:val="20"/>
          <w:u w:val="single"/>
        </w:rPr>
        <w:t>Waivers; Amendments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 failure or delay by the Administrative Agent, the Collateral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the Collateral Agent, or any Lender or any Issuing Bank may have had notice or knowledge of such Default at the time. No notice or demand on the Borrower or Holdings in any case shall entitle Holdings or the Borrower to any other or further notice or demand in similar or other circumstances.</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Except as expressly provided herein, neither any Loan Document nor any provision thereof may be waived, amended or modified except, in the case of this Agreement, pursuant to an agreement or agreements in writing entered into by Holdings, the Borrower,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or, in the case of any other Loan Document, pursuant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83"/>
        <w:jc w:val="both"/>
        <w:rPr/>
      </w:pPr>
      <w:r>
        <w:rPr>
          <w:rFonts w:ascii="Times New Roman;serif" w:hAnsi="Times New Roman;serif"/>
          <w:b w:val="false"/>
          <w:sz w:val="20"/>
        </w:rPr>
        <w:t xml:space="preserve">to an agreement or agreements in writing entered into by the Administrative Agent and the Loan Party or Loan Parties that are parties thereto, in each case with the consent of the Required Lenders, </w:t>
      </w:r>
      <w:r>
        <w:rPr>
          <w:rFonts w:ascii="Times New Roman;serif" w:hAnsi="Times New Roman;serif"/>
          <w:b w:val="false"/>
          <w:sz w:val="20"/>
          <w:u w:val="single"/>
        </w:rPr>
        <w:t>provided</w:t>
      </w:r>
      <w:r>
        <w:rPr/>
        <w:t xml:space="preserve"> </w:t>
      </w:r>
      <w:r>
        <w:rPr>
          <w:rFonts w:ascii="Times New Roman;serif" w:hAnsi="Times New Roman;serif"/>
          <w:b w:val="false"/>
          <w:sz w:val="20"/>
        </w:rPr>
        <w:t>that no such agreement shall:</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 increase the Commitment of any Lender without the written consent of such Lender (it being understood that a waiver of any condition precedent set forth in </w:t>
      </w:r>
      <w:r>
        <w:rPr>
          <w:rFonts w:ascii="Times New Roman;serif" w:hAnsi="Times New Roman;serif"/>
          <w:b w:val="false"/>
          <w:sz w:val="20"/>
          <w:u w:val="single"/>
        </w:rPr>
        <w:t>Section 4.02</w:t>
      </w:r>
      <w:r>
        <w:rPr>
          <w:rFonts w:ascii="Times New Roman" w:hAnsi="Times New Roman"/>
          <w:sz w:val="20"/>
        </w:rPr>
        <w:t xml:space="preserve"> </w:t>
      </w:r>
      <w:r>
        <w:rPr>
          <w:rFonts w:ascii="Times New Roman;serif" w:hAnsi="Times New Roman;serif"/>
          <w:b w:val="false"/>
          <w:sz w:val="20"/>
        </w:rPr>
        <w:t>or the waiver of any Default, Event of Default, mandatory prepayment or mandatory reduction of the Commitments shall not constitute an extension or increase of any Commitment of any Lender),</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(ii) reduce the principal amount of any Loan or LC Disbursement (it being understood that a waiver of any Default, Event of Default, mandatory prepayment or mandatory reduction of the Commitments shall not constitute a reduction or forgiveness in principal) or reduce the rate of interest thereon, or reduce any fees payable hereunder, without the written consent of each Lender directly and adversely affected thereby (it being understood that any change to the definition of “First Lien Leverage Ratio” or in the component definitions thereof shall not constitute a reduction of interest or fees),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only the consent of the Required Lenders shall be necessary to waive any obligation of the Borrower to pay default interest pursuant to </w:t>
      </w:r>
      <w:r>
        <w:rPr>
          <w:rFonts w:ascii="Times New Roman;serif" w:hAnsi="Times New Roman;serif"/>
          <w:b w:val="false"/>
          <w:sz w:val="20"/>
          <w:u w:val="single"/>
        </w:rPr>
        <w:t>Section 2.13(c)</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(iii)postpone the maturity of any Loan (it being understood that a waiver of any Default, Event of Default, mandatory prepayment or mandatory reduction of the Commitments shall not constitute an extension of any maturity date), or the date of any scheduled amortization payment of the principal amount of any Loan under </w:t>
      </w:r>
      <w:r>
        <w:rPr>
          <w:rFonts w:ascii="Times New Roman;serif" w:hAnsi="Times New Roman;serif"/>
          <w:b w:val="false"/>
          <w:sz w:val="20"/>
          <w:u w:val="single"/>
        </w:rPr>
        <w:t>Section 2.10</w:t>
      </w:r>
      <w:r>
        <w:rPr>
          <w:rFonts w:ascii="Times New Roman" w:hAnsi="Times New Roman"/>
          <w:sz w:val="20"/>
        </w:rPr>
        <w:t xml:space="preserve"> </w:t>
      </w:r>
      <w:r>
        <w:rPr>
          <w:rFonts w:ascii="Times New Roman;serif" w:hAnsi="Times New Roman;serif"/>
          <w:b w:val="false"/>
          <w:sz w:val="20"/>
        </w:rPr>
        <w:t>or the applicable Refinancing Amendment or Loan Modification Agreement,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(iv) change any of the provisions of this Section without the written consent of each Lender directly and adversely affected thereby,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(v) lower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(vi) release all or substantially all the value of the Guarantees under the Guarantee Agreement (except as expressly provided in the Loan Documents) without the written consent of each Lender (other than a Defaulting Lender),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(vii) release all or substantially all the Collateral from the Liens of the Security Documents, without the written consent of each Lender (other than a Defaulting Lender) (except as expressly provided in the Loan Documents),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(viii) change the currency in which any Loan is denominated, without the written consent of each Lender directly affected thereby,</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(ix) change any of the provisions of </w:t>
      </w:r>
      <w:r>
        <w:rPr>
          <w:rFonts w:ascii="Times New Roman;serif" w:hAnsi="Times New Roman;serif"/>
          <w:b w:val="false"/>
          <w:sz w:val="20"/>
          <w:u w:val="single"/>
        </w:rPr>
        <w:t>Section 7.03</w:t>
      </w:r>
      <w:r>
        <w:rPr>
          <w:rFonts w:ascii="Times New Roman;serif" w:hAnsi="Times New Roman;serif"/>
          <w:b w:val="false"/>
          <w:sz w:val="20"/>
        </w:rPr>
        <w:t xml:space="preserve">, or </w:t>
      </w:r>
      <w:r>
        <w:rPr>
          <w:rFonts w:ascii="Times New Roman;serif" w:hAnsi="Times New Roman;serif"/>
          <w:b w:val="false"/>
          <w:sz w:val="20"/>
          <w:u w:val="single"/>
        </w:rPr>
        <w:t>Section 4.02</w:t>
      </w:r>
      <w:r>
        <w:rPr>
          <w:rFonts w:ascii="Times New Roman" w:hAnsi="Times New Roman"/>
          <w:sz w:val="20"/>
        </w:rPr>
        <w:t xml:space="preserve"> </w:t>
      </w:r>
      <w:r>
        <w:rPr>
          <w:rFonts w:ascii="Times New Roman;serif" w:hAnsi="Times New Roman;serif"/>
          <w:b w:val="false"/>
          <w:sz w:val="20"/>
        </w:rPr>
        <w:t>of the Collateral Agreement and/or the similar “waterfall” provisions in the other Security Documents referred to therein, without the written consent of each Lender directly and adversely affected thereby or</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(x) amend </w:t>
      </w:r>
      <w:r>
        <w:rPr>
          <w:rFonts w:ascii="Times New Roman;serif" w:hAnsi="Times New Roman;serif"/>
          <w:b w:val="false"/>
          <w:sz w:val="20"/>
          <w:u w:val="single"/>
        </w:rPr>
        <w:t>Section 1.11</w:t>
      </w:r>
      <w:r>
        <w:rPr>
          <w:rFonts w:ascii="Times New Roman" w:hAnsi="Times New Roman"/>
          <w:sz w:val="20"/>
        </w:rPr>
        <w:t xml:space="preserve"> </w:t>
      </w:r>
      <w:r>
        <w:rPr>
          <w:rFonts w:ascii="Times New Roman;serif" w:hAnsi="Times New Roman;serif"/>
          <w:b w:val="false"/>
          <w:sz w:val="20"/>
        </w:rPr>
        <w:t>or the definition of “Alternative Currency” without the written consent of each Issuing Bank affected thereby;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that (A) no such agreement shall amend, modify or otherwise affect the rights or duties of the Administrative Agent, the Collateral Agent or any Issuing Bank without the prior written consent of the Administrative Agent, Collateral Agent or Issuing Bank, as the case may be, including, without limitation, any amendment of this Section, (B) any provision of this Agreement or any other Loan Document may be amended by an agreement in writing entered into by Holdings, the Borrower and the Administrative Agent to cure any ambiguity, omission, mistake, error, defect or inconsistency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solely by Holdings, the Borrower, the Administrative Agent and the requisite percentage in interest of the affected Class of Lenders stating that would be required to consent thereto under this Section if such Class of Lenders were the only Class of Lenders hereunder at the time (“</w:t>
      </w:r>
      <w:r>
        <w:rPr>
          <w:rFonts w:ascii="Times New Roman;serif" w:hAnsi="Times New Roman;serif"/>
          <w:b w:val="false"/>
          <w:sz w:val="20"/>
          <w:u w:val="single"/>
        </w:rPr>
        <w:t>Required Class</w:t>
      </w:r>
      <w:r>
        <w:rPr>
          <w:rFonts w:ascii="Times New Roman" w:hAnsi="Times New Roman"/>
          <w:sz w:val="20"/>
        </w:rPr>
        <w:t xml:space="preserve"> </w:t>
      </w:r>
      <w:r>
        <w:rPr>
          <w:rFonts w:ascii="Times New Roman;serif" w:hAnsi="Times New Roman;serif"/>
          <w:b w:val="false"/>
          <w:sz w:val="20"/>
          <w:u w:val="single"/>
        </w:rPr>
        <w:t>Lenders</w:t>
      </w:r>
      <w:r>
        <w:rPr>
          <w:rFonts w:ascii="Times New Roman" w:hAnsi="Times New Roman"/>
          <w:sz w:val="20"/>
        </w:rPr>
        <w:t>”</w:t>
      </w:r>
      <w:r>
        <w:rPr>
          <w:rFonts w:ascii="Times New Roman;serif" w:hAnsi="Times New Roman;serif"/>
          <w:b w:val="false"/>
          <w:sz w:val="20"/>
        </w:rPr>
        <w: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(b) this Agreement and other Loan Documents may be amended or supplemented by an agreement or agreements in writing entered into by the Administrative Agent and Holdings, the Borrower or any Loan Party as to which such agreement or agreements is to apply, without the need to obtain the consent of any Lender, to include “parallel debt” or similar provisions, and any authorizations or granting of powers by the Lenders and the other Secured Parties in favor of the Collateral Agent, in each case required to create in favor of the Collateral Agent any security interest contemplated to be created under this Agreement, or to perfect any such security interest, where the Administrative Agent shall have been advised by its counsel that such provisions are necessary or advisable under local law for such purpose (with Holdings and the Borrower hereby agreeing to, and to cause their subsidiaries to, enter into any such agreement or agreements upon reasonable request of the Administrative Agent promptly upon such request) and (c) upon notice thereof by the Borrower to the Administrative Agent with respect to the inclusion of any previously absent financial maintenance covenant or other covenant, this Agreement shall be amended by an agreement in writing entered into by the Borrower and the Administrative Agent without the need to obtain the consent of any Lender to include any such covenant on the date of the incurrence of the applicable Indebtedness to the extent required by the terms of such definition or section.</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283"/>
        <w:jc w:val="both"/>
        <w:rPr/>
      </w:pPr>
      <w:r>
        <w:rPr>
          <w:rFonts w:ascii="Times New Roman;serif" w:hAnsi="Times New Roman;serif"/>
          <w:b w:val="false"/>
          <w:sz w:val="20"/>
        </w:rPr>
        <w:t>In connection with any proposed amendment, modification, waiver or termination (a “</w:t>
      </w:r>
      <w:r>
        <w:rPr>
          <w:rFonts w:ascii="Times New Roman;serif" w:hAnsi="Times New Roman;serif"/>
          <w:b w:val="false"/>
          <w:sz w:val="20"/>
          <w:u w:val="single"/>
        </w:rPr>
        <w:t>Proposed Change</w:t>
      </w:r>
      <w:r>
        <w:rPr/>
        <w:t>”</w:t>
      </w:r>
      <w:r>
        <w:rPr>
          <w:rFonts w:ascii="Times New Roman;serif" w:hAnsi="Times New Roman;serif"/>
          <w:b w:val="false"/>
          <w:sz w:val="20"/>
        </w:rPr>
        <w:t>) requiring the consent of all Lenders, all Lenders of an affected Class or all directly and adversely affected Lenders, if the consent of the Required Lenders or the Required Class Lenders of any such affected Class, as applicable, to such Proposed Change is obtained, but the consent to such Proposed Change of other Lenders whose consent is required is not obtained (any such Lender whose consent is not obtained as described in paragraph (b) of this Section being referred to as a “</w:t>
      </w:r>
      <w:r>
        <w:rPr>
          <w:rFonts w:ascii="Times New Roman;serif" w:hAnsi="Times New Roman;serif"/>
          <w:b w:val="false"/>
          <w:sz w:val="20"/>
          <w:u w:val="single"/>
        </w:rPr>
        <w:t>Non-Consenting Lender</w:t>
      </w:r>
      <w:r>
        <w:rPr/>
        <w:t>”</w:t>
      </w:r>
      <w:r>
        <w:rPr>
          <w:rFonts w:ascii="Times New Roman;serif" w:hAnsi="Times New Roman;serif"/>
          <w:b w:val="false"/>
          <w:sz w:val="20"/>
        </w:rPr>
        <w:t xml:space="preserve">), then, so long as the Lender that is acting as the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w:t>
      </w:r>
      <w:r>
        <w:rPr>
          <w:rFonts w:ascii="Times New Roman;serif" w:hAnsi="Times New Roman;serif"/>
          <w:b w:val="false"/>
          <w:sz w:val="20"/>
          <w:u w:val="single"/>
        </w:rPr>
        <w:t>Section 9.04</w:t>
      </w:r>
      <w:r>
        <w:rPr>
          <w:rFonts w:ascii="Times New Roman;serif" w:hAnsi="Times New Roman;serif"/>
          <w:b w:val="false"/>
          <w:sz w:val="20"/>
        </w:rPr>
        <w:t xml:space="preserve">), all its interests, rights and obligations under this Agreement to an Eligible Assignee that shall assume such obligations (which Eligible Assignee may be another Lender, if a Lender accepts such assignment),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the Borrower shall have received the prior written consent of the Administrative Agent to the extent such consent would be required under </w:t>
      </w:r>
      <w:r>
        <w:rPr>
          <w:rFonts w:ascii="Times New Roman;serif" w:hAnsi="Times New Roman;serif"/>
          <w:b w:val="false"/>
          <w:sz w:val="20"/>
          <w:u w:val="single"/>
        </w:rPr>
        <w:t>Section 9.04(b)</w:t>
      </w:r>
      <w:r>
        <w:rPr/>
        <w:t xml:space="preserve"> </w:t>
      </w:r>
      <w:r>
        <w:rPr>
          <w:rFonts w:ascii="Times New Roman;serif" w:hAnsi="Times New Roman;serif"/>
          <w:b w:val="false"/>
          <w:sz w:val="20"/>
        </w:rPr>
        <w:t xml:space="preserve">for an assignment of Loans or Commitments, as applicable (and, if a Revolving Commitment is being assigned, each Issuing Bank), which consent shall not unreasonably be withheld, (b) such Non-Consenting Lender shall have received payment of an amount equal to the outstanding principal of its Loans and participations in LC Disbursements, accrued interest thereon, accrued fees and all other amounts (including any amounts under </w:t>
      </w:r>
      <w:r>
        <w:rPr>
          <w:rFonts w:ascii="Times New Roman;serif" w:hAnsi="Times New Roman;serif"/>
          <w:b w:val="false"/>
          <w:sz w:val="20"/>
          <w:u w:val="single"/>
        </w:rPr>
        <w:t>Section 2.11(a)(i)</w:t>
      </w:r>
      <w:r>
        <w:rPr>
          <w:rFonts w:ascii="Times New Roman;serif" w:hAnsi="Times New Roman;serif"/>
          <w:b w:val="false"/>
          <w:sz w:val="20"/>
        </w:rPr>
        <w:t xml:space="preserve">), payable to it hereunder from or on behalf of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w:t>
      </w:r>
      <w:r>
        <w:rPr>
          <w:rFonts w:ascii="Times New Roman;serif" w:hAnsi="Times New Roman;serif"/>
          <w:b w:val="false"/>
          <w:sz w:val="20"/>
          <w:u w:val="single"/>
        </w:rPr>
        <w:t>Section 9.04(b)</w:t>
      </w:r>
      <w:r>
        <w:rPr>
          <w:rFonts w:ascii="Times New Roman;serif" w:hAnsi="Times New Roman;serif"/>
          <w:b w:val="false"/>
          <w:sz w:val="20"/>
        </w:rPr>
        <w:t>.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pPr>
      <w:r>
        <w:rPr>
          <w:rFonts w:ascii="Times New Roman;serif" w:hAnsi="Times New Roman;serif"/>
          <w:b w:val="false"/>
          <w:sz w:val="20"/>
        </w:rPr>
        <w:t xml:space="preserve">Notwithstanding anything in this Agreement or the other Loan Documents to the contrary, Revolving Commitments, Revolving Exposure and Term Loans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w:t>
      </w:r>
      <w:r>
        <w:rPr>
          <w:rFonts w:ascii="Times New Roman;serif" w:hAnsi="Times New Roman;serif"/>
          <w:b w:val="false"/>
          <w:sz w:val="20"/>
          <w:u w:val="single"/>
        </w:rPr>
        <w:t>Section 9.02</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that (i) the Commitment of any Defaulting Lender may not be increased or extended without the consent of such Defaulting Lender and (ii) any waiver, amendment or modification requiring the consent of all Lenders or each affected Lender that affects any Defaulting Lender more adversely than other affected Lenders shall require the consent of such Defaulting Lender.</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pPr>
      <w:r>
        <w:rPr>
          <w:rFonts w:ascii="Times New Roman;serif" w:hAnsi="Times New Roman;serif"/>
          <w:b w:val="false"/>
          <w:sz w:val="20"/>
        </w:rPr>
        <w:t xml:space="preserve">Notwithstanding anything in this Agreement or the other Loan Documents to the contrary, each Affiliated Lender (other than an Affiliated Debt Fund) hereby agrees that, if a proceeding under the U.S. Bankruptcy Code or any other Federal, state or foreign bankruptcy, insolvency, receivership or similar law shall be commenced by or against the Borrower or any other Loan Party at a time when such Lender is an Affiliated Lender,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Affiliated Lender shall be entitled to vote in accordance with its sole discretion (and not in accordance with the direction of the Administrative Agent) in connection with any plan of reorganization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0"/>
        <w:jc w:val="both"/>
        <w:rPr/>
      </w:pPr>
      <w:r>
        <w:rPr>
          <w:rFonts w:ascii="Times New Roman;serif" w:hAnsi="Times New Roman;serif"/>
          <w:b w:val="false"/>
          <w:sz w:val="20"/>
        </w:rPr>
        <w:t xml:space="preserve">Without any further consent of the Lenders, the Administrative Agent and the Collateral Agent shall be authorized to negotiate, execute and deliver on behalf of the Secured Parties any Intercreditor Agreement in a form substantially consistent with </w:t>
      </w:r>
      <w:r>
        <w:rPr>
          <w:rFonts w:ascii="Times New Roman;serif" w:hAnsi="Times New Roman;serif"/>
          <w:b w:val="false"/>
          <w:sz w:val="20"/>
          <w:u w:val="single"/>
        </w:rPr>
        <w:t>Exhibit E</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Exhibit F</w:t>
      </w:r>
      <w:r>
        <w:rPr/>
        <w:t xml:space="preserve"> </w:t>
      </w:r>
      <w:r>
        <w:rPr>
          <w:rFonts w:ascii="Times New Roman;serif" w:hAnsi="Times New Roman;serif"/>
          <w:b w:val="false"/>
          <w:sz w:val="20"/>
        </w:rPr>
        <w:t>hereto.</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283"/>
        <w:jc w:val="both"/>
        <w:rPr/>
      </w:pPr>
      <w:r>
        <w:rPr>
          <w:rFonts w:ascii="Times New Roman;serif" w:hAnsi="Times New Roman;serif"/>
          <w:b w:val="false"/>
          <w:sz w:val="20"/>
        </w:rPr>
        <w:t xml:space="preserve">Notwithstanding the foregoing, only the Required Revolving Lenders shall have the ability to waive, amend, supplement or modify the covenant set forth in </w:t>
      </w:r>
      <w:r>
        <w:rPr>
          <w:rFonts w:ascii="Times New Roman;serif" w:hAnsi="Times New Roman;serif"/>
          <w:b w:val="false"/>
          <w:sz w:val="20"/>
          <w:u w:val="single"/>
        </w:rPr>
        <w:t>Section 6.10</w:t>
      </w:r>
      <w:r>
        <w:rPr>
          <w:rFonts w:ascii="Times New Roman;serif" w:hAnsi="Times New Roman;serif"/>
          <w:b w:val="false"/>
          <w:sz w:val="20"/>
        </w:rPr>
        <w:t xml:space="preserve">, </w:t>
      </w:r>
      <w:r>
        <w:rPr>
          <w:rFonts w:ascii="Times New Roman;serif" w:hAnsi="Times New Roman;serif"/>
          <w:b w:val="false"/>
          <w:sz w:val="20"/>
          <w:u w:val="single"/>
        </w:rPr>
        <w:t>Article VII</w:t>
      </w:r>
      <w:r>
        <w:rPr/>
        <w:t xml:space="preserve"> </w:t>
      </w:r>
      <w:r>
        <w:rPr>
          <w:rFonts w:ascii="Times New Roman;serif" w:hAnsi="Times New Roman;serif"/>
          <w:b w:val="false"/>
          <w:sz w:val="20"/>
        </w:rPr>
        <w:t xml:space="preserve">(solely as it relates to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6.10</w:t>
      </w:r>
      <w:r>
        <w:rPr>
          <w:rFonts w:ascii="Times New Roman;serif" w:hAnsi="Times New Roman;serif"/>
          <w:b w:val="false"/>
          <w:sz w:val="20"/>
        </w:rPr>
        <w:t xml:space="preserve">) or any component definition of the covenant set forth in </w:t>
      </w:r>
      <w:r>
        <w:rPr>
          <w:rFonts w:ascii="Times New Roman;serif" w:hAnsi="Times New Roman;serif"/>
          <w:b w:val="false"/>
          <w:sz w:val="20"/>
          <w:u w:val="single"/>
        </w:rPr>
        <w:t>Section 6.10</w:t>
      </w:r>
      <w:r>
        <w:rPr/>
        <w:t xml:space="preserve"> </w:t>
      </w:r>
      <w:r>
        <w:rPr>
          <w:rFonts w:ascii="Times New Roman;serif" w:hAnsi="Times New Roman;serif"/>
          <w:b w:val="false"/>
          <w:sz w:val="20"/>
        </w:rPr>
        <w:t xml:space="preserve">(solely as it relates to </w:t>
      </w:r>
      <w:r>
        <w:rPr>
          <w:rFonts w:ascii="Times New Roman;serif" w:hAnsi="Times New Roman;serif"/>
          <w:b w:val="false"/>
          <w:sz w:val="20"/>
          <w:u w:val="single"/>
        </w:rPr>
        <w:t>Section 6.10</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9.03 </w:t>
      </w:r>
      <w:r>
        <w:rPr>
          <w:rFonts w:ascii="Times New Roman;serif" w:hAnsi="Times New Roman;serif"/>
          <w:b w:val="false"/>
          <w:sz w:val="20"/>
          <w:u w:val="single"/>
        </w:rPr>
        <w:t>Expenses; Indemnity; Damage Waiver</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pPr>
      <w:r>
        <w:rPr>
          <w:rFonts w:ascii="Times New Roman;serif" w:hAnsi="Times New Roman;serif"/>
          <w:b w:val="false"/>
          <w:sz w:val="20"/>
        </w:rPr>
        <w:t xml:space="preserve">Holdings or the Borrower shall pay, if the Effective Date occurs, (i) all reasonable and documented or invoiced out of pocket expenses incurred by the Administrative Agent, the Collateral Agent, the Lead Arrangers, the Joint Bookrunners and their Affiliates (without duplication), including the reasonable fees, charges and disbursements of counsel for the Administrative Agent and to the extent reasonably determined by the Administrative Agent to be necessary one local counsel in each applicable jurisdiction or otherwise retained with the Borrower’s consent, in each case for the Administrative Agent, the Collateral Agent, the Lead Arrangers and the Joint Bookrunners, and to the extent retained with the Borrower’s consent, consultants, in connection with the syndication of the credit facilities provided for herein, the preparation and administration of the Loan Documents or any amendments, modifications or waivers of the provisions thereof and (ii) all reasonable and documented or invoiced out-of-pocket expenses incurred by the Administrative Agent and the Collateral Agent, each Issuing Bank, the Lead Arrangers, the Joint Bookrunners or any Lender, including the fees, charges and disbursements of counsel for the Administrative Agent and the Collateral Agent, the Issuing Banks, the Lead Arrangers, the Joint Bookrunners and the Lenders,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 of Credit;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counsel shall be limited to one lead counsel and one local counsel in each applicable jurisdiction and, in the case of a conflict of interest, one additional counsel per affected party.</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pPr>
      <w:r>
        <w:rPr>
          <w:rFonts w:ascii="Times New Roman;serif" w:hAnsi="Times New Roman;serif"/>
          <w:b w:val="false"/>
          <w:sz w:val="20"/>
        </w:rPr>
        <w:t>Holdings and the Borrower shall indemnify each Agent, each Issuing Bank, each Lender, the Lead Arrangers and the Joint Bookrunners and each Related Party of any of the foregoing Persons (each such Person being called an “</w:t>
      </w:r>
      <w:r>
        <w:rPr>
          <w:rFonts w:ascii="Times New Roman;serif" w:hAnsi="Times New Roman;serif"/>
          <w:b w:val="false"/>
          <w:sz w:val="20"/>
          <w:u w:val="single"/>
        </w:rPr>
        <w:t>Indemnitee</w:t>
      </w:r>
      <w:r>
        <w:rPr/>
        <w:t>”</w:t>
      </w:r>
      <w:r>
        <w:rPr>
          <w:rFonts w:ascii="Times New Roman;serif" w:hAnsi="Times New Roman;serif"/>
          <w:b w:val="false"/>
          <w:sz w:val="20"/>
        </w:rPr>
        <w:t xml:space="preserve">) against, and hold each Indemnitee harmless from, any and all losses, claims, damages,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rPr>
        <w:t xml:space="preserve">liabilities and reasonable and documented or invoiced out-of-pocket fees and expenses of one counsel and one local counsel in each applicable jurisdiction (and, in the case of a conflict of interest, where the Indemnitee affected by such conflict notifies the Borrower of the existence of such conflict and thereafter retains its own counsel, one additional counsel) for all Indemnitees (which may include a single special counsel acting in multiple jurisdictions), incurred by or asserted against any Indemnitee by any third party or by Holdings,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actual or alleged presence or Release of Hazardous Materials on, at or from any Mortgaged Property or any other property currently or formerly owned or operated by Holdings, the Borrower or any Restricted Subsidiary, or any other Environmental Liability, related to Holdings, the Borrower or any Subsidiary, or (iv) any actual or prospective claim, litigation, investigation or proceeding relating to any of the foregoing, whether based on contract, tort or any other theory, whether brought by a third party or by Holdings, the Borrower or any Subsidiary and regardless of whether any Indemnitee is a party thereto,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indemnity shall not, as to any Indemnitee, be available to the extent that such losses, claims, damages, liabilities or related expenses (i) are determined by a court of competent jurisdiction by final, non-appealable judgment to have resulted from the gross negligence, bad faith or willful misconduct of, or a material breach of the Loan Documents by, such Indemnitee or its Related Parties or (ii) any dispute between or among Indemnitees that does not involve an act or omission by Holdings, the Borrower or any of the Restricted Subsidiaries except that each Agent, the Lead Arrangers and the Joint Bookrunners shall be indemnified in their capacities as such to the extent that none of the exceptions set forth in clause (i) applies to such Person at such time. This </w:t>
      </w:r>
      <w:r>
        <w:rPr>
          <w:rFonts w:ascii="Times New Roman;serif" w:hAnsi="Times New Roman;serif"/>
          <w:b w:val="false"/>
          <w:sz w:val="20"/>
          <w:u w:val="single"/>
        </w:rPr>
        <w:t>Section 9.03(b)</w:t>
      </w:r>
      <w:r>
        <w:rPr/>
        <w:t xml:space="preserve"> </w:t>
      </w:r>
      <w:r>
        <w:rPr>
          <w:rFonts w:ascii="Times New Roman;serif" w:hAnsi="Times New Roman;serif"/>
          <w:b w:val="false"/>
          <w:sz w:val="20"/>
        </w:rPr>
        <w:t>should not apply with respect to Taxes other than Taxes that represent losses, claims, damages, etc. arising from any non-Tax claim.</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pPr>
      <w:r>
        <w:rPr>
          <w:rFonts w:ascii="Times New Roman;serif" w:hAnsi="Times New Roman;serif"/>
          <w:b w:val="false"/>
          <w:sz w:val="20"/>
        </w:rPr>
        <w:t xml:space="preserve">To the extent that Holdings or the Borrower fails to pay any amount required to be paid by it to the Administrative Agent, the Collateral Agent or any Issuing Bank under paragraph (a) or (b) of this Section, and without limiting Holdings’ and the Borrower’s obligation to do so, each Lender severally agrees to pay to the Administrative Agent, Collateral Agent or Issuing Bank, as the case may be, such Lender’s pro rata share (determined as of the time that the applicable unreimbursed expense or indemnity payment is sought) of such unpaid amount,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the unreimbursed expense or indemnified loss, claim, damage, liability or related expense, as the case may be, was incurred by or asserted against the Administrative Agent, Collateral Agent or Issuing Bank, in its capacity as such. For purposes hereof, a Lender’s “pro rata share” shall be determined based upon its share of the aggregate Revolving Exposure, outstanding Loans and unused Commitments at the time. The obligations of the Lenders under this paragraph (c) are subject to the last sentence of </w:t>
      </w:r>
      <w:r>
        <w:rPr>
          <w:rFonts w:ascii="Times New Roman;serif" w:hAnsi="Times New Roman;serif"/>
          <w:b w:val="false"/>
          <w:sz w:val="20"/>
          <w:u w:val="single"/>
        </w:rPr>
        <w:t>Section 2.02</w:t>
      </w:r>
      <w:r>
        <w:rPr/>
        <w:t xml:space="preserve"> </w:t>
      </w:r>
      <w:r>
        <w:rPr>
          <w:rFonts w:ascii="Times New Roman;serif" w:hAnsi="Times New Roman;serif"/>
          <w:b w:val="false"/>
          <w:sz w:val="20"/>
        </w:rPr>
        <w:t xml:space="preserve">(which shall apply </w:t>
      </w:r>
      <w:r>
        <w:rPr>
          <w:rFonts w:ascii="Times New Roman;serif" w:hAnsi="Times New Roman;serif"/>
          <w:b w:val="false"/>
          <w:sz w:val="20"/>
          <w:u w:val="single"/>
        </w:rPr>
        <w:t>mutatis mutandis</w:t>
      </w:r>
      <w:r>
        <w:rPr/>
        <w:t xml:space="preserve"> </w:t>
      </w:r>
      <w:r>
        <w:rPr>
          <w:rFonts w:ascii="Times New Roman;serif" w:hAnsi="Times New Roman;serif"/>
          <w:b w:val="false"/>
          <w:sz w:val="20"/>
        </w:rPr>
        <w:t>to the Lenders’ obligations under this paragraph (c)).</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pPr>
      <w:r>
        <w:rPr>
          <w:rFonts w:ascii="Times New Roman;serif" w:hAnsi="Times New Roman;serif"/>
          <w:b w:val="false"/>
          <w:sz w:val="20"/>
        </w:rPr>
        <w:t xml:space="preserve">To the fullest extent permitted by applicable law, none of Holdings or the Borrower shall assert, and each hereby waives, any claim against any Indemnitee (i) for any damages arising from the use by others of information or other materials obtained through telecommunications, electronic or other information transmission systems (including the Internet), </w:t>
      </w:r>
      <w:r>
        <w:rPr>
          <w:rFonts w:ascii="Times New Roman;serif" w:hAnsi="Times New Roman;serif"/>
          <w:b w:val="false"/>
          <w:sz w:val="20"/>
          <w:u w:val="single"/>
        </w:rPr>
        <w:t>provided</w:t>
      </w:r>
      <w:r>
        <w:rPr/>
        <w:t xml:space="preserve"> </w:t>
      </w:r>
      <w:r>
        <w:rPr>
          <w:rFonts w:ascii="Times New Roman;serif" w:hAnsi="Times New Roman;serif"/>
          <w:b w:val="false"/>
          <w:sz w:val="20"/>
        </w:rPr>
        <w:t>that such indemnity shall not, as to any Indemnitee, be available to the extent that such damages are determined by a court of competent jurisdiction by final, non-appealable judgment to have resulted from the gross negligence or willful misconduct of, or a material breach of the Loan Documents by, such Indemnitee or its Related Parties, or (ii)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283"/>
        <w:jc w:val="both"/>
        <w:rPr/>
      </w:pPr>
      <w:r>
        <w:rPr>
          <w:rFonts w:ascii="Times New Roman;serif" w:hAnsi="Times New Roman;serif"/>
          <w:b w:val="false"/>
          <w:sz w:val="20"/>
        </w:rPr>
        <w:t xml:space="preserve">All amounts due under this Section shall be payable not later than 10 Business Days after written demand therefor;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serif" w:hAnsi="Times New Roman;serif"/>
          <w:b w:val="false"/>
          <w:sz w:val="20"/>
          <w:u w:val="single"/>
        </w:rPr>
        <w:t>Section 9.03</w:t>
      </w:r>
      <w:r>
        <w:rPr>
          <w:rFonts w:ascii="Times New Roman;serif" w:hAnsi="Times New Roman;serif"/>
          <w:b w:val="false"/>
          <w:sz w:val="20"/>
        </w:rPr>
        <w: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9.04 </w:t>
      </w:r>
      <w:r>
        <w:rPr>
          <w:rFonts w:ascii="Times New Roman;serif" w:hAnsi="Times New Roman;serif"/>
          <w:b w:val="false"/>
          <w:sz w:val="20"/>
          <w:u w:val="single"/>
        </w:rPr>
        <w:t>Successors and Assigns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issued any Letter of Credit), Participants (to the extent provided in paragraph (c) of this Section) and, to the extent expressly contemplated hereby, the Related Parties of each of the Agents, the Issuing Bank and the Lenders) any legal or equitable right, remedy or claim under or by reason of this Agreement.</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pPr>
      <w:r>
        <w:rPr>
          <w:rFonts w:ascii="Times New Roman;serif" w:hAnsi="Times New Roman;serif"/>
          <w:b w:val="false"/>
          <w:sz w:val="20"/>
        </w:rPr>
        <w:t>(i) Subject to the conditions set forth in paragraphs (b)(ii) and (g) below, any Lender may assign to one or more Eligible Assignees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for the purposes of this provision, Disqualified Lenders shall be deemed to be Eligible Assignees unless a list of Disqualified Lenders has been made available to all Lenders by the Borrower) all or a portion of its rights and obligations under this Agreement (including all or a portion of its Commitment and the Loans at the time owing to it) with the prior written consent of (A) the Borrower (such consent (except with respect to assignments to competitors of Holdings or any Subsidiary) not to be unreasonably withheld or delayed),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consent of the Borrower shall be required for an assignment (1) by a Term Lender to any Lender or an Affiliate of any Lender, (2) by a Term Lender to an Approved Fund, (3) by a Revolving Lender to a Revolving Lender, (4) if an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has occurred and is continuing, by a Term Lender or a Revolving Lender to any other assignee or (5) by a Revolving Lender to any Designated Assignee; and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the Borrower shall have the right to withhold its consent to any assignment if, in order for such assignment to comply with applicable law, any Loan Party would be required to obtain the consent of, or make any filing or registration with, any Governmental Authority, (B) the Administrative Agent (such consent not to be unreasonably withheld or delayed),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consent of the Administrative Agent shall be required for (1) an assignment of a Term Loan to a Lender, an Affiliate of a Lender or an Approved Fund or to Holdings or any Affiliate thereof or (2) an assignment by a Revolving Lender to a Revolving Lender or an Affiliate of a Revolving Lender and (C) solely in the case of Revolving Loans and Revolving Commitments, each Issuing Bank (such consent not to be unreasonably withheld or delayed),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consent of any Issuing Bank shall be required for an assignment of all or any portion of a Term Loan or Term Commitment. Notwithstanding anything in this </w:t>
      </w:r>
      <w:r>
        <w:rPr>
          <w:rFonts w:ascii="Times New Roman;serif" w:hAnsi="Times New Roman;serif"/>
          <w:b w:val="false"/>
          <w:sz w:val="20"/>
          <w:u w:val="single"/>
        </w:rPr>
        <w:t>Section 9.04</w:t>
      </w:r>
      <w:r>
        <w:rPr/>
        <w:t xml:space="preserve"> </w:t>
      </w:r>
      <w:r>
        <w:rPr>
          <w:rFonts w:ascii="Times New Roman;serif" w:hAnsi="Times New Roman;serif"/>
          <w:b w:val="false"/>
          <w:sz w:val="20"/>
        </w:rPr>
        <w:t>to the contrary, if any Person the consent of which is required by this paragraph with respect to any assignment of Term Loans has not given the Administrative Agent written notice of its objection to such assignment within 5 Business Days after written notice to such Person, such Person shall be deemed to have consented to such assignment. In connection with obtaining the Borrower’s consent to assignments in accordance with this Section, the Borrower shall be permitted to designate in writing to the Administrative Agent up to two additional individuals (which, for the avoidance of doubt, may include officers or employees of the Sponsor) who shall be copied on any such consent requests (or receive separate notice of such proposed assignments) from the Administrative Agent.</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283"/>
        <w:jc w:val="both"/>
        <w:rPr/>
      </w:pPr>
      <w:r>
        <w:rPr>
          <w:rFonts w:ascii="Times New Roman;serif" w:hAnsi="Times New Roman;serif"/>
          <w:b w:val="false"/>
          <w:sz w:val="20"/>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$5,000,000 (and integral multiples of $1,000,000 in excess thereof) or, in the case of a Term Loan, $1,000,000 (and integral multiples of $1,000,000 in excess thereof), unless the Borrower and the Administrative Agent otherwise consent (such consent not to be unreasonably withheld or delayed),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such consent of the Borrower shall be required if an Event of Default under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 xml:space="preserve">has occurred and is continuing, (B) each partial assignment shall be made as an assignment of a proportionate part of all the assigning Lender’s rights and obligations under this Agreement,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this subclause (B) shall not be construed to prohibit assignment of a proportionate part of all the assigning Lender’s rights and obligations in respect of one Class of Commitments or Loans, (C) the parties to each assignment shall execute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rPr>
        <w:t xml:space="preserve">and deliver to the Administrative Agent an Assignment and Assumption (which shall include a representation by the assignee that it meets all the requirements to be an Eligible Assignee), together (unless waived by the Administrative Agent) with a processing and recordation fee of $3,500,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assignments made pursuant to </w:t>
      </w:r>
      <w:r>
        <w:rPr>
          <w:rFonts w:ascii="Times New Roman;serif" w:hAnsi="Times New Roman;serif"/>
          <w:b w:val="false"/>
          <w:sz w:val="20"/>
          <w:u w:val="single"/>
        </w:rPr>
        <w:t>Section 2.19(b</w:t>
      </w:r>
      <w:r>
        <w:rPr>
          <w:rFonts w:ascii="Times New Roman;serif" w:hAnsi="Times New Roman;serif"/>
          <w:b w:val="false"/>
          <w:sz w:val="20"/>
        </w:rPr>
        <w:t xml:space="preserve">) or </w:t>
      </w:r>
      <w:r>
        <w:rPr>
          <w:rFonts w:ascii="Times New Roman;serif" w:hAnsi="Times New Roman;serif"/>
          <w:b w:val="false"/>
          <w:sz w:val="20"/>
          <w:u w:val="single"/>
        </w:rPr>
        <w:t>Section 9.02(c)</w:t>
      </w:r>
      <w:r>
        <w:rPr/>
        <w:t xml:space="preserve"> </w:t>
      </w:r>
      <w:r>
        <w:rPr>
          <w:rFonts w:ascii="Times New Roman;serif" w:hAnsi="Times New Roman;serif"/>
          <w:b w:val="false"/>
          <w:sz w:val="20"/>
        </w:rPr>
        <w:t xml:space="preserve">shall not require the signature of the assigning Lender to become effective;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such recordation fee shall not be payable in the case of assignments by any Affiliate of the Joint Bookrunners and (D) the assignee, if it shall not be a Lender, shall deliver to the Administrative Agent any tax documentation required by </w:t>
      </w:r>
      <w:r>
        <w:rPr>
          <w:rFonts w:ascii="Times New Roman;serif" w:hAnsi="Times New Roman;serif"/>
          <w:b w:val="false"/>
          <w:sz w:val="20"/>
          <w:u w:val="single"/>
        </w:rPr>
        <w:t>Section 2.17(e)</w:t>
      </w:r>
      <w:r>
        <w:rPr/>
        <w:t xml:space="preserve"> </w:t>
      </w:r>
      <w:r>
        <w:rPr>
          <w:rFonts w:ascii="Times New Roman;serif" w:hAnsi="Times New Roman;serif"/>
          <w:b w:val="false"/>
          <w:sz w:val="20"/>
        </w:rPr>
        <w:t xml:space="preserve">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an Issuing Bank may be made unless (1) the assignee shall be or become an Issuing Bank and assume a ratable portion of the rights and obligations of such assignor in its capacity as Issuing Bank, or (2) the assignor agrees, in its discretion, to retain all of its rights with respect to and obligations to make or issue Letters of Credit hereunder in which case the Applicable Fronting Exposure of such assignor may exceed such assignor’s Revolving Commitment for purposes of </w:t>
      </w:r>
      <w:r>
        <w:rPr>
          <w:rFonts w:ascii="Times New Roman;serif" w:hAnsi="Times New Roman;serif"/>
          <w:b w:val="false"/>
          <w:sz w:val="20"/>
          <w:u w:val="single"/>
        </w:rPr>
        <w:t>Section 2.05(b)</w:t>
      </w:r>
      <w:r>
        <w:rPr/>
        <w:t xml:space="preserve"> </w:t>
      </w:r>
      <w:r>
        <w:rPr>
          <w:rFonts w:ascii="Times New Roman;serif" w:hAnsi="Times New Roman;serif"/>
          <w:b w:val="false"/>
          <w:sz w:val="20"/>
        </w:rPr>
        <w:t xml:space="preserve">by an amount not to exceed the difference between the assignor’s Revolving Commitment prior to such assignment and the assignor’s Revolving Commitment following such assignment;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no such consent of the Borrower shall be required if an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t xml:space="preserve"> </w:t>
      </w:r>
      <w:r>
        <w:rPr>
          <w:rFonts w:ascii="Times New Roman;serif" w:hAnsi="Times New Roman;serif"/>
          <w:b w:val="false"/>
          <w:sz w:val="20"/>
        </w:rPr>
        <w:t>has occurred and is continuing.</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0"/>
        <w:jc w:val="both"/>
        <w:rPr/>
      </w:pPr>
      <w:r>
        <w:rPr>
          <w:rFonts w:ascii="Times New Roman;serif" w:hAnsi="Times New Roman;serif"/>
          <w:b w:val="false"/>
          <w:sz w:val="20"/>
        </w:rPr>
        <w:t xml:space="preserve">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Times New Roman;serif" w:hAnsi="Times New Roman;serif"/>
          <w:b w:val="false"/>
          <w:sz w:val="20"/>
          <w:u w:val="single"/>
        </w:rPr>
        <w:t>Sections 2.15</w:t>
      </w:r>
      <w:r>
        <w:rPr>
          <w:rFonts w:ascii="Times New Roman;serif" w:hAnsi="Times New Roman;serif"/>
          <w:b w:val="false"/>
          <w:sz w:val="20"/>
        </w:rPr>
        <w:t>,</w:t>
      </w:r>
      <w:r>
        <w:rPr/>
        <w:t xml:space="preserve"> </w:t>
      </w:r>
      <w:r>
        <w:rPr>
          <w:rFonts w:ascii="Times New Roman;serif" w:hAnsi="Times New Roman;serif"/>
          <w:b w:val="false"/>
          <w:strike/>
          <w:sz w:val="20"/>
          <w:u w:val="single"/>
        </w:rPr>
        <w:t>2.16</w:t>
      </w:r>
      <w:r>
        <w:rPr>
          <w:rFonts w:ascii="Times New Roman;serif" w:hAnsi="Times New Roman;serif"/>
          <w:b w:val="false"/>
          <w:strike/>
          <w:sz w:val="20"/>
        </w:rPr>
        <w:t>,</w:t>
      </w:r>
      <w:r>
        <w:rPr>
          <w:rFonts w:ascii="Times New Roman;serif" w:hAnsi="Times New Roman;serif"/>
          <w:b w:val="false"/>
          <w:sz w:val="20"/>
          <w:u w:val="single"/>
        </w:rPr>
        <w:t>2.16,</w:t>
      </w:r>
      <w:r>
        <w:rPr/>
        <w:t xml:space="preserve"> </w:t>
      </w:r>
      <w:r>
        <w:rPr>
          <w:rFonts w:ascii="Times New Roman;serif" w:hAnsi="Times New Roman;serif"/>
          <w:b w:val="false"/>
          <w:sz w:val="20"/>
          <w:u w:val="single"/>
        </w:rPr>
        <w:t>2.17</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9.03</w:t>
      </w:r>
      <w:r>
        <w:rPr/>
        <w:t xml:space="preserve"> </w:t>
      </w:r>
      <w:r>
        <w:rPr>
          <w:rFonts w:ascii="Times New Roman;serif" w:hAnsi="Times New Roman;serif"/>
          <w:b w:val="false"/>
          <w:sz w:val="20"/>
        </w:rPr>
        <w:t>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paragraph (c)(i) of this Section.</w:t>
      </w:r>
    </w:p>
    <w:p>
      <w:pPr>
        <w:pStyle w:val="TextBody"/>
        <w:bidi w:val="0"/>
        <w:spacing w:before="240" w:after="0"/>
        <w:jc w:val="both"/>
        <w:rPr>
          <w:rFonts w:ascii="Times New Roman" w:hAnsi="Times New Roman"/>
          <w:b w:val="false"/>
          <w:sz w:val="20"/>
        </w:rPr>
      </w:pPr>
      <w:r>
        <w:rPr>
          <w:rFonts w:ascii="Times New Roman" w:hAnsi="Times New Roman"/>
          <w:b w:val="false"/>
          <w:sz w:val="20"/>
        </w:rPr>
        <w:t>(iv)</w:t>
      </w:r>
    </w:p>
    <w:p>
      <w:pPr>
        <w:pStyle w:val="TextBody"/>
        <w:bidi w:val="0"/>
        <w:spacing w:before="240" w:after="0"/>
        <w:jc w:val="both"/>
        <w:rPr/>
      </w:pPr>
      <w:r>
        <w:rPr>
          <w:rFonts w:ascii="Times New Roman;serif" w:hAnsi="Times New Roman;serif"/>
          <w:b w:val="false"/>
          <w:sz w:val="20"/>
        </w:rPr>
        <w:t>The Administrative Agent, acting for this purpose as a non-fiduciary agent of Holdings and the Borrower, shall maintain at one of its offices a copy of each Assignment and Assumption delivered to it, each Affiliated Lender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serif" w:hAnsi="Times New Roman;serif"/>
          <w:b w:val="false"/>
          <w:sz w:val="20"/>
          <w:u w:val="single"/>
        </w:rPr>
        <w:t>Register</w:t>
      </w:r>
      <w:r>
        <w:rPr/>
        <w:t>”</w:t>
      </w:r>
      <w:r>
        <w:rPr>
          <w:rFonts w:ascii="Times New Roman;serif" w:hAnsi="Times New Roman;serif"/>
          <w:b w:val="false"/>
          <w:sz w:val="20"/>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solely with respect to its Loans or Commitments, any Lender at any reasonable time and from time to time upon reasonable prior notice. Notwithstanding the foregoing, in no event shall the Administrative Agent be obligated to ascertain, monitor or inquire as to whether any Lender or participant or prospective Lender or participant is an Affiliated Lender, nor shall the Administrative Agent be obligated to monitor the aggregate amount of the Loans or Incremental Term Loans held by Affiliated Lenders.</w:t>
      </w:r>
    </w:p>
    <w:p>
      <w:pPr>
        <w:pStyle w:val="TextBody"/>
        <w:bidi w:val="0"/>
        <w:spacing w:before="240" w:after="0"/>
        <w:jc w:val="both"/>
        <w:rPr>
          <w:rFonts w:ascii="Times New Roman" w:hAnsi="Times New Roman"/>
          <w:b w:val="false"/>
          <w:sz w:val="20"/>
        </w:rPr>
      </w:pPr>
      <w:r>
        <w:rPr>
          <w:rFonts w:ascii="Times New Roman" w:hAnsi="Times New Roman"/>
          <w:b w:val="false"/>
          <w:sz w:val="20"/>
        </w:rPr>
        <w:t>(v)</w:t>
      </w:r>
    </w:p>
    <w:p>
      <w:pPr>
        <w:pStyle w:val="TextBody"/>
        <w:bidi w:val="0"/>
        <w:spacing w:before="240" w:after="283"/>
        <w:jc w:val="both"/>
        <w:rPr/>
      </w:pPr>
      <w:r>
        <w:rPr>
          <w:rFonts w:ascii="Times New Roman;serif" w:hAnsi="Times New Roman;serif"/>
          <w:b w:val="false"/>
          <w:sz w:val="20"/>
        </w:rPr>
        <w:t xml:space="preserve">Upon its receipt of a duly completed Assignment and Assumption executed by an assigning Lender and an assignee, the assignee’s completed Administrative Questionnaire and any tax documentation required by </w:t>
      </w:r>
      <w:r>
        <w:rPr>
          <w:rFonts w:ascii="Times New Roman;serif" w:hAnsi="Times New Roman;serif"/>
          <w:b w:val="false"/>
          <w:sz w:val="20"/>
          <w:u w:val="single"/>
        </w:rPr>
        <w:t>Section 2.17(e)</w:t>
      </w:r>
      <w:r>
        <w:rPr/>
        <w:t xml:space="preserve"> </w:t>
      </w:r>
      <w:r>
        <w:rPr>
          <w:rFonts w:ascii="Times New Roman;serif" w:hAnsi="Times New Roman;serif"/>
          <w:b w:val="false"/>
          <w:sz w:val="20"/>
        </w:rPr>
        <w:t>(unless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(vi)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pPr>
      <w:r>
        <w:rPr>
          <w:rFonts w:ascii="Times New Roman;serif" w:hAnsi="Times New Roman;serif"/>
          <w:b w:val="false"/>
          <w:sz w:val="20"/>
        </w:rPr>
        <w:t>(i) Any Lender may, without the prior written consent of the Borrower (except with respect to participations to competitors of Holdings or any Subsidiary, in which case the Borrower’s consent shall not be unreasonably withheld or delayed), the Administrative Agent or any Issuing Bank, sell participations to one or more banks or other Persons (other than to a Person that is not an Eligible Assignee (</w:t>
      </w:r>
      <w:r>
        <w:rPr>
          <w:rFonts w:ascii="Times New Roman;serif" w:hAnsi="Times New Roman;serif"/>
          <w:b w:val="false"/>
          <w:sz w:val="20"/>
          <w:u w:val="single"/>
        </w:rPr>
        <w:t>provided</w:t>
      </w:r>
      <w:r>
        <w:rPr/>
        <w:t xml:space="preserve"> </w:t>
      </w:r>
      <w:r>
        <w:rPr>
          <w:rFonts w:ascii="Times New Roman;serif" w:hAnsi="Times New Roman;serif"/>
          <w:b w:val="false"/>
          <w:sz w:val="20"/>
        </w:rPr>
        <w:t>that, for the purposes of this provision, Disqualified Lenders shall be deemed to be Eligible Assignees unless a list of Disqualified Lenders has been made available to all Lenders by the Borrower)) (a “</w:t>
      </w:r>
      <w:r>
        <w:rPr>
          <w:rFonts w:ascii="Times New Roman;serif" w:hAnsi="Times New Roman;serif"/>
          <w:b w:val="false"/>
          <w:sz w:val="20"/>
          <w:u w:val="single"/>
        </w:rPr>
        <w:t>Participant</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agreement or instrument may provide that such Lender will not, without the consent of the Participant, agree to any amendment, modification or waiver described in the first proviso to </w:t>
      </w:r>
      <w:r>
        <w:rPr>
          <w:rFonts w:ascii="Times New Roman;serif" w:hAnsi="Times New Roman;serif"/>
          <w:b w:val="false"/>
          <w:sz w:val="20"/>
          <w:u w:val="single"/>
        </w:rPr>
        <w:t>Section 9.02(b)</w:t>
      </w:r>
      <w:r>
        <w:rPr/>
        <w:t xml:space="preserve"> </w:t>
      </w:r>
      <w:r>
        <w:rPr>
          <w:rFonts w:ascii="Times New Roman;serif" w:hAnsi="Times New Roman;serif"/>
          <w:b w:val="false"/>
          <w:sz w:val="20"/>
        </w:rPr>
        <w:t xml:space="preserve">that directly and adversely affects such Participant. Subject to paragraph (c)(ii) of this Section, the Borrower agrees that each Participant shall be entitled to the benefits of </w:t>
      </w:r>
      <w:r>
        <w:rPr>
          <w:rFonts w:ascii="Times New Roman;serif" w:hAnsi="Times New Roman;serif"/>
          <w:b w:val="false"/>
          <w:sz w:val="20"/>
          <w:u w:val="single"/>
        </w:rPr>
        <w:t>Sections 2.15</w:t>
      </w:r>
      <w:r>
        <w:rPr>
          <w:rFonts w:ascii="Times New Roman;serif" w:hAnsi="Times New Roman;serif"/>
          <w:b w:val="false"/>
          <w:sz w:val="20"/>
        </w:rPr>
        <w:t xml:space="preserve">, </w:t>
      </w:r>
      <w:r>
        <w:rPr>
          <w:rFonts w:ascii="Times New Roman;serif" w:hAnsi="Times New Roman;serif"/>
          <w:b w:val="false"/>
          <w:sz w:val="20"/>
          <w:u w:val="single"/>
        </w:rPr>
        <w:t>2.16</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2.17</w:t>
      </w:r>
      <w:r>
        <w:rPr/>
        <w:t xml:space="preserve"> </w:t>
      </w:r>
      <w:r>
        <w:rPr>
          <w:rFonts w:ascii="Times New Roman;serif" w:hAnsi="Times New Roman;serif"/>
          <w:b w:val="false"/>
          <w:sz w:val="20"/>
        </w:rPr>
        <w:t xml:space="preserve">to the same extent as if it were a Lender (subject to the requirements and limitations thereof, it being understood that any tax documentation required by </w:t>
      </w:r>
      <w:r>
        <w:rPr>
          <w:rFonts w:ascii="Times New Roman;serif" w:hAnsi="Times New Roman;serif"/>
          <w:b w:val="false"/>
          <w:sz w:val="20"/>
          <w:u w:val="single"/>
        </w:rPr>
        <w:t>Section 2.17(e)</w:t>
      </w:r>
      <w:r>
        <w:rPr/>
        <w:t xml:space="preserve"> </w:t>
      </w:r>
      <w:r>
        <w:rPr>
          <w:rFonts w:ascii="Times New Roman;serif" w:hAnsi="Times New Roman;serif"/>
          <w:b w:val="false"/>
          <w:sz w:val="20"/>
        </w:rPr>
        <w:t xml:space="preserve">shall be provided solely to the Lender that sold the participation) and had acquired its interest by assignment pursuant to paragraph (b) of this Section;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Participant agrees to be subject to </w:t>
      </w:r>
      <w:r>
        <w:rPr>
          <w:rFonts w:ascii="Times New Roman;serif" w:hAnsi="Times New Roman;serif"/>
          <w:b w:val="false"/>
          <w:sz w:val="20"/>
          <w:u w:val="single"/>
        </w:rPr>
        <w:t>Section 2.19</w:t>
      </w:r>
      <w:r>
        <w:rPr/>
        <w:t xml:space="preserve"> </w:t>
      </w:r>
      <w:r>
        <w:rPr>
          <w:rFonts w:ascii="Times New Roman;serif" w:hAnsi="Times New Roman;serif"/>
          <w:b w:val="false"/>
          <w:sz w:val="20"/>
        </w:rPr>
        <w:t xml:space="preserve">as though it were an assignee under paragraph (b) of this Section. To the extent permitted by law, each Participant also shall be entitled to the benefits of </w:t>
      </w:r>
      <w:r>
        <w:rPr>
          <w:rFonts w:ascii="Times New Roman;serif" w:hAnsi="Times New Roman;serif"/>
          <w:b w:val="false"/>
          <w:sz w:val="20"/>
          <w:u w:val="single"/>
        </w:rPr>
        <w:t>Section 9.08</w:t>
      </w:r>
      <w:r>
        <w:rPr/>
        <w:t xml:space="preserve"> </w:t>
      </w:r>
      <w:r>
        <w:rPr>
          <w:rFonts w:ascii="Times New Roman;serif" w:hAnsi="Times New Roman;serif"/>
          <w:b w:val="false"/>
          <w:sz w:val="20"/>
        </w:rPr>
        <w:t xml:space="preserve">as though it were a Lender,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such Participant agrees to be subject to </w:t>
      </w:r>
      <w:r>
        <w:rPr>
          <w:rFonts w:ascii="Times New Roman;serif" w:hAnsi="Times New Roman;serif"/>
          <w:b w:val="false"/>
          <w:sz w:val="20"/>
          <w:u w:val="single"/>
        </w:rPr>
        <w:t>Section 2.18(b)</w:t>
      </w:r>
      <w:r>
        <w:rPr/>
        <w:t xml:space="preserve"> </w:t>
      </w:r>
      <w:r>
        <w:rPr>
          <w:rFonts w:ascii="Times New Roman;serif" w:hAnsi="Times New Roman;serif"/>
          <w:b w:val="false"/>
          <w:sz w:val="20"/>
        </w:rPr>
        <w:t>as though it were a Lender.</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0"/>
        <w:jc w:val="both"/>
        <w:rPr/>
      </w:pPr>
      <w:r>
        <w:rPr>
          <w:rFonts w:ascii="Times New Roman;serif" w:hAnsi="Times New Roman;serif"/>
          <w:b w:val="false"/>
          <w:sz w:val="20"/>
        </w:rPr>
        <w:t xml:space="preserve">A Participant shall not be entitled to receive any greater payment under </w:t>
      </w:r>
      <w:r>
        <w:rPr>
          <w:rFonts w:ascii="Times New Roman;serif" w:hAnsi="Times New Roman;serif"/>
          <w:b w:val="false"/>
          <w:sz w:val="20"/>
          <w:u w:val="single"/>
        </w:rPr>
        <w:t>Section 2.15</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 2.17</w:t>
      </w:r>
      <w:r>
        <w:rPr/>
        <w:t xml:space="preserve"> </w:t>
      </w:r>
      <w:r>
        <w:rPr>
          <w:rFonts w:ascii="Times New Roman;serif" w:hAnsi="Times New Roman;serif"/>
          <w:b w:val="false"/>
          <w:sz w:val="20"/>
        </w:rPr>
        <w:t>than the applicable Lender would have been entitled to receive with respect to the participation sold to such Participant, unless the sale of the participation to such Participant is made with the Borrower’s prior consent (not to be unreasonably withheld or delayed).</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0"/>
        <w:jc w:val="both"/>
        <w:rPr/>
      </w:pPr>
      <w:r>
        <w:rPr>
          <w:rFonts w:ascii="Times New Roman;serif" w:hAnsi="Times New Roman;serif"/>
          <w:b w:val="false"/>
          <w:sz w:val="20"/>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sz w:val="20"/>
          <w:u w:val="single"/>
        </w:rPr>
        <w:t>Participant Register</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in connection with a Tax audit or other proceeding to establish that such Commitment, Loan, or other obligation is in registered form under Section 5f.103-1(c) of the United States Treasury Regulations.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pPr>
      <w:r>
        <w:rPr>
          <w:rFonts w:ascii="Times New Roman;serif" w:hAnsi="Times New Roman;serif"/>
          <w:b w:val="false"/>
          <w:sz w:val="20"/>
        </w:rPr>
        <w:t xml:space="preserve">Any Lender may, without the consent of the Borrower, Holdings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Times New Roman;serif" w:hAnsi="Times New Roman;serif"/>
          <w:b w:val="false"/>
          <w:sz w:val="20"/>
          <w:u w:val="single"/>
        </w:rPr>
        <w:t>provided</w:t>
      </w:r>
      <w:r>
        <w:rPr/>
        <w:t xml:space="preserve"> </w:t>
      </w:r>
      <w:r>
        <w:rPr>
          <w:rFonts w:ascii="Times New Roman;serif" w:hAnsi="Times New Roman;serif"/>
          <w:b w:val="false"/>
          <w:sz w:val="20"/>
        </w:rPr>
        <w:t>that no such pledge or assignment of a security interest shall release a Lender from any of its obligations hereunder or substitute any such pledgee or assignee for such Lender as a party hereto.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(e)</w:t>
      </w:r>
    </w:p>
    <w:p>
      <w:pPr>
        <w:pStyle w:val="TextBody"/>
        <w:bidi w:val="0"/>
        <w:spacing w:before="240" w:after="0"/>
        <w:jc w:val="both"/>
        <w:rPr/>
      </w:pPr>
      <w:r>
        <w:rPr>
          <w:rFonts w:ascii="Times New Roman;serif" w:hAnsi="Times New Roman;serif"/>
          <w:b w:val="false"/>
          <w:sz w:val="20"/>
        </w:rPr>
        <w:t>Notwithstanding anything to the contrary contained herein, any Lender (a “</w:t>
      </w:r>
      <w:r>
        <w:rPr>
          <w:rFonts w:ascii="Times New Roman;serif" w:hAnsi="Times New Roman;serif"/>
          <w:b w:val="false"/>
          <w:sz w:val="20"/>
          <w:u w:val="single"/>
        </w:rPr>
        <w:t>Granting Lender</w:t>
      </w:r>
      <w:r>
        <w:rPr/>
        <w:t>”</w:t>
      </w:r>
      <w:r>
        <w:rPr>
          <w:rFonts w:ascii="Times New Roman;serif" w:hAnsi="Times New Roman;serif"/>
          <w:b w:val="false"/>
          <w:sz w:val="20"/>
        </w:rPr>
        <w:t>) may grant to a special purpose funding vehicle (an “</w:t>
      </w:r>
      <w:r>
        <w:rPr>
          <w:rFonts w:ascii="Times New Roman;serif" w:hAnsi="Times New Roman;serif"/>
          <w:b w:val="false"/>
          <w:sz w:val="20"/>
          <w:u w:val="single"/>
        </w:rPr>
        <w:t>SPV</w:t>
      </w:r>
      <w:r>
        <w:rPr/>
        <w:t>”</w:t>
      </w:r>
      <w:r>
        <w:rPr>
          <w:rFonts w:ascii="Times New Roman;serif" w:hAnsi="Times New Roman;serif"/>
          <w:b w:val="false"/>
          <w:sz w:val="20"/>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serif" w:hAnsi="Times New Roman;serif"/>
          <w:b w:val="false"/>
          <w:sz w:val="20"/>
          <w:u w:val="single"/>
        </w:rPr>
        <w:t>Section</w:t>
      </w:r>
      <w:r>
        <w:rPr/>
        <w:t xml:space="preserve"> </w:t>
      </w:r>
      <w:r>
        <w:rPr>
          <w:rFonts w:ascii="Times New Roman;serif" w:hAnsi="Times New Roman;serif"/>
          <w:b w:val="false"/>
          <w:sz w:val="20"/>
          <w:u w:val="single"/>
        </w:rPr>
        <w:t>9.04</w:t>
      </w:r>
      <w:r>
        <w:rPr>
          <w:rFonts w:ascii="Times New Roman;serif" w:hAnsi="Times New Roman;serif"/>
          <w:b w:val="false"/>
          <w:sz w:val="20"/>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pStyle w:val="TextBody"/>
        <w:bidi w:val="0"/>
        <w:spacing w:before="240" w:after="0"/>
        <w:jc w:val="both"/>
        <w:rPr>
          <w:rFonts w:ascii="Times New Roman" w:hAnsi="Times New Roman"/>
          <w:b w:val="false"/>
          <w:sz w:val="20"/>
        </w:rPr>
      </w:pPr>
      <w:r>
        <w:rPr>
          <w:rFonts w:ascii="Times New Roman" w:hAnsi="Times New Roman"/>
          <w:b w:val="false"/>
          <w:sz w:val="20"/>
        </w:rPr>
        <w:t>(f)</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Lender may, at any time, assign all or a portion of its rights and obligations under this Agreement to the Affiliated Lenders (and such Affiliated Lenders may contribute the same to Holdings or the Borrower), subject to the following limitations:</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pPr>
      <w:r>
        <w:rPr>
          <w:rFonts w:ascii="Times New Roman;serif" w:hAnsi="Times New Roman;serif"/>
          <w:b w:val="false"/>
          <w:sz w:val="20"/>
        </w:rPr>
        <w:t xml:space="preserve">Affiliated Lenders will not receive information provided solely to Lenders by the Administrative Agent or any Lender and will not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w:t>
      </w:r>
      <w:r>
        <w:rPr>
          <w:rFonts w:ascii="Times New Roman;serif" w:hAnsi="Times New Roman;serif"/>
          <w:b w:val="false"/>
          <w:sz w:val="20"/>
          <w:u w:val="single"/>
        </w:rPr>
        <w:t>Article II</w:t>
      </w:r>
      <w:r>
        <w:rPr>
          <w:rFonts w:ascii="Times New Roman;serif" w:hAnsi="Times New Roman;serif"/>
          <w:b w:val="false"/>
          <w:sz w:val="20"/>
        </w:rPr>
        <w:t xml:space="preserve">;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however</w:t>
      </w:r>
      <w:r>
        <w:rPr>
          <w:rFonts w:ascii="Times New Roman;serif" w:hAnsi="Times New Roman;serif"/>
          <w:b w:val="false"/>
          <w:sz w:val="20"/>
        </w:rPr>
        <w:t>, that the foregoing provisions of this clause will not apply to the Affiliated Debt Funds;</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pPr>
      <w:r>
        <w:rPr>
          <w:rFonts w:ascii="Times New Roman;serif" w:hAnsi="Times New Roman;serif"/>
          <w:b w:val="false"/>
          <w:sz w:val="20"/>
        </w:rPr>
        <w:t xml:space="preserve">for purposes of any amendment, waiver or modification of any Loan Document (including such modifications pursuant to </w:t>
      </w:r>
      <w:r>
        <w:rPr>
          <w:rFonts w:ascii="Times New Roman;serif" w:hAnsi="Times New Roman;serif"/>
          <w:b w:val="false"/>
          <w:sz w:val="20"/>
          <w:u w:val="single"/>
        </w:rPr>
        <w:t>Section 9.02</w:t>
      </w:r>
      <w:r>
        <w:rPr>
          <w:rFonts w:ascii="Times New Roman;serif" w:hAnsi="Times New Roman;serif"/>
          <w:b w:val="false"/>
          <w:sz w:val="20"/>
        </w:rPr>
        <w:t xml:space="preserve">), or, subject to </w:t>
      </w:r>
      <w:r>
        <w:rPr>
          <w:rFonts w:ascii="Times New Roman;serif" w:hAnsi="Times New Roman;serif"/>
          <w:b w:val="false"/>
          <w:sz w:val="20"/>
          <w:u w:val="single"/>
        </w:rPr>
        <w:t>Section 9.02(d)</w:t>
      </w:r>
      <w:r>
        <w:rPr>
          <w:rFonts w:ascii="Times New Roman;serif" w:hAnsi="Times New Roman;serif"/>
          <w:b w:val="false"/>
          <w:sz w:val="20"/>
        </w:rPr>
        <w:t xml:space="preserve">, any plan of reorganization or similar dispositive restructuring plan pursuant to the U.S. Bankruptcy Code, that in either case does not require the consent of each Lender or each affected Lender or does not adversely affect such Affiliated Lender in any material respect as compared to other Lenders,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serif" w:hAnsi="Times New Roman;serif"/>
          <w:b w:val="false"/>
          <w:sz w:val="20"/>
          <w:u w:val="single"/>
        </w:rPr>
        <w:t>provided</w:t>
      </w:r>
      <w:r>
        <w:rPr/>
        <w:t xml:space="preserve"> </w:t>
      </w:r>
      <w:r>
        <w:rPr>
          <w:rFonts w:ascii="Times New Roman;serif" w:hAnsi="Times New Roman;serif"/>
          <w:b w:val="false"/>
          <w:sz w:val="20"/>
        </w:rPr>
        <w:t>that Affiliated Debt Funds will not be subject to such voting limitations and will be entitled to vote as any other Lender;</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pPr>
      <w:r>
        <w:rPr>
          <w:rFonts w:ascii="Times New Roman;serif" w:hAnsi="Times New Roman;serif"/>
          <w:b w:val="false"/>
          <w:sz w:val="20"/>
        </w:rPr>
        <w:t xml:space="preserve">the aggregate principal amount of Loans purchased by assignment pursuant to this </w:t>
      </w:r>
      <w:r>
        <w:rPr>
          <w:rFonts w:ascii="Times New Roman;serif" w:hAnsi="Times New Roman;serif"/>
          <w:b w:val="false"/>
          <w:sz w:val="20"/>
          <w:u w:val="single"/>
        </w:rPr>
        <w:t>Section 9.04</w:t>
      </w:r>
      <w:r>
        <w:rPr/>
        <w:t xml:space="preserve"> </w:t>
      </w:r>
      <w:r>
        <w:rPr>
          <w:rFonts w:ascii="Times New Roman;serif" w:hAnsi="Times New Roman;serif"/>
          <w:b w:val="false"/>
          <w:sz w:val="20"/>
        </w:rPr>
        <w:t>and held at any one time by Affiliated Lenders (other than Affiliated Debt Funds) may not exceed 30.0% of the outstanding principal amount of all Loans plus the outstanding principal amount of all term loans made pursuant to any Incremental Term Loan calculated at the time such Loans are purchased (such percentage, the “</w:t>
      </w:r>
      <w:r>
        <w:rPr>
          <w:rFonts w:ascii="Times New Roman;serif" w:hAnsi="Times New Roman;serif"/>
          <w:b w:val="false"/>
          <w:sz w:val="20"/>
          <w:u w:val="single"/>
        </w:rPr>
        <w:t>Affiliated Lender Cap</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to the extent any assignment to an Affiliated Lender would result in the aggregate principal amount of all Loans held by Affiliated Lenders exceeding the Affiliated Lender Cap, the assignment of such excess amount will be void </w:t>
      </w:r>
      <w:r>
        <w:rPr>
          <w:rFonts w:ascii="Times New Roman;serif" w:hAnsi="Times New Roman;serif"/>
          <w:b w:val="false"/>
          <w:i/>
          <w:sz w:val="20"/>
        </w:rPr>
        <w:t>ab initio</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Affiliated Lenders may not purchase Revolving Loans;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283"/>
        <w:jc w:val="both"/>
        <w:rPr/>
      </w:pPr>
      <w:r>
        <w:rPr>
          <w:rFonts w:ascii="Times New Roman;serif" w:hAnsi="Times New Roman;serif"/>
          <w:b w:val="false"/>
          <w:sz w:val="20"/>
        </w:rPr>
        <w:t xml:space="preserve">the assigning Lender and the Affiliated Lender purchasing such Lender’s Loans shall execute and deliver to the Administrative Agent an assignment agreement substantially in the form of </w:t>
      </w:r>
      <w:r>
        <w:rPr>
          <w:rFonts w:ascii="Times New Roman;serif" w:hAnsi="Times New Roman;serif"/>
          <w:b w:val="false"/>
          <w:sz w:val="20"/>
          <w:u w:val="single"/>
        </w:rPr>
        <w:t>Exhibit B</w:t>
      </w:r>
      <w:r>
        <w:rPr/>
        <w:t xml:space="preserve"> </w:t>
      </w:r>
      <w:r>
        <w:rPr>
          <w:rFonts w:ascii="Times New Roman;serif" w:hAnsi="Times New Roman;serif"/>
          <w:b w:val="false"/>
          <w:sz w:val="20"/>
        </w:rPr>
        <w:t>hereto (an “</w:t>
      </w:r>
      <w:r>
        <w:rPr>
          <w:rFonts w:ascii="Times New Roman;serif" w:hAnsi="Times New Roman;serif"/>
          <w:b w:val="false"/>
          <w:sz w:val="20"/>
          <w:u w:val="single"/>
        </w:rPr>
        <w:t>Affiliated Lender Assignment and Assumption</w:t>
      </w:r>
      <w:r>
        <w:rPr/>
        <w:t>”</w:t>
      </w:r>
      <w:r>
        <w:rPr>
          <w:rFonts w:ascii="Times New Roman;serif" w:hAnsi="Times New Roman;serif"/>
          <w:b w:val="false"/>
          <w:sz w:val="20"/>
        </w:rPr>
        <w:t xml:space="preserve">); </w:t>
      </w:r>
      <w:r>
        <w:rPr>
          <w:rFonts w:ascii="Times New Roman;serif" w:hAnsi="Times New Roman;serif"/>
          <w:b w:val="false"/>
          <w:sz w:val="20"/>
          <w:u w:val="single"/>
        </w:rPr>
        <w:t>provided</w:t>
      </w:r>
      <w:r>
        <w:rPr/>
        <w:t xml:space="preserve"> </w:t>
      </w:r>
      <w:r>
        <w:rPr>
          <w:rFonts w:ascii="Times New Roman;serif" w:hAnsi="Times New Roman;serif"/>
          <w:b w:val="false"/>
          <w:sz w:val="20"/>
        </w:rPr>
        <w:t>that each Affiliated Lender agrees to notify the Administrative Agent and the Borrower promptly (and in any event within 10 Business Days) if it acquires any Person who is also a Lender, and each Lender agrees to notify the Administrative Agent and the Borrower promptly (and in any event within 10 Business Days) if it becomes an Affiliated Lender.</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Notwithstanding anything in </w:t>
      </w:r>
      <w:r>
        <w:rPr>
          <w:rFonts w:ascii="Times New Roman;serif" w:hAnsi="Times New Roman;serif"/>
          <w:b w:val="false"/>
          <w:sz w:val="20"/>
          <w:u w:val="single"/>
        </w:rPr>
        <w:t>Section 9.02</w:t>
      </w:r>
      <w:r>
        <w:rPr>
          <w:rFonts w:ascii="Times New Roman" w:hAnsi="Times New Roman"/>
          <w:sz w:val="20"/>
        </w:rPr>
        <w:t xml:space="preserve"> </w:t>
      </w:r>
      <w:r>
        <w:rPr>
          <w:rFonts w:ascii="Times New Roman;serif" w:hAnsi="Times New Roman;serif"/>
          <w:b w:val="false"/>
          <w:sz w:val="20"/>
        </w:rPr>
        <w:t>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Collateral Agent or any Lender to undertake any action (or refrain from taking any action) with respect to or under any Loan Document, the aggregate amount of Loans held by any Affiliated Debt Funds shall be deemed to be not outstanding to the extent in excess of 49.9% of the amount required for all purposes of calculating whether the Required Lenders have taken any actions.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Each Affiliated Lender by its acquisition of any Loans outstanding hereunder will be deemed to have waived any right it may otherwise have had to bring any action in connection with such Loans against the Administrative Agent, in its capacity as such, and will be deemed to have acknowledged and agreed that the Administrative Agent shall have no liability for any losses suffered by any Person as a result of any purported assignment to or from an Affiliated Lender.</w:t>
      </w:r>
    </w:p>
    <w:p>
      <w:pPr>
        <w:pStyle w:val="TextBody"/>
        <w:bidi w:val="0"/>
        <w:spacing w:before="240" w:after="0"/>
        <w:jc w:val="both"/>
        <w:rPr>
          <w:rFonts w:ascii="Times New Roman" w:hAnsi="Times New Roman"/>
          <w:b w:val="false"/>
          <w:sz w:val="20"/>
        </w:rPr>
      </w:pPr>
      <w:r>
        <w:rPr>
          <w:rFonts w:ascii="Times New Roman" w:hAnsi="Times New Roman"/>
          <w:b w:val="false"/>
          <w:sz w:val="20"/>
        </w:rPr>
        <w:t>(g)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Assignments of Term Loans to any Purchasing Borrower Party shall be permitted through open market purchases and/or “Dutch auctions”, so long as any offer to purchase or take by assignment (other than through open market purchases) by such Purchasing Borrower Party shall have been made to all Term Lenders, so long as (i) no Event of Default has occurred and is continuing, (ii) the Term Loans purchased are immediately cancelled and (iii) no proceeds from any loan under the Revolving Credit Facility shall be used to fund such assignments. Purchasing Borrower Parties may not purchase Revolving Loans.</w:t>
      </w:r>
    </w:p>
    <w:p>
      <w:pPr>
        <w:pStyle w:val="TextBody"/>
        <w:bidi w:val="0"/>
        <w:spacing w:before="240" w:after="0"/>
        <w:jc w:val="both"/>
        <w:rPr>
          <w:rFonts w:ascii="Times New Roman" w:hAnsi="Times New Roman"/>
          <w:b w:val="false"/>
          <w:sz w:val="20"/>
        </w:rPr>
      </w:pPr>
      <w:r>
        <w:rPr>
          <w:rFonts w:ascii="Times New Roman" w:hAnsi="Times New Roman"/>
          <w:b w:val="false"/>
          <w:sz w:val="20"/>
        </w:rPr>
        <w:t>(h)</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Upon any contribution of Loans to the Borrower or any Restricted Subsidiary and upon any purchase of Loans by a Purchasing Borrower Party, (A) the aggregate principal amount (calculated on the face amount thereof) of such Loans shall automatically be cancelled and retired by the Borrower on the date of such contribution or purchase (and, if requested by the Administrative Agent, with respect to a contribution of Loans, any applicable contributing Lender shall execute and deliver to the Administrative Agent an Assignment and Assumption, or such other form as may be reasonably requested by the Administrative Agent, in respect thereof pursuant to which the respective Lender assigns its interest in such Loans to the Borrower for immediate cancellation) and (B) the Administrative Agent shall record such cancellation or retirement in the Register.</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9.05 </w:t>
      </w:r>
      <w:r>
        <w:rPr>
          <w:rFonts w:ascii="Times New Roman;serif" w:hAnsi="Times New Roman;serif"/>
          <w:b w:val="false"/>
          <w:sz w:val="20"/>
          <w:u w:val="single"/>
        </w:rPr>
        <w:t>Survival</w:t>
      </w:r>
      <w:r>
        <w:rPr>
          <w:rFonts w:ascii="Times New Roman;serif" w:hAnsi="Times New Roman;serif"/>
          <w:b w:val="false"/>
          <w:sz w:val="20"/>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amendment, renewal, increase, or extension of any Letter of Credit, regardless of any investigation made by any such other party or on its behalf and notwithstanding that the Administrative Agent, Issuing Bank, or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(without any drawing having been made thereunder that has not been rejected or honored) and all amounts drawn or paid thereunder having been reimbursed in full, and so long as the Commitments have not expired or terminated. The provisions of </w:t>
      </w:r>
      <w:r>
        <w:rPr>
          <w:rFonts w:ascii="Times New Roman;serif" w:hAnsi="Times New Roman;serif"/>
          <w:b w:val="false"/>
          <w:sz w:val="20"/>
          <w:u w:val="single"/>
        </w:rPr>
        <w:t>Sections 2.15</w:t>
      </w:r>
      <w:r>
        <w:rPr>
          <w:rFonts w:ascii="Times New Roman;serif" w:hAnsi="Times New Roman;serif"/>
          <w:b w:val="false"/>
          <w:sz w:val="20"/>
        </w:rPr>
        <w:t xml:space="preserve">, </w:t>
      </w:r>
      <w:r>
        <w:rPr>
          <w:rFonts w:ascii="Times New Roman;serif" w:hAnsi="Times New Roman;serif"/>
          <w:b w:val="false"/>
          <w:strike/>
          <w:sz w:val="20"/>
          <w:u w:val="single"/>
        </w:rPr>
        <w:t>2.16</w:t>
      </w:r>
      <w:r>
        <w:rPr>
          <w:rFonts w:ascii="Times New Roman;serif" w:hAnsi="Times New Roman;serif"/>
          <w:b w:val="false"/>
          <w:strike/>
          <w:sz w:val="20"/>
        </w:rPr>
        <w:t>,</w:t>
      </w:r>
      <w:r>
        <w:rPr>
          <w:rFonts w:ascii="Times New Roman;serif" w:hAnsi="Times New Roman;serif"/>
          <w:b w:val="false"/>
          <w:sz w:val="20"/>
          <w:u w:val="single"/>
        </w:rPr>
        <w:t>2.16,</w:t>
      </w:r>
      <w:r>
        <w:rPr>
          <w:rFonts w:ascii="Times New Roman" w:hAnsi="Times New Roman"/>
          <w:sz w:val="20"/>
        </w:rPr>
        <w:t xml:space="preserve"> </w:t>
      </w:r>
      <w:r>
        <w:rPr>
          <w:rFonts w:ascii="Times New Roman;serif" w:hAnsi="Times New Roman;serif"/>
          <w:b w:val="false"/>
          <w:sz w:val="20"/>
          <w:u w:val="single"/>
        </w:rPr>
        <w:t>2.17</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9.03</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20"/>
          <w:u w:val="single"/>
        </w:rPr>
        <w:t>Article VIII</w:t>
      </w:r>
      <w:r>
        <w:rPr>
          <w:rFonts w:ascii="Times New Roman" w:hAnsi="Times New Roman"/>
          <w:sz w:val="20"/>
        </w:rPr>
        <w:t xml:space="preserve"> </w:t>
      </w:r>
      <w:r>
        <w:rPr>
          <w:rFonts w:ascii="Times New Roman;serif" w:hAnsi="Times New Roman;serif"/>
          <w:b w:val="false"/>
          <w:sz w:val="20"/>
        </w:rPr>
        <w:t>shall survive and remain in full force and effect regardless of the occurrence of the Termination Date.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serif" w:hAnsi="Times New Roman;serif"/>
          <w:b w:val="false"/>
          <w:sz w:val="20"/>
          <w:u w:val="single"/>
        </w:rPr>
        <w:t>Section 2.05(e)</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Section</w:t>
      </w:r>
      <w:r>
        <w:rPr>
          <w:rFonts w:ascii="Times New Roman" w:hAnsi="Times New Roman"/>
          <w:sz w:val="20"/>
        </w:rPr>
        <w:t xml:space="preserve"> </w:t>
      </w:r>
      <w:r>
        <w:rPr>
          <w:rFonts w:ascii="Times New Roman;serif" w:hAnsi="Times New Roman;serif"/>
          <w:b w:val="false"/>
          <w:sz w:val="20"/>
          <w:u w:val="single"/>
        </w:rPr>
        <w:t>2.05(f)</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9.06 </w:t>
      </w:r>
      <w:r>
        <w:rPr>
          <w:rFonts w:ascii="Times New Roman;serif" w:hAnsi="Times New Roman;serif"/>
          <w:b w:val="false"/>
          <w:sz w:val="20"/>
          <w:u w:val="single"/>
        </w:rPr>
        <w:t>Counterparts; Integration; Effectiveness</w:t>
      </w:r>
      <w:r>
        <w:rPr>
          <w:rFonts w:ascii="Times New Roman;serif" w:hAnsi="Times New Roman;serif"/>
          <w:b w:val="false"/>
          <w:sz w:val="20"/>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 the Collateral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sz w:val="20"/>
          <w:u w:val="single"/>
        </w:rPr>
        <w:t>Section 4.01</w:t>
      </w:r>
      <w:r>
        <w:rPr>
          <w:rFonts w:ascii="Times New Roman;serif" w:hAnsi="Times New Roman;serif"/>
          <w:b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9.07 </w:t>
      </w:r>
      <w:r>
        <w:rPr>
          <w:rFonts w:ascii="Times New Roman;serif" w:hAnsi="Times New Roman;serif"/>
          <w:b w:val="false"/>
          <w:sz w:val="20"/>
          <w:u w:val="single"/>
        </w:rPr>
        <w:t>Severability</w:t>
      </w:r>
      <w:r>
        <w:rPr>
          <w:rFonts w:ascii="Times New Roman;serif" w:hAnsi="Times New Roman;serif"/>
          <w:b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9.08 </w:t>
      </w:r>
      <w:r>
        <w:rPr>
          <w:rFonts w:ascii="Times New Roman;serif" w:hAnsi="Times New Roman;serif"/>
          <w:b w:val="false"/>
          <w:sz w:val="20"/>
          <w:u w:val="single"/>
        </w:rPr>
        <w:t>Right of Setoff</w:t>
      </w:r>
      <w:r>
        <w:rPr>
          <w:rFonts w:ascii="Times New Roman;serif" w:hAnsi="Times New Roman;serif"/>
          <w:b w:val="false"/>
          <w:sz w:val="20"/>
        </w:rPr>
        <w:t xml:space="preserve">. If an Event of Default under </w:t>
      </w:r>
      <w:r>
        <w:rPr>
          <w:rFonts w:ascii="Times New Roman;serif" w:hAnsi="Times New Roman;serif"/>
          <w:b w:val="false"/>
          <w:sz w:val="20"/>
          <w:u w:val="single"/>
        </w:rPr>
        <w:t>Section 7.01(a)</w:t>
      </w:r>
      <w:r>
        <w:rPr>
          <w:rFonts w:ascii="Times New Roman;serif" w:hAnsi="Times New Roman;serif"/>
          <w:b w:val="false"/>
          <w:sz w:val="20"/>
        </w:rPr>
        <w:t xml:space="preserve">, </w:t>
      </w:r>
      <w:r>
        <w:rPr>
          <w:rFonts w:ascii="Times New Roman;serif" w:hAnsi="Times New Roman;serif"/>
          <w:b w:val="false"/>
          <w:sz w:val="20"/>
          <w:u w:val="single"/>
        </w:rPr>
        <w:t>(b)</w:t>
      </w:r>
      <w:r>
        <w:rPr>
          <w:rFonts w:ascii="Times New Roman;serif" w:hAnsi="Times New Roman;serif"/>
          <w:b w:val="false"/>
          <w:sz w:val="20"/>
        </w:rPr>
        <w:t xml:space="preserve">, </w:t>
      </w:r>
      <w:r>
        <w:rPr>
          <w:rFonts w:ascii="Times New Roman;serif" w:hAnsi="Times New Roman;serif"/>
          <w:b w:val="false"/>
          <w:sz w:val="20"/>
          <w:u w:val="single"/>
        </w:rPr>
        <w:t>(h)</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(i)</w:t>
      </w:r>
      <w:r>
        <w:rPr>
          <w:rFonts w:ascii="Times New Roman" w:hAnsi="Times New Roman"/>
          <w:sz w:val="20"/>
        </w:rPr>
        <w:t xml:space="preserve"> </w:t>
      </w:r>
      <w:r>
        <w:rPr>
          <w:rFonts w:ascii="Times New Roman;serif" w:hAnsi="Times New Roman;serif"/>
          <w:b w:val="false"/>
          <w:sz w:val="20"/>
        </w:rPr>
        <w:t xml:space="preserve">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 xml:space="preserve">that in the event that any Defaulting Lender shall exercise any such right of setoff, (a) all amounts so set off shall be paid over immediately to the Administrative Agent for further application in accordance with the provisions of </w:t>
      </w:r>
      <w:r>
        <w:rPr>
          <w:rFonts w:ascii="Times New Roman;serif" w:hAnsi="Times New Roman;serif"/>
          <w:b w:val="false"/>
          <w:sz w:val="20"/>
          <w:u w:val="single"/>
        </w:rPr>
        <w:t>Section 2.22</w:t>
      </w:r>
      <w:r>
        <w:rPr>
          <w:rFonts w:ascii="Times New Roman" w:hAnsi="Times New Roman"/>
          <w:sz w:val="20"/>
        </w:rPr>
        <w:t xml:space="preserve"> </w:t>
      </w:r>
      <w:r>
        <w:rPr>
          <w:rFonts w:ascii="Times New Roman;serif" w:hAnsi="Times New Roman;serif"/>
          <w:b w:val="false"/>
          <w:sz w:val="20"/>
        </w:rPr>
        <w:t xml:space="preserve">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Times New Roman;serif" w:hAnsi="Times New Roman;serif"/>
          <w:b w:val="false"/>
          <w:sz w:val="20"/>
          <w:u w:val="single"/>
        </w:rPr>
        <w:t>provided</w:t>
      </w:r>
      <w:r>
        <w:rPr>
          <w:rFonts w:ascii="Times New Roman" w:hAnsi="Times New Roman"/>
          <w:sz w:val="20"/>
        </w:rPr>
        <w:t xml:space="preserve"> </w:t>
      </w:r>
      <w:r>
        <w:rPr>
          <w:rFonts w:ascii="Times New Roman;serif" w:hAnsi="Times New Roman;serif"/>
          <w:b w:val="false"/>
          <w:sz w:val="20"/>
        </w:rPr>
        <w:t>that any failure to give 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 Notwithstanding the foregoing, no amount set off from any Guarantor shall be applied to any Excluded Swap Obligation of such Guarantor.</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9.09 </w:t>
      </w:r>
      <w:r>
        <w:rPr>
          <w:rFonts w:ascii="Times New Roman;serif" w:hAnsi="Times New Roman;serif"/>
          <w:b w:val="false"/>
          <w:sz w:val="20"/>
          <w:u w:val="single"/>
        </w:rPr>
        <w:t>Governing Law; Jurisdiction; Consent to Service of Process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pPr>
      <w:r>
        <w:rPr>
          <w:rFonts w:ascii="Times New Roman;serif" w:hAnsi="Times New Roman;serif"/>
          <w:b w:val="false"/>
          <w:sz w:val="20"/>
        </w:rPr>
        <w:t xml:space="preserve">This Agreement shall be construed in accordance with and governed by the law of the State of New York; </w:t>
      </w:r>
      <w:r>
        <w:rPr>
          <w:rFonts w:ascii="Times New Roman;serif" w:hAnsi="Times New Roman;serif"/>
          <w:b w:val="false"/>
          <w:sz w:val="20"/>
          <w:u w:val="single"/>
        </w:rPr>
        <w:t>provided</w:t>
      </w:r>
      <w:r>
        <w:rPr/>
        <w:t xml:space="preserve"> </w:t>
      </w:r>
      <w:r>
        <w:rPr>
          <w:rFonts w:ascii="Times New Roman;serif" w:hAnsi="Times New Roman;serif"/>
          <w:b w:val="false"/>
          <w:sz w:val="20"/>
        </w:rPr>
        <w:t>that, notwithstanding the foregoing, it is understood and agreed that (i) the interpretation of the definition of Material Adverse Effect (and whether or not a Material Adverse Effect has occurred), (ii) the determination of the accuracy of any Specified Acquisition Agreement Representations and whether as a result of any inaccuracy thereof, Holdings (or its Affiliate) has the right (taking into account any applicable cure provisions) to terminate the obligations of Holdings under the Acquisition Agreement or decline to consummate the Acquisition and (iii) the determination of whether the Acquisition has been consummated in accordance with the terms of the Acquisition Agreement, in each case shall be governed by, and construed in accordance with, the laws of the State of Delaware, regardless of the laws that might otherwise govern under applicable principles of conflicts of laws thereof.</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any Agent, any Issuing Bank or any Lender may otherwise have to bring any action or proceeding relating to any Loan Document against Holdings, the Borrower or their respective properties in the courts of any jurisdiction.</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283"/>
        <w:jc w:val="both"/>
        <w:rPr/>
      </w:pPr>
      <w:r>
        <w:rPr>
          <w:rFonts w:ascii="Times New Roman;serif" w:hAnsi="Times New Roman;serif"/>
          <w:b w:val="false"/>
          <w:sz w:val="20"/>
        </w:rPr>
        <w:t xml:space="preserve">Each party to this Agreement irrevocably consents to service of process in the manner provided for notices in </w:t>
      </w:r>
      <w:r>
        <w:rPr>
          <w:rFonts w:ascii="Times New Roman;serif" w:hAnsi="Times New Roman;serif"/>
          <w:b w:val="false"/>
          <w:sz w:val="20"/>
          <w:u w:val="single"/>
        </w:rPr>
        <w:t>Section 9.01</w:t>
      </w:r>
      <w:r>
        <w:rPr>
          <w:rFonts w:ascii="Times New Roman;serif" w:hAnsi="Times New Roman;serif"/>
          <w:b w:val="false"/>
          <w:sz w:val="20"/>
        </w:rPr>
        <w:t>. Nothing in any Loan Document will affect the right of any party to this Agreement to serve process in any other manner permitted by law.</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9.10 </w:t>
      </w:r>
      <w:r>
        <w:rPr>
          <w:rFonts w:ascii="Times New Roman;serif" w:hAnsi="Times New Roman;serif"/>
          <w:b w:val="false"/>
          <w:sz w:val="20"/>
          <w:u w:val="single"/>
        </w:rPr>
        <w:t>WAIVER OF JURY TRIAL</w:t>
      </w:r>
      <w:r>
        <w:rPr>
          <w:rFonts w:ascii="Times New Roman;serif" w:hAnsi="Times New Roman;serif"/>
          <w:b w:val="false"/>
          <w:sz w:val="20"/>
        </w:rPr>
        <w:t>.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9.11 </w:t>
      </w:r>
      <w:r>
        <w:rPr>
          <w:rFonts w:ascii="Times New Roman;serif" w:hAnsi="Times New Roman;serif"/>
          <w:b w:val="false"/>
          <w:sz w:val="20"/>
          <w:u w:val="single"/>
        </w:rPr>
        <w:t>Headings</w:t>
      </w:r>
      <w:r>
        <w:rPr>
          <w:rFonts w:ascii="Times New Roman;serif" w:hAnsi="Times New Roman;serif"/>
          <w:b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9.12 </w:t>
      </w:r>
      <w:r>
        <w:rPr>
          <w:rFonts w:ascii="Times New Roman;serif" w:hAnsi="Times New Roman;serif"/>
          <w:b w:val="false"/>
          <w:sz w:val="20"/>
          <w:u w:val="single"/>
        </w:rPr>
        <w:t>Confidentiality</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pPr>
      <w:r>
        <w:rPr>
          <w:rFonts w:ascii="Times New Roman;serif" w:hAnsi="Times New Roman;serif"/>
          <w:b w:val="false"/>
          <w:sz w:val="20"/>
        </w:rPr>
        <w:t xml:space="preserve">Each of the Administrative Agent, the Collateral Agent, the Issuing Banks and the Lenders agrees to maintain the confidentiality of the Information (as defined below), except that Information may be disclosed (a) to their and their Affiliates’ directors, officers, employees, members, partners, trustees and agents, including accountants, legal counsel and other agents and advisors (it being understood that the Persons to whom such disclosure is made will be informed of the confidential nature of such Information and instructed to keep such Information confidential and any failure of such Persons to comply with this </w:t>
      </w:r>
      <w:r>
        <w:rPr>
          <w:rFonts w:ascii="Times New Roman;serif" w:hAnsi="Times New Roman;serif"/>
          <w:b w:val="false"/>
          <w:sz w:val="20"/>
          <w:u w:val="single"/>
        </w:rPr>
        <w:t>Section 9.12</w:t>
      </w:r>
      <w:r>
        <w:rPr/>
        <w:t xml:space="preserve"> </w:t>
      </w:r>
      <w:r>
        <w:rPr>
          <w:rFonts w:ascii="Times New Roman;serif" w:hAnsi="Times New Roman;serif"/>
          <w:b w:val="false"/>
          <w:sz w:val="20"/>
        </w:rPr>
        <w:t xml:space="preserve">shall constitute a breach of this </w:t>
      </w:r>
      <w:r>
        <w:rPr>
          <w:rFonts w:ascii="Times New Roman;serif" w:hAnsi="Times New Roman;serif"/>
          <w:b w:val="false"/>
          <w:sz w:val="20"/>
          <w:u w:val="single"/>
        </w:rPr>
        <w:t>Section 9.12</w:t>
      </w:r>
      <w:r>
        <w:rPr/>
        <w:t xml:space="preserve"> </w:t>
      </w:r>
      <w:r>
        <w:rPr>
          <w:rFonts w:ascii="Times New Roman;serif" w:hAnsi="Times New Roman;serif"/>
          <w:b w:val="false"/>
          <w:sz w:val="20"/>
        </w:rPr>
        <w:t xml:space="preserve">by the Administrative Agent, the Collateral Agent, the relevant Issuing Bank, or the relevant Lender, as applicable), (b) (x) to the extent requested by any regulatory authority, required by applicable law or by any subpoena or similar legal process or (y) necessary in connection with the exercise of remedies;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(i) in each case, unless specifically prohibited by applicable law or court order, each Lender and the Administrative Agent shall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(ii) in the case of clause (y) only, each Lender and the Administrative Agent shall use its reasonable best efforts to ensure that such Information is kept confidential in connection with the exercise of such remedies, and </w:t>
      </w:r>
      <w:r>
        <w:rPr>
          <w:rFonts w:ascii="Times New Roman;serif" w:hAnsi="Times New Roman;serif"/>
          <w:b w:val="false"/>
          <w:sz w:val="20"/>
          <w:u w:val="single"/>
        </w:rPr>
        <w:t>provided</w:t>
      </w:r>
      <w:r>
        <w:rPr>
          <w:rFonts w:ascii="Times New Roman;serif" w:hAnsi="Times New Roman;serif"/>
          <w:b w:val="false"/>
          <w:sz w:val="20"/>
        </w:rPr>
        <w:t xml:space="preserve">, </w:t>
      </w:r>
      <w:r>
        <w:rPr>
          <w:rFonts w:ascii="Times New Roman;serif" w:hAnsi="Times New Roman;serif"/>
          <w:b w:val="false"/>
          <w:sz w:val="20"/>
          <w:u w:val="single"/>
        </w:rPr>
        <w:t>further</w:t>
      </w:r>
      <w:r>
        <w:rPr>
          <w:rFonts w:ascii="Times New Roman;serif" w:hAnsi="Times New Roman;serif"/>
          <w:b w:val="false"/>
          <w:sz w:val="20"/>
        </w:rPr>
        <w:t xml:space="preserve">, that in no event shall any Lender or the Administrative Agent be obligated or required to return any materials furnished by Holdings, the Borrower or any of their Subsidiaries, (c) to any other party to this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rPr>
        <w:t>Agreement, (d) subject to an agreement containing confidentiality undertakings substantially similar to those of this Section, to (i) any assignee of or Participant in, or any prospective assignee of or Participant in, any of its rights or obligations under this Agreement or (ii) any actual or prospective counterparty (or its advisors) to any Swap Agreement relating to any Loan Party or their Subsidiaries and its obligations under the Loan Documents, (e) with the consent of the Borrower, in the case of Information provided by Holdings, the Borrower or any other Subsidiary, (f) to the extent such Information (i) becomes publicly available other than as a result of a breach of this Section or (ii) becomes available to the Administrative Agent, the Collateral Agent, any Issuing Bank or any Lender on a non-confidential basis from a source other than Holdings or the Borrower or (g) to any ratings agency or the CUSIP Service Bureau on a confidential basis. In addition, each of the Administrative Agent, the Collateral Agent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Times New Roman;serif" w:hAnsi="Times New Roman;serif"/>
          <w:b w:val="false"/>
          <w:sz w:val="20"/>
          <w:u w:val="single"/>
        </w:rPr>
        <w:t>Information</w:t>
      </w:r>
      <w:r>
        <w:rPr/>
        <w:t xml:space="preserve">” </w:t>
      </w:r>
      <w:r>
        <w:rPr>
          <w:rFonts w:ascii="Times New Roman;serif" w:hAnsi="Times New Roman;serif"/>
          <w:b w:val="false"/>
          <w:sz w:val="20"/>
        </w:rPr>
        <w:t>means all information received from Holdings, the Borrower relating to Holdings, the Borrower, any Subsidiary or their business, other than any such information that is available to the Administrative Agent, the Collateral Agent, any Issuing Bank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pPr>
      <w:r>
        <w:rPr>
          <w:rFonts w:ascii="Times New Roman;serif" w:hAnsi="Times New Roman;serif"/>
          <w:b w:val="false"/>
          <w:sz w:val="20"/>
        </w:rPr>
        <w:t xml:space="preserve">EACH LENDER ACKNOWLEDGES THAT INFORMATION AS DEFINED IN </w:t>
      </w:r>
      <w:r>
        <w:rPr>
          <w:rFonts w:ascii="Times New Roman;serif" w:hAnsi="Times New Roman;serif"/>
          <w:b w:val="false"/>
          <w:sz w:val="20"/>
          <w:u w:val="single"/>
        </w:rPr>
        <w:t>SECTION 9.12(a)</w:t>
      </w:r>
      <w:r>
        <w:rPr/>
        <w:t xml:space="preserve"> </w:t>
      </w:r>
      <w:r>
        <w:rPr>
          <w:rFonts w:ascii="Times New Roman;serif" w:hAnsi="Times New Roman;serif"/>
          <w:b w:val="false"/>
          <w:sz w:val="20"/>
        </w:rPr>
        <w:t>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9.13 </w:t>
      </w:r>
      <w:r>
        <w:rPr>
          <w:rFonts w:ascii="Times New Roman;serif" w:hAnsi="Times New Roman;serif"/>
          <w:b w:val="false"/>
          <w:sz w:val="20"/>
          <w:u w:val="single"/>
        </w:rPr>
        <w:t>USA Patriot Act</w:t>
      </w:r>
      <w:r>
        <w:rPr>
          <w:rFonts w:ascii="Times New Roman;serif" w:hAnsi="Times New Roman;serif"/>
          <w:b w:val="false"/>
          <w:sz w:val="20"/>
        </w:rPr>
        <w:t>. Each Lender that is subject to the USA Patriot Act and the Administrative Agent (for itself and not on behalf of any Lender) hereby notifies each Loan Party that pursuant to the requirements of Title III of the USA Patriot Act, it is required to obtain, verify and record information that identifies each Loan Party, which information includes the name and address of such Loan Party and other information that will allow such Lender or the Administrative Agent, as applicable, to identify each Loan Party in accordance with the Title III of the USA Patriot Act.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9.14 </w:t>
      </w:r>
      <w:r>
        <w:rPr>
          <w:rFonts w:ascii="Times New Roman;serif" w:hAnsi="Times New Roman;serif"/>
          <w:b w:val="false"/>
          <w:sz w:val="20"/>
          <w:u w:val="single"/>
        </w:rPr>
        <w:t>Judgment Currency</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obligations of Holdings and the Borrower in respect of any sum due to any party hereto or any holder of any obligation owing hereunder (the “Applicable Creditor”) shall, notwithstanding any judgment in a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83"/>
        <w:jc w:val="both"/>
        <w:rPr/>
      </w:pPr>
      <w:r>
        <w:rPr>
          <w:rFonts w:ascii="Times New Roman;serif" w:hAnsi="Times New Roman;serif"/>
          <w:b w:val="false"/>
          <w:sz w:val="20"/>
        </w:rPr>
        <w:t>currency (the “</w:t>
      </w:r>
      <w:r>
        <w:rPr>
          <w:rFonts w:ascii="Times New Roman;serif" w:hAnsi="Times New Roman;serif"/>
          <w:b w:val="false"/>
          <w:sz w:val="20"/>
          <w:u w:val="single"/>
        </w:rPr>
        <w:t>Judgment Currency</w:t>
      </w:r>
      <w:r>
        <w:rPr/>
        <w:t>”</w:t>
      </w:r>
      <w:r>
        <w:rPr>
          <w:rFonts w:ascii="Times New Roman;serif" w:hAnsi="Times New Roman;serif"/>
          <w:b w:val="false"/>
          <w:sz w:val="20"/>
        </w:rPr>
        <w:t>) other than the currency in which such sum is stated to be due hereunder (the “</w:t>
      </w:r>
      <w:r>
        <w:rPr>
          <w:rFonts w:ascii="Times New Roman;serif" w:hAnsi="Times New Roman;serif"/>
          <w:b w:val="false"/>
          <w:sz w:val="20"/>
          <w:u w:val="single"/>
        </w:rPr>
        <w:t>Agreement Currency</w:t>
      </w:r>
      <w:r>
        <w:rPr/>
        <w:t>”</w:t>
      </w:r>
      <w:r>
        <w:rPr>
          <w:rFonts w:ascii="Times New Roman;serif" w:hAnsi="Times New Roman;serif"/>
          <w:b w:val="false"/>
          <w:sz w:val="20"/>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Holdings and the Borrower agree, as a separate obligation and notwithstanding any such judgment, to indemnify the Applicable Creditor against such loss. The obligations of the Borrower under this Section shall survive the termination of this Agreement and the payment of all other amounts owing hereunder.</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9.15 </w:t>
      </w:r>
      <w:r>
        <w:rPr>
          <w:rFonts w:ascii="Times New Roman;serif" w:hAnsi="Times New Roman;serif"/>
          <w:b w:val="false"/>
          <w:sz w:val="20"/>
          <w:u w:val="single"/>
        </w:rPr>
        <w:t>Release of Liens and Guarantees</w:t>
      </w:r>
      <w:r>
        <w:rPr>
          <w:rFonts w:ascii="Times New Roman;serif" w:hAnsi="Times New Roman;serif"/>
          <w:b w:val="false"/>
          <w:sz w:val="20"/>
        </w:rPr>
        <w:t xml:space="preserve">. A Subsidiary Loan Party shall automatically be released from its obligations under the Loan Documents, and all security interests created by the Security Documents in Collateral owned by (and, in the case of clause (1), (2) and (3), in each case, to the extent constituting Excluded Assets, upon the request of the Borrower, the Equity Interests of)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a designation as an Unrestricted Subsidiary), (2) upon the request of the Borrower, upon any Subsidiary Loan Party becoming an Excluded Subsidiary or (3) upon the request of the Borrower, in connection with a transaction permitted under this Agreement, as a result of which such Subsidiary Loan Party ceases to be a wholly-owned Subsidiary or otherwise becomes an Excluded Subsidiary. Fastball Parent, Inc. shall be released from its obligations under the Loan Documents and the security interests created by the Security Documents in the Collateral owned by Fastball Parent, Inc. shall be released upon the request of the Borrower, in connection with an IPO, as a result of which Fastball Parent, Inc. ceases to be Holdings pursuant to (b)(ii) of the definition of “Holdings”. Upon (i) any sale or other transfer by any Loan Party (other than to Holdings, the Borrower or any other Loan Party) of any Collateral in a transaction permitted under this Agreement or (ii) the effectiveness of any written consent to the release of the security interest created under any Security Document in any Collateral or the release of any Loan Party from its Guarantee under the Guarantee Agreement pursuant to </w:t>
      </w:r>
      <w:r>
        <w:rPr>
          <w:rFonts w:ascii="Times New Roman;serif" w:hAnsi="Times New Roman;serif"/>
          <w:b w:val="false"/>
          <w:sz w:val="20"/>
          <w:u w:val="single"/>
        </w:rPr>
        <w:t>Section 9.02</w:t>
      </w:r>
      <w:r>
        <w:rPr>
          <w:rFonts w:ascii="Times New Roman;serif" w:hAnsi="Times New Roman;serif"/>
          <w:b w:val="false"/>
          <w:sz w:val="20"/>
        </w:rPr>
        <w:t xml:space="preserve">, the security interests in such Collateral created by the Security Documents or such guarantee shall be automatically released. Upon the occurrence of the Termination Date, all obligations under the Loan Documents and all security interests created by the Security Documents shall be automatically released. In connection with any termination or release pursuant to this Section,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and Collateral Agent to (i) release or subordinate any Lien on any property granted to or held by the Administrative Agent or the Collateral Agent under any Loan Document to the holder of any Lien on such property that is permitted by </w:t>
      </w:r>
      <w:r>
        <w:rPr>
          <w:rFonts w:ascii="Times New Roman;serif" w:hAnsi="Times New Roman;serif"/>
          <w:b w:val="false"/>
          <w:sz w:val="20"/>
          <w:u w:val="single"/>
        </w:rPr>
        <w:t>Section 6.02(iv)</w:t>
      </w:r>
      <w:r>
        <w:rPr>
          <w:rFonts w:ascii="Times New Roman;serif" w:hAnsi="Times New Roman;serif"/>
          <w:b w:val="false"/>
          <w:sz w:val="20"/>
        </w:rPr>
        <w:t xml:space="preserve">, </w:t>
      </w:r>
      <w:r>
        <w:rPr>
          <w:rFonts w:ascii="Times New Roman;serif" w:hAnsi="Times New Roman;serif"/>
          <w:b w:val="false"/>
          <w:sz w:val="20"/>
          <w:u w:val="single"/>
        </w:rPr>
        <w:t>(viii)(A)</w:t>
      </w:r>
      <w:r>
        <w:rPr>
          <w:rFonts w:ascii="Times New Roman" w:hAnsi="Times New Roman"/>
          <w:sz w:val="20"/>
        </w:rPr>
        <w:t xml:space="preserve"> </w:t>
      </w:r>
      <w:r>
        <w:rPr>
          <w:rFonts w:ascii="Times New Roman;serif" w:hAnsi="Times New Roman;serif"/>
          <w:b w:val="false"/>
          <w:sz w:val="20"/>
        </w:rPr>
        <w:t xml:space="preserve">or </w:t>
      </w:r>
      <w:r>
        <w:rPr>
          <w:rFonts w:ascii="Times New Roman;serif" w:hAnsi="Times New Roman;serif"/>
          <w:b w:val="false"/>
          <w:sz w:val="20"/>
          <w:u w:val="single"/>
        </w:rPr>
        <w:t>(xxii)</w:t>
      </w:r>
      <w:r>
        <w:rPr>
          <w:rFonts w:ascii="Times New Roman" w:hAnsi="Times New Roman"/>
          <w:sz w:val="20"/>
        </w:rPr>
        <w:t xml:space="preserve"> </w:t>
      </w:r>
      <w:r>
        <w:rPr>
          <w:rFonts w:ascii="Times New Roman;serif" w:hAnsi="Times New Roman;serif"/>
          <w:b w:val="false"/>
          <w:sz w:val="20"/>
        </w:rPr>
        <w:t xml:space="preserve">to the extent required by the terms of the obligations secured by such Liens pursuant to documents reasonably acceptable to the Administrative Agent and Collateral Agent) and (ii) subordinate any Lien on any Mortgaged Property if required under the terms of any lease, easement, right of way or similar agreement effecting the Mortgaged Property provided such lease, easement, right of way or similar agreement is permitted by </w:t>
      </w:r>
      <w:r>
        <w:rPr>
          <w:rFonts w:ascii="Times New Roman;serif" w:hAnsi="Times New Roman;serif"/>
          <w:b w:val="false"/>
          <w:sz w:val="20"/>
          <w:u w:val="single"/>
        </w:rPr>
        <w:t>Section 6.02</w:t>
      </w:r>
      <w:r>
        <w:rPr>
          <w:rFonts w:ascii="Times New Roman;serif" w:hAnsi="Times New Roman;serif"/>
          <w:b w:val="false"/>
          <w:sz w:val="20"/>
        </w:rPr>
        <w: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9.16 </w:t>
      </w:r>
      <w:r>
        <w:rPr>
          <w:rFonts w:ascii="Times New Roman;serif" w:hAnsi="Times New Roman;serif"/>
          <w:b w:val="false"/>
          <w:sz w:val="20"/>
          <w:u w:val="single"/>
        </w:rPr>
        <w:t>No Fiduciary Relationship</w:t>
      </w:r>
      <w:r>
        <w:rPr>
          <w:rFonts w:ascii="Times New Roman;serif" w:hAnsi="Times New Roman;serif"/>
          <w:b w:val="false"/>
          <w:sz w:val="20"/>
        </w:rPr>
        <w:t>. Holdings and the Borrower, on behalf of itself and its subsidiaries, agrees that in connection with all aspects of the transactions contemplated hereby and any communications in connection therewith, Holdings, the Borrower, the other Subsidiaries and their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9.17 </w:t>
      </w:r>
      <w:r>
        <w:rPr>
          <w:rFonts w:ascii="Times New Roman;serif" w:hAnsi="Times New Roman;serif"/>
          <w:b w:val="false"/>
          <w:sz w:val="20"/>
          <w:u w:val="single"/>
        </w:rPr>
        <w:t>Effectiveness of the Merger</w:t>
      </w:r>
      <w:r>
        <w:rPr>
          <w:rFonts w:ascii="Times New Roman;serif" w:hAnsi="Times New Roman;serif"/>
          <w:b w:val="false"/>
          <w:sz w:val="20"/>
        </w:rPr>
        <w:t>. The Target and its subsidiaries shall have no rights or obligations under the Loan Documents until the consummation of the Acquisition and the Merger, and any representations and warranties of (or related to) the Target or any of its subsidiaries under the Loan Documents shall not become effective until such time. Upon consummation of the Acquisition, the Target shall succeed to all the rights and obligations of Merger Sub and its subsidiaries under the Loan Documents to which it is a party and all representations and warranties of the Target shall become effective as of the date hereof, without any further action by any Person.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9.18 </w:t>
      </w:r>
      <w:r>
        <w:rPr>
          <w:rFonts w:ascii="Times New Roman;serif" w:hAnsi="Times New Roman;serif"/>
          <w:b w:val="false"/>
          <w:sz w:val="20"/>
          <w:u w:val="single"/>
        </w:rPr>
        <w:t>Acknowledgement and Consent to Bail-In of EEA Financial Institutions</w:t>
      </w:r>
      <w:r>
        <w:rPr>
          <w:rFonts w:ascii="Times New Roman;serif" w:hAnsi="Times New Roman;serif"/>
          <w:b w:val="false"/>
          <w:sz w:val="20"/>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application of any Write-Down and Conversion Powers by an EEA Resolution Authority to any such liabilities arising hereunder which may be payable to it by any party hereto that is an EEA Financial Institution; and</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effects of any Bail-In Action on any such liability, including, if applicable:</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reduction in full or in part or cancellation of any such liability;</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variation of the terms of such liability in connection with the exercise of the write-down and conversion powers of any EEA Resolution Authority.</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9.19 </w:t>
      </w:r>
      <w:r>
        <w:rPr>
          <w:rFonts w:ascii="Times New Roman;serif" w:hAnsi="Times New Roman;serif"/>
          <w:b w:val="false"/>
          <w:sz w:val="20"/>
          <w:u w:val="single"/>
        </w:rPr>
        <w:t>Certain ERISA Matters</w:t>
      </w:r>
      <w:r>
        <w:rPr>
          <w:rFonts w:ascii="Times New Roman;serif" w:hAnsi="Times New Roman;serif"/>
          <w:b w:val="false"/>
          <w:sz w:val="20"/>
        </w:rPr>
        <w:t>.</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at least one of the following is and will be true:</w:t>
      </w:r>
    </w:p>
    <w:p>
      <w:pPr>
        <w:pStyle w:val="TextBody"/>
        <w:bidi w:val="0"/>
        <w:spacing w:before="240" w:after="0"/>
        <w:jc w:val="both"/>
        <w:rPr>
          <w:rFonts w:ascii="Times New Roman" w:hAnsi="Times New Roman"/>
          <w:b w:val="false"/>
          <w:sz w:val="20"/>
        </w:rPr>
      </w:pPr>
      <w:r>
        <w:rPr>
          <w:rFonts w:ascii="Times New Roman" w:hAnsi="Times New Roman"/>
          <w:b w:val="false"/>
          <w:sz w:val="20"/>
        </w:rPr>
        <w:t>(i)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the Commitments or this Agreement;</w:t>
      </w:r>
    </w:p>
    <w:p>
      <w:pPr>
        <w:pStyle w:val="TextBody"/>
        <w:bidi w:val="0"/>
        <w:spacing w:before="240" w:after="0"/>
        <w:jc w:val="both"/>
        <w:rPr>
          <w:rFonts w:ascii="Times New Roman" w:hAnsi="Times New Roman"/>
          <w:b w:val="false"/>
          <w:sz w:val="20"/>
        </w:rPr>
      </w:pPr>
      <w:r>
        <w:rPr>
          <w:rFonts w:ascii="Times New Roman" w:hAnsi="Times New Roman"/>
          <w:b w:val="false"/>
          <w:sz w:val="20"/>
        </w:rPr>
        <w:t>(ii)</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prohibitions of Section 406 of ERISA and Section 4975 of the Code such Lender’s entrance into, participation in, administration of and performance of the Loans, the Letters of Credit, the Commitments and this Agreement;</w:t>
      </w:r>
    </w:p>
    <w:p>
      <w:pPr>
        <w:pStyle w:val="TextBody"/>
        <w:bidi w:val="0"/>
        <w:spacing w:before="240" w:after="0"/>
        <w:jc w:val="both"/>
        <w:rPr>
          <w:rFonts w:ascii="Times New Roman" w:hAnsi="Times New Roman"/>
          <w:b w:val="false"/>
          <w:sz w:val="20"/>
        </w:rPr>
      </w:pPr>
      <w:r>
        <w:rPr>
          <w:rFonts w:ascii="Times New Roman" w:hAnsi="Times New Roman"/>
          <w:b w:val="false"/>
          <w:sz w:val="20"/>
        </w:rPr>
        <w:t>(iii)</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b w:val="false"/>
          <w:sz w:val="20"/>
        </w:rPr>
      </w:pPr>
      <w:r>
        <w:rPr>
          <w:rFonts w:ascii="Times New Roman" w:hAnsi="Times New Roman"/>
          <w:b w:val="false"/>
          <w:sz w:val="20"/>
        </w:rPr>
        <w:t>(iv)</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such other representation, warranty and covenant as may be agreed in writing between the Administrative Agent, in its sole discretion, and such Lender.</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In addition, unless either (I) sub-clause (i) in the immediately preceding clause (a) is true with respect to a Lender or (II)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the Administrative Agent, the Lead Arrangers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9.20 </w:t>
      </w:r>
      <w:r>
        <w:rPr>
          <w:rFonts w:ascii="Times New Roman;serif" w:hAnsi="Times New Roman;serif"/>
          <w:b w:val="false"/>
          <w:sz w:val="20"/>
          <w:u w:val="single"/>
        </w:rPr>
        <w:t>Electronic Execution of Assignments and Certain Other Documents</w:t>
      </w:r>
      <w:r>
        <w:rPr>
          <w:rFonts w:ascii="Times New Roman;serif" w:hAnsi="Times New Roman;serif"/>
          <w:b w:val="false"/>
          <w:sz w:val="20"/>
        </w:rPr>
        <w:t>.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SECTION 9.21 </w:t>
      </w:r>
      <w:r>
        <w:rPr>
          <w:rFonts w:ascii="Times New Roman;serif" w:hAnsi="Times New Roman;serif"/>
          <w:b w:val="false"/>
          <w:sz w:val="20"/>
          <w:u w:val="single"/>
        </w:rPr>
        <w:t>Acknowledgement Regarding Any Supported QFCs</w:t>
      </w:r>
      <w:r>
        <w:rPr>
          <w:rFonts w:ascii="Times New Roman;serif" w:hAnsi="Times New Roman;serif"/>
          <w:b w:val="false"/>
          <w:sz w:val="20"/>
        </w:rPr>
        <w:t>.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283"/>
        <w:jc w:val="both"/>
        <w:rPr/>
      </w:pPr>
      <w:r>
        <w:rPr>
          <w:rFonts w:ascii="Times New Roman;serif" w:hAnsi="Times New Roman;serif"/>
          <w:b w:val="false"/>
          <w:sz w:val="20"/>
        </w:rPr>
        <w:t>In the event a Covered Entity that is party to a Supported QFC (each, a “</w:t>
      </w:r>
      <w:r>
        <w:rPr>
          <w:rFonts w:ascii="Times New Roman;serif" w:hAnsi="Times New Roman;serif"/>
          <w:b w:val="false"/>
          <w:sz w:val="20"/>
          <w:u w:val="single"/>
        </w:rPr>
        <w:t>Covered Party</w:t>
      </w:r>
      <w:r>
        <w:rPr/>
        <w:t>”</w:t>
      </w:r>
      <w:r>
        <w:rPr>
          <w:rFonts w:ascii="Times New Roman;serif" w:hAnsi="Times New Roman;serif"/>
          <w:b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b w:val="false"/>
          <w:sz w:val="20"/>
        </w:rPr>
      </w:pPr>
      <w:r>
        <w:rPr>
          <w:rFonts w:ascii="Times New Roman" w:hAnsi="Times New Roman"/>
          <w:b w:val="false"/>
          <w:sz w:val="20"/>
        </w:rPr>
        <w:t>(b)</w:t>
      </w:r>
    </w:p>
    <w:p>
      <w:pPr>
        <w:pStyle w:val="TextBody"/>
        <w:bidi w:val="0"/>
        <w:spacing w:before="360" w:after="283"/>
        <w:jc w:val="both"/>
        <w:rPr/>
      </w:pPr>
      <w:r>
        <w:rPr>
          <w:rFonts w:ascii="Times New Roman;serif" w:hAnsi="Times New Roman;serif"/>
          <w:b w:val="false"/>
          <w:sz w:val="20"/>
        </w:rPr>
        <w:t xml:space="preserve">As used in this </w:t>
      </w:r>
      <w:r>
        <w:rPr>
          <w:rFonts w:ascii="Times New Roman;serif" w:hAnsi="Times New Roman;serif"/>
          <w:b w:val="false"/>
          <w:sz w:val="20"/>
          <w:u w:val="single"/>
        </w:rPr>
        <w:t>Section 9.21</w:t>
      </w:r>
      <w:r>
        <w:rPr>
          <w:rFonts w:ascii="Times New Roman;serif" w:hAnsi="Times New Roman;serif"/>
          <w:b w:val="false"/>
          <w:sz w:val="20"/>
        </w:rPr>
        <w:t>, the following terms have the following meanings:</w:t>
      </w:r>
    </w:p>
    <w:p>
      <w:pPr>
        <w:pStyle w:val="TextBody"/>
        <w:bidi w:val="0"/>
        <w:spacing w:before="240" w:after="0"/>
        <w:jc w:val="both"/>
        <w:rPr/>
      </w:pPr>
      <w:r>
        <w:rPr/>
        <w:t>“</w:t>
      </w:r>
      <w:r>
        <w:rPr>
          <w:rFonts w:ascii="Times New Roman;serif" w:hAnsi="Times New Roman;serif"/>
          <w:b w:val="false"/>
          <w:sz w:val="20"/>
          <w:u w:val="single"/>
        </w:rPr>
        <w:t>BHC Act Affiliate</w:t>
      </w:r>
      <w:r>
        <w:rPr>
          <w:rFonts w:ascii="Times New Roman" w:hAnsi="Times New Roman"/>
          <w:sz w:val="20"/>
        </w:rPr>
        <w:t xml:space="preserve">” </w:t>
      </w:r>
      <w:r>
        <w:rPr>
          <w:rFonts w:ascii="Times New Roman;serif" w:hAnsi="Times New Roman;serif"/>
          <w:b w:val="false"/>
          <w:sz w:val="20"/>
        </w:rPr>
        <w:t>of a party means an “affiliate” (as such term is defined under, and interpreted in accordance with, 12 U.S.C. 1841(k)) of such party.</w:t>
      </w:r>
    </w:p>
    <w:p>
      <w:pPr>
        <w:pStyle w:val="TextBody"/>
        <w:bidi w:val="0"/>
        <w:spacing w:before="240" w:after="0"/>
        <w:jc w:val="both"/>
        <w:rPr/>
      </w:pPr>
      <w:r>
        <w:rPr/>
        <w:t>“</w:t>
      </w:r>
      <w:r>
        <w:rPr>
          <w:rFonts w:ascii="Times New Roman;serif" w:hAnsi="Times New Roman;serif"/>
          <w:b w:val="false"/>
          <w:sz w:val="20"/>
          <w:u w:val="single"/>
        </w:rPr>
        <w:t>Covered Entity</w:t>
      </w:r>
      <w:r>
        <w:rPr>
          <w:rFonts w:ascii="Times New Roman" w:hAnsi="Times New Roman"/>
          <w:sz w:val="20"/>
        </w:rPr>
        <w:t xml:space="preserve">” </w:t>
      </w:r>
      <w:r>
        <w:rPr>
          <w:rFonts w:ascii="Times New Roman;serif" w:hAnsi="Times New Roman;serif"/>
          <w:b w:val="false"/>
          <w:sz w:val="20"/>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240" w:after="0"/>
        <w:jc w:val="both"/>
        <w:rPr/>
      </w:pPr>
      <w:r>
        <w:rPr/>
        <w:t>“</w:t>
      </w:r>
      <w:r>
        <w:rPr>
          <w:rFonts w:ascii="Times New Roman;serif" w:hAnsi="Times New Roman;serif"/>
          <w:b w:val="false"/>
          <w:sz w:val="20"/>
          <w:u w:val="single"/>
        </w:rPr>
        <w:t>Default Right</w:t>
      </w:r>
      <w:r>
        <w:rPr>
          <w:rFonts w:ascii="Times New Roman" w:hAnsi="Times New Roman"/>
          <w:sz w:val="20"/>
        </w:rPr>
        <w:t xml:space="preserve">” </w:t>
      </w:r>
      <w:r>
        <w:rPr>
          <w:rFonts w:ascii="Times New Roman;serif" w:hAnsi="Times New Roman;serif"/>
          <w:b w:val="false"/>
          <w:sz w:val="20"/>
        </w:rPr>
        <w:t>has the meaning assigned to that term in, and shall be interpreted in accordance with, 12 C.F.R. §§ 252.81, 47.2 or 382.1, as applicable.</w:t>
      </w:r>
    </w:p>
    <w:p>
      <w:pPr>
        <w:pStyle w:val="TextBody"/>
        <w:bidi w:val="0"/>
        <w:spacing w:before="240" w:after="0"/>
        <w:jc w:val="both"/>
        <w:rPr/>
      </w:pPr>
      <w:r>
        <w:rPr/>
        <w:t>“</w:t>
      </w:r>
      <w:r>
        <w:rPr>
          <w:rFonts w:ascii="Times New Roman;serif" w:hAnsi="Times New Roman;serif"/>
          <w:b w:val="false"/>
          <w:sz w:val="20"/>
          <w:u w:val="single"/>
        </w:rPr>
        <w:t>QFC</w:t>
      </w:r>
      <w:r>
        <w:rPr>
          <w:rFonts w:ascii="Times New Roman" w:hAnsi="Times New Roman"/>
          <w:sz w:val="20"/>
        </w:rPr>
        <w:t xml:space="preserve">” </w:t>
      </w:r>
      <w:r>
        <w:rPr>
          <w:rFonts w:ascii="Times New Roman;serif" w:hAnsi="Times New Roman;serif"/>
          <w:b w:val="false"/>
          <w:sz w:val="20"/>
        </w:rPr>
        <w:t>has the meaning assigned to the term “qualified financial contract” in, and shall be interpreted in accordance with, 12 U.S.C. 5390(c)(8)(D).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[Remainder of page intentionally left blank]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-158-</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7" w:name="fa-ex31_1.htm"/>
      <w:bookmarkStart w:id="38" w:name="ksfaex31_1"/>
      <w:bookmarkEnd w:id="37"/>
      <w:bookmarkEnd w:id="38"/>
      <w:r>
        <w:rPr>
          <w:rFonts w:ascii="Times New Roman;serif" w:hAnsi="Times New Roman;serif"/>
          <w:b/>
          <w:sz w:val="20"/>
        </w:rPr>
        <w:t>Exhibit 31.1</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17 CFR 240.13a-14</w:t>
      </w:r>
    </w:p>
    <w:p>
      <w:pPr>
        <w:pStyle w:val="TextBody"/>
        <w:bidi w:val="0"/>
        <w:spacing w:before="0" w:after="0"/>
        <w:jc w:val="center"/>
        <w:rPr>
          <w:rFonts w:ascii="Times New Roman;serif" w:hAnsi="Times New Roman;serif"/>
          <w:b/>
          <w:sz w:val="20"/>
        </w:rPr>
      </w:pPr>
      <w:r>
        <w:rPr>
          <w:rFonts w:ascii="Times New Roman;serif" w:hAnsi="Times New Roman;serif"/>
          <w:b/>
          <w:sz w:val="20"/>
        </w:rPr>
        <w:t>PROMULGATED UNDER</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Scott Staples, certify that:</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First Advantage Corporation;</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br/>
        <w:br/>
      </w:r>
    </w:p>
    <w:tbl>
      <w:tblPr>
        <w:tblW w:w="4852" w:type="dxa"/>
        <w:jc w:val="left"/>
        <w:tblInd w:w="0" w:type="dxa"/>
        <w:tblLayout w:type="fixed"/>
        <w:tblCellMar>
          <w:top w:w="28" w:type="dxa"/>
          <w:left w:w="28" w:type="dxa"/>
          <w:bottom w:w="28" w:type="dxa"/>
          <w:right w:w="28" w:type="dxa"/>
        </w:tblCellMar>
      </w:tblPr>
      <w:tblGrid>
        <w:gridCol w:w="1846"/>
        <w:gridCol w:w="109"/>
        <w:gridCol w:w="406"/>
        <w:gridCol w:w="24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Staples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Scott Staples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9" w:name="fa-ex31_2.htm"/>
      <w:bookmarkStart w:id="40" w:name="ksfaex31_2"/>
      <w:bookmarkEnd w:id="39"/>
      <w:bookmarkEnd w:id="40"/>
      <w:r>
        <w:rPr>
          <w:rFonts w:ascii="Times New Roman;serif" w:hAnsi="Times New Roman;serif"/>
          <w:b/>
          <w:sz w:val="20"/>
        </w:rPr>
        <w:t>Exhibit 31.2</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17 CFR 240.13a-14</w:t>
      </w:r>
    </w:p>
    <w:p>
      <w:pPr>
        <w:pStyle w:val="TextBody"/>
        <w:bidi w:val="0"/>
        <w:spacing w:before="0" w:after="0"/>
        <w:jc w:val="center"/>
        <w:rPr>
          <w:rFonts w:ascii="Times New Roman;serif" w:hAnsi="Times New Roman;serif"/>
          <w:b/>
          <w:sz w:val="20"/>
        </w:rPr>
      </w:pPr>
      <w:r>
        <w:rPr>
          <w:rFonts w:ascii="Times New Roman;serif" w:hAnsi="Times New Roman;serif"/>
          <w:b/>
          <w:sz w:val="20"/>
        </w:rPr>
        <w:t>PROMULGATED UNDER</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David L. Gamsey, certify that:</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First Advantage Corporation;</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br/>
        <w:br/>
      </w:r>
    </w:p>
    <w:tbl>
      <w:tblPr>
        <w:tblW w:w="6817" w:type="dxa"/>
        <w:jc w:val="left"/>
        <w:tblInd w:w="0" w:type="dxa"/>
        <w:tblLayout w:type="fixed"/>
        <w:tblCellMar>
          <w:top w:w="28" w:type="dxa"/>
          <w:left w:w="28" w:type="dxa"/>
          <w:bottom w:w="28" w:type="dxa"/>
          <w:right w:w="28" w:type="dxa"/>
        </w:tblCellMar>
      </w:tblPr>
      <w:tblGrid>
        <w:gridCol w:w="1846"/>
        <w:gridCol w:w="109"/>
        <w:gridCol w:w="406"/>
        <w:gridCol w:w="44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L. Gamsey</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David L. Gamsey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&amp; 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41" w:name="fa-ex32_1.htm"/>
      <w:bookmarkStart w:id="42" w:name="ksfaex32_1"/>
      <w:bookmarkEnd w:id="41"/>
      <w:bookmarkEnd w:id="42"/>
      <w:r>
        <w:rPr>
          <w:rFonts w:ascii="Times New Roman;serif" w:hAnsi="Times New Roman;serif"/>
          <w:b/>
          <w:sz w:val="20"/>
        </w:rPr>
        <w:t>Exhibit 32.1</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br/>
        <w:br/>
        <w:br/>
        <w:t>18 U.S.C. SECTION 1350, AS ADOPTED PURSUANT TO</w:t>
        <w:br/>
        <w:br/>
        <w:br/>
        <w:t>SECTION 906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First Advantage Corporation (the “Company”) for the period ended June 30, 2023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p>
      <w:pPr>
        <w:pStyle w:val="TextBody"/>
        <w:bidi w:val="0"/>
        <w:spacing w:before="0" w:after="0"/>
        <w:jc w:val="left"/>
        <w:rPr/>
      </w:pPr>
      <w:r>
        <w:rPr/>
        <w:t> </w:t>
      </w:r>
    </w:p>
    <w:tbl>
      <w:tblPr>
        <w:tblW w:w="4852" w:type="dxa"/>
        <w:jc w:val="left"/>
        <w:tblInd w:w="0" w:type="dxa"/>
        <w:tblLayout w:type="fixed"/>
        <w:tblCellMar>
          <w:top w:w="28" w:type="dxa"/>
          <w:left w:w="28" w:type="dxa"/>
          <w:bottom w:w="28" w:type="dxa"/>
          <w:right w:w="28" w:type="dxa"/>
        </w:tblCellMar>
      </w:tblPr>
      <w:tblGrid>
        <w:gridCol w:w="1846"/>
        <w:gridCol w:w="109"/>
        <w:gridCol w:w="406"/>
        <w:gridCol w:w="24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Staples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Scott Staples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righ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43" w:name="fa-ex32_2.htm"/>
      <w:bookmarkStart w:id="44" w:name="ksfaex32_2"/>
      <w:bookmarkEnd w:id="43"/>
      <w:bookmarkEnd w:id="44"/>
      <w:r>
        <w:rPr>
          <w:rFonts w:ascii="Times New Roman;serif" w:hAnsi="Times New Roman;serif"/>
          <w:b/>
          <w:sz w:val="20"/>
        </w:rPr>
        <w:t>Exhibit 32.2</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br/>
        <w:br/>
        <w:br/>
        <w:t>18 U.S.C. SECTION 1350, AS ADOPTED PURSUANT TO</w:t>
        <w:br/>
        <w:br/>
        <w:br/>
        <w:t>SECTION 906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First Advantage Corporation (the “Company”) for the period ended June 30, 2023 as filed with the Securities and Exchange Commission on the date hereof (the “Report”), I certify, pursuant to 18 U.S.C. § 1350, as adopted pursuant to § 906 of the Sarbanes-Oxley Act of 2002, that, to the best of my knowledge:</w:t>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p>
      <w:pPr>
        <w:pStyle w:val="TextBody"/>
        <w:bidi w:val="0"/>
        <w:spacing w:before="0" w:after="0"/>
        <w:jc w:val="left"/>
        <w:rPr/>
      </w:pPr>
      <w:r>
        <w:rPr/>
        <w:t> </w:t>
      </w:r>
    </w:p>
    <w:tbl>
      <w:tblPr>
        <w:tblW w:w="6817" w:type="dxa"/>
        <w:jc w:val="left"/>
        <w:tblInd w:w="0" w:type="dxa"/>
        <w:tblLayout w:type="fixed"/>
        <w:tblCellMar>
          <w:top w:w="28" w:type="dxa"/>
          <w:left w:w="28" w:type="dxa"/>
          <w:bottom w:w="28" w:type="dxa"/>
          <w:right w:w="28" w:type="dxa"/>
        </w:tblCellMar>
      </w:tblPr>
      <w:tblGrid>
        <w:gridCol w:w="1846"/>
        <w:gridCol w:w="109"/>
        <w:gridCol w:w="406"/>
        <w:gridCol w:w="44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David L. Gamsey</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David L. Gamsey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&amp; 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145121</Words>
  <Characters>780098</Characters>
  <CharactersWithSpaces>924073</CharactersWithSpaces>
  <Paragraphs>9342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