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40" w:hanging="4079"/>
        <w:spacing w:after="0" w:line="334"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ectPr>
          <w:pgSz w:w="11900" w:h="16838" w:orient="portrait"/>
          <w:cols w:equalWidth="0" w:num="1">
            <w:col w:w="11240"/>
          </w:cols>
          <w:pgMar w:left="320" w:top="1276" w:right="339" w:bottom="1440" w:gutter="0" w:footer="0" w:header="0"/>
        </w:sectPr>
      </w:pP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Concourse Parkway NE, Suite 200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Atlanta, GA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84-3884690</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30328</w:t>
      </w:r>
    </w:p>
    <w:p>
      <w:pPr>
        <w:spacing w:after="0" w:line="38" w:lineRule="exact"/>
        <w:rPr>
          <w:sz w:val="24"/>
          <w:szCs w:val="24"/>
          <w:color w:val="auto"/>
        </w:rPr>
      </w:pPr>
    </w:p>
    <w:p>
      <w:pPr>
        <w:sectPr>
          <w:pgSz w:w="11900" w:h="16838" w:orient="portrait"/>
          <w:cols w:equalWidth="0" w:num="2">
            <w:col w:w="7460" w:space="480"/>
            <w:col w:w="3300"/>
          </w:cols>
          <w:pgMar w:left="320" w:top="127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(888) 314-9761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6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240" w:type="dxa"/>
            <w:vAlign w:val="bottom"/>
            <w:vMerge w:val="restart"/>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w:t>
            </w: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24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08"/>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2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700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p>
        </w:tc>
        <w:tc>
          <w:tcPr>
            <w:tcW w:w="424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3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6" w:right="339" w:bottom="1440" w:gutter="0" w:footer="0" w:header="0"/>
          <w:type w:val="continuous"/>
        </w:sectPr>
      </w:pPr>
    </w:p>
    <w:p>
      <w:pPr>
        <w:spacing w:after="0" w:line="8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3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32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29" w:lineRule="exact"/>
        <w:rPr>
          <w:sz w:val="24"/>
          <w:szCs w:val="24"/>
          <w:color w:val="auto"/>
        </w:rPr>
      </w:pPr>
    </w:p>
    <w:p>
      <w:pPr>
        <w:sectPr>
          <w:pgSz w:w="11900" w:h="16838" w:orient="portrait"/>
          <w:cols w:equalWidth="0" w:num="2">
            <w:col w:w="1600" w:space="680"/>
            <w:col w:w="8960"/>
          </w:cols>
          <w:pgMar w:left="320" w:top="1276" w:right="339" w:bottom="1440" w:gutter="0" w:footer="0" w:header="0"/>
          <w:type w:val="continuous"/>
        </w:sect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400"/>
        <w:spacing w:after="0" w:line="278" w:lineRule="auto"/>
        <w:rPr>
          <w:sz w:val="20"/>
          <w:szCs w:val="20"/>
          <w:color w:val="auto"/>
        </w:rPr>
      </w:pPr>
      <w:r>
        <w:rPr>
          <w:rFonts w:ascii="Times New Roman" w:cs="Times New Roman" w:eastAsia="Times New Roman" w:hAnsi="Times New Roman"/>
          <w:sz w:val="13"/>
          <w:szCs w:val="13"/>
          <w:color w:val="auto"/>
        </w:rPr>
        <w:t>As of June 30, 2023, the aggregate market value of the registrant’s common stock held by non-affiliates of the registrant was $771,746,746 based on the last reported sales price of the common stock as reported on Nasdaq. The number of shares of Common Stock outstanding as of February 23, 2024 was 145,160,557.</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140"/>
        <w:spacing w:after="0" w:line="278"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2024 Annual Meeting of Stockholders to be filed with the SEC within 120 days after the end of the fiscal year ended December 31, 2023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2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7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7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7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66"/>
        </w:trPr>
        <w:tc>
          <w:tcPr>
            <w:tcW w:w="1280" w:type="dxa"/>
            <w:vAlign w:val="bottom"/>
          </w:tcPr>
          <w:p>
            <w:pPr>
              <w:spacing w:after="0"/>
              <w:rPr>
                <w:sz w:val="24"/>
                <w:szCs w:val="24"/>
                <w:color w:val="auto"/>
              </w:rPr>
            </w:pPr>
          </w:p>
        </w:tc>
        <w:tc>
          <w:tcPr>
            <w:tcW w:w="1540" w:type="dxa"/>
            <w:vAlign w:val="bottom"/>
            <w:tcBorders>
              <w:top w:val="single" w:sz="8" w:color="0000FF"/>
            </w:tcBorders>
            <w:gridSpan w:val="7"/>
          </w:tcPr>
          <w:p>
            <w:pPr>
              <w:spacing w:after="0"/>
              <w:rPr>
                <w:sz w:val="24"/>
                <w:szCs w:val="24"/>
                <w:color w:val="auto"/>
              </w:rPr>
            </w:pPr>
          </w:p>
        </w:tc>
        <w:tc>
          <w:tcPr>
            <w:tcW w:w="334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Selected Terminology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are used in this Annual Report, unless otherwise noted or indicated by the context:</w:t>
      </w:r>
    </w:p>
    <w:p>
      <w:pPr>
        <w:spacing w:after="0" w:line="171" w:lineRule="exact"/>
        <w:rPr>
          <w:sz w:val="20"/>
          <w:szCs w:val="20"/>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 regards to our business, means the United States, Canada, and Latin America;</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customers” means our customers who contribute $500,000 or more to our revenues in a calendar year;</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Advantage,” the “Company,” “we,” “us,” and “our” mean the business of First Advantage Corporation and its subsidiaries;</w:t>
      </w:r>
    </w:p>
    <w:p>
      <w:pPr>
        <w:spacing w:after="0" w:line="117" w:lineRule="exact"/>
        <w:rPr>
          <w:rFonts w:ascii="Times New Roman" w:cs="Times New Roman" w:eastAsia="Times New Roman" w:hAnsi="Times New Roman"/>
          <w:sz w:val="18"/>
          <w:szCs w:val="18"/>
          <w:color w:val="auto"/>
        </w:rPr>
      </w:pPr>
    </w:p>
    <w:p>
      <w:pPr>
        <w:ind w:left="740" w:hanging="223"/>
        <w:spacing w:after="0" w:line="256"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retention rate” for the current year is a percentage, where the numerator is prior year revenues less the revenue impact of lost accounts; the denominator is prior year revenues. We calculate the revenue impact of lost accounts as the difference between the customer’s current year and prior year revenues for the months after which they are identified as lost. Therefore, the attrition impact of customers lost in the current year may be partially captured in both the current and following years’ retention rates depending on what point during the year they are lost. Our retention rate does not factor in revenue impact, whether growth or decline, attributable to existing customers or the incremental revenue impact of new customers;</w:t>
      </w:r>
    </w:p>
    <w:p>
      <w:pPr>
        <w:spacing w:after="0" w:line="79"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in regards to our business, means all geographical regions outside of the United States, Canada, and Latin America;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Lake” means Silver Lake Group, L.L.C., together with its affiliates, successors, and assignees.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Annual Report on Form 10-K (“Annual Report”) have been subject to rounding adjustments. Percentage amounts included in this Annual Report have not in all cases been calculated on the basis of such rounded figures, but on the basis of such amounts prior to rounding. For this reason, percentage amounts in this Annual Report may vary from those obtained by performing the same calculations using the figures in our consolidated financial statements included elsewhere in this Annual Report. Certain other amounts that appear in this Annual Report may not sum due to rounding.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are included throughout this Annual Report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assumptions or changes in circumstances that are difficult to predict or quantify. 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additional information on these and other factors that could cause First Advantage’s actual results to differ materially from expected results, please see “Risk Factors” in Part I, Item 1A. in this Annual Report, as such factors may be updated from time to time in our periodic filings with the SEC, which are accessible on the SEC’s website at www.sec.gov. The forward-looking statements included in this Annual Report speak only as of the date of this Annual Report, and we undertake no obligation to publicly update or review any forward-looking statement, whether as a result of new information, future developments, or otherwise, except as required by law.</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22" w:lineRule="exact"/>
        <w:rPr>
          <w:sz w:val="20"/>
          <w:szCs w:val="20"/>
          <w:color w:val="auto"/>
        </w:rPr>
      </w:pPr>
    </w:p>
    <w:p>
      <w:pPr>
        <w:ind w:left="740" w:right="16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beyond our control, including the state of the economy, could impact demand and the fulfillment costs for our products and solutions.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are subject to numerous and evolving laws and regulations.</w:t>
      </w:r>
    </w:p>
    <w:p>
      <w:pPr>
        <w:spacing w:after="0" w:line="117" w:lineRule="exact"/>
        <w:rPr>
          <w:rFonts w:ascii="Times New Roman" w:cs="Times New Roman" w:eastAsia="Times New Roman" w:hAnsi="Times New Roman"/>
          <w:sz w:val="18"/>
          <w:szCs w:val="18"/>
          <w:color w:val="auto"/>
        </w:rPr>
      </w:pPr>
    </w:p>
    <w:p>
      <w:pPr>
        <w:ind w:left="740" w:right="48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scrutiny of collection, use, and processing of personal data and data security could lead to increased restrictions, loss of revenue opportunity, greater costs of compliance, and lost efficiency.</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and successfully implement our growth strategies on a timely basis or at all.</w:t>
      </w:r>
    </w:p>
    <w:p>
      <w:pPr>
        <w:spacing w:after="0" w:line="117" w:lineRule="exact"/>
        <w:rPr>
          <w:rFonts w:ascii="Times New Roman" w:cs="Times New Roman" w:eastAsia="Times New Roman" w:hAnsi="Times New Roman"/>
          <w:sz w:val="18"/>
          <w:szCs w:val="18"/>
          <w:color w:val="auto"/>
        </w:rPr>
      </w:pPr>
    </w:p>
    <w:p>
      <w:pPr>
        <w:ind w:left="740" w:right="18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ethical, and legal issues relating to the use of new and evolving technologies, such as artificial intelligence and machine learning, in our offerings may result in reputational harm and liability.</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to our reputation or our brand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740" w:right="68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our customers reduce their operations, downsize their screening programs, or otherwise demand fewer of our products and solutions, our business could be adversely impacted.</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penetrated and competitive market.</w:t>
      </w:r>
    </w:p>
    <w:p>
      <w:pPr>
        <w:spacing w:after="0" w:line="117" w:lineRule="exact"/>
        <w:rPr>
          <w:rFonts w:ascii="Times New Roman" w:cs="Times New Roman" w:eastAsia="Times New Roman" w:hAnsi="Times New Roman"/>
          <w:sz w:val="18"/>
          <w:szCs w:val="18"/>
          <w:color w:val="auto"/>
        </w:rPr>
      </w:pPr>
    </w:p>
    <w:p>
      <w:pPr>
        <w:ind w:left="740" w:right="20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data and service providers. If they are unable to deliver or perform as expected, our ability to operate effectively may be impaired, and our business may be materially and adversely affected.</w:t>
      </w:r>
    </w:p>
    <w:p>
      <w:pPr>
        <w:spacing w:after="0" w:line="53" w:lineRule="exact"/>
        <w:rPr>
          <w:rFonts w:ascii="Times New Roman" w:cs="Times New Roman" w:eastAsia="Times New Roman" w:hAnsi="Times New Roman"/>
          <w:sz w:val="18"/>
          <w:szCs w:val="18"/>
          <w:color w:val="auto"/>
        </w:rPr>
      </w:pPr>
    </w:p>
    <w:p>
      <w:pPr>
        <w:ind w:left="740" w:right="20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sensitive and privacy-driven nature of our products and solutions, we could face liability and legal or regulatory proceedings, which could be costly and time-consuming to defend and may not be fully covered by insurance.</w:t>
      </w:r>
    </w:p>
    <w:p>
      <w:pPr>
        <w:spacing w:after="0" w:line="53" w:lineRule="exact"/>
        <w:rPr>
          <w:rFonts w:ascii="Times New Roman" w:cs="Times New Roman" w:eastAsia="Times New Roman" w:hAnsi="Times New Roman"/>
          <w:sz w:val="18"/>
          <w:szCs w:val="18"/>
          <w:color w:val="auto"/>
        </w:rPr>
      </w:pPr>
    </w:p>
    <w:p>
      <w:pPr>
        <w:ind w:left="740" w:right="56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brand, and reputation may be harmed as a result of security breaches, cyber-attacks, employee or other internal misconduct, computer viruses, or the mishandling of personal data.</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exposes us to a number of risks.</w:t>
      </w:r>
    </w:p>
    <w:p>
      <w:pPr>
        <w:spacing w:after="0" w:line="117" w:lineRule="exact"/>
        <w:rPr>
          <w:rFonts w:ascii="Times New Roman" w:cs="Times New Roman" w:eastAsia="Times New Roman" w:hAnsi="Times New Roman"/>
          <w:sz w:val="18"/>
          <w:szCs w:val="18"/>
          <w:color w:val="auto"/>
        </w:rPr>
      </w:pPr>
    </w:p>
    <w:p>
      <w:pPr>
        <w:ind w:left="740" w:right="44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errors, failures, or bugs in our products could adversely affect our business, results of operations, financial condition, and growth prospects.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complete our acquisition of Sterling Check Corp. may adversely affect our business and our stock price.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benefits expected from the Acquisition (as defined below) could adversely affect the value of our common stock.</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attractive acquisition targets and strategic partnerships or successfully complete such transactions.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stock repurchase program will be fully implemented or that it will enhance long-term stockholder value.</w:t>
      </w:r>
    </w:p>
    <w:p>
      <w:pPr>
        <w:spacing w:after="0" w:line="117" w:lineRule="exact"/>
        <w:rPr>
          <w:rFonts w:ascii="Times New Roman" w:cs="Times New Roman" w:eastAsia="Times New Roman" w:hAnsi="Times New Roman"/>
          <w:sz w:val="18"/>
          <w:szCs w:val="18"/>
          <w:color w:val="auto"/>
        </w:rPr>
      </w:pPr>
    </w:p>
    <w:p>
      <w:pPr>
        <w:ind w:left="740" w:right="30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anti-corruption, economic and trade sanctions, and anti-money laundering laws and regulations could have an adverse effect on our business.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our Global Operating Center and other operational sites could adversely impact our business.</w:t>
      </w:r>
    </w:p>
    <w:p>
      <w:pPr>
        <w:spacing w:after="0" w:line="117" w:lineRule="exact"/>
        <w:rPr>
          <w:rFonts w:ascii="Times New Roman" w:cs="Times New Roman" w:eastAsia="Times New Roman" w:hAnsi="Times New Roman"/>
          <w:sz w:val="18"/>
          <w:szCs w:val="18"/>
          <w:color w:val="auto"/>
        </w:rPr>
      </w:pPr>
    </w:p>
    <w:p>
      <w:pPr>
        <w:ind w:left="74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guaranteed exclusivity or volumes in our contracts with our customers and our customers may experience major business changes that impact our current or future revenue streams.</w:t>
      </w:r>
    </w:p>
    <w:p>
      <w:pPr>
        <w:spacing w:after="0" w:line="53" w:lineRule="exact"/>
        <w:rPr>
          <w:rFonts w:ascii="Times New Roman" w:cs="Times New Roman" w:eastAsia="Times New Roman" w:hAnsi="Times New Roman"/>
          <w:sz w:val="18"/>
          <w:szCs w:val="18"/>
          <w:color w:val="auto"/>
        </w:rPr>
      </w:pPr>
    </w:p>
    <w:p>
      <w:pPr>
        <w:ind w:left="740" w:right="6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with our technology and network infrastructure, including our data centers, servers, and third-party cloud and internet providers, and our migration to the cloud, could have an adverse impact on our business.</w:t>
      </w:r>
    </w:p>
    <w:p>
      <w:pPr>
        <w:spacing w:after="0" w:line="53" w:lineRule="exact"/>
        <w:rPr>
          <w:rFonts w:ascii="Times New Roman" w:cs="Times New Roman" w:eastAsia="Times New Roman" w:hAnsi="Times New Roman"/>
          <w:sz w:val="18"/>
          <w:szCs w:val="18"/>
          <w:color w:val="auto"/>
        </w:rPr>
      </w:pPr>
    </w:p>
    <w:p>
      <w:pPr>
        <w:ind w:left="740" w:right="14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continue to integrate our platforms and solutions with that of human resource software providers or if our relationships with human resource software providers deteriorate, our business could be adversely affected.</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relating to public opinion, which may be magnified by incidents or adverse publicity concerning our industry or</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 w:name="page5"/>
    <w:bookmarkEnd w:id="4"/>
    <w:p>
      <w:pPr>
        <w:ind w:left="740" w:right="20" w:hanging="223"/>
        <w:spacing w:after="0" w:line="312"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spacing w:after="0" w:line="31" w:lineRule="exact"/>
        <w:rPr>
          <w:rFonts w:ascii="Times New Roman" w:cs="Times New Roman" w:eastAsia="Times New Roman" w:hAnsi="Times New Roman"/>
          <w:sz w:val="17"/>
          <w:szCs w:val="17"/>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success depends in large part on the service of our key executives and our ability to find and retain qualified employees.</w:t>
      </w:r>
    </w:p>
    <w:p>
      <w:pPr>
        <w:spacing w:after="0" w:line="117" w:lineRule="exact"/>
        <w:rPr>
          <w:rFonts w:ascii="Times New Roman" w:cs="Times New Roman" w:eastAsia="Times New Roman" w:hAnsi="Times New Roman"/>
          <w:sz w:val="18"/>
          <w:szCs w:val="18"/>
          <w:color w:val="auto"/>
        </w:rPr>
      </w:pPr>
    </w:p>
    <w:p>
      <w:pPr>
        <w:ind w:left="740" w:right="20" w:hanging="223"/>
        <w:spacing w:after="0" w:line="26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spacing w:after="0" w:line="6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protect and enforce the confidentiality of our trade secrets, our business and competitive position would be harmed.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open-source software in our applications may expose us to additional risks and harm our intellectual property rights.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may cause our operating results to fluctuate from quarter to quarter.</w:t>
      </w:r>
    </w:p>
    <w:p>
      <w:pPr>
        <w:spacing w:after="0" w:line="117" w:lineRule="exact"/>
        <w:rPr>
          <w:rFonts w:ascii="Times New Roman" w:cs="Times New Roman" w:eastAsia="Times New Roman" w:hAnsi="Times New Roman"/>
          <w:sz w:val="18"/>
          <w:szCs w:val="18"/>
          <w:color w:val="auto"/>
        </w:rPr>
      </w:pPr>
    </w:p>
    <w:p>
      <w:pPr>
        <w:ind w:left="740" w:right="36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Lake controls us and its interests may conflict with yours in the future.</w:t>
      </w:r>
    </w:p>
    <w:p>
      <w:pPr>
        <w:spacing w:after="0" w:line="117" w:lineRule="exact"/>
        <w:rPr>
          <w:rFonts w:ascii="Times New Roman" w:cs="Times New Roman" w:eastAsia="Times New Roman" w:hAnsi="Times New Roman"/>
          <w:sz w:val="18"/>
          <w:szCs w:val="18"/>
          <w:color w:val="auto"/>
        </w:rPr>
      </w:pPr>
    </w:p>
    <w:p>
      <w:pPr>
        <w:ind w:left="740" w:right="22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tax laws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740" w:right="56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cycles can be lengthy and variable, depend upon factors outside our control, and could cause us unexpected delays in generating revenues or result in lower than anticipated revenues.</w:t>
      </w:r>
    </w:p>
    <w:p>
      <w:pPr>
        <w:spacing w:after="0" w:line="53" w:lineRule="exact"/>
        <w:rPr>
          <w:rFonts w:ascii="Times New Roman" w:cs="Times New Roman" w:eastAsia="Times New Roman" w:hAnsi="Times New Roman"/>
          <w:sz w:val="18"/>
          <w:szCs w:val="18"/>
          <w:color w:val="auto"/>
        </w:rPr>
      </w:pPr>
    </w:p>
    <w:p>
      <w:pPr>
        <w:ind w:left="740" w:right="24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ability to raise additional capital to fund our operations, limit our ability to react to changes in the economy or our industry, and prevent us from meeting our obligations.</w:t>
      </w:r>
    </w:p>
    <w:p>
      <w:pPr>
        <w:spacing w:after="0" w:line="53" w:lineRule="exact"/>
        <w:rPr>
          <w:rFonts w:ascii="Times New Roman" w:cs="Times New Roman" w:eastAsia="Times New Roman" w:hAnsi="Times New Roman"/>
          <w:sz w:val="18"/>
          <w:szCs w:val="18"/>
          <w:color w:val="auto"/>
        </w:rPr>
      </w:pPr>
    </w:p>
    <w:p>
      <w:pPr>
        <w:ind w:left="740" w:right="100" w:hanging="223"/>
        <w:spacing w:after="0" w:line="312"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31" w:lineRule="exact"/>
        <w:rPr>
          <w:rFonts w:ascii="Times New Roman" w:cs="Times New Roman" w:eastAsia="Times New Roman" w:hAnsi="Times New Roman"/>
          <w:sz w:val="17"/>
          <w:szCs w:val="17"/>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instruments restrict our current and future operations, particularly our ability to respond to changes or take certain actions.</w:t>
      </w:r>
    </w:p>
    <w:p>
      <w:pPr>
        <w:spacing w:after="0" w:line="117" w:lineRule="exact"/>
        <w:rPr>
          <w:rFonts w:ascii="Times New Roman" w:cs="Times New Roman" w:eastAsia="Times New Roman" w:hAnsi="Times New Roman"/>
          <w:sz w:val="18"/>
          <w:szCs w:val="18"/>
          <w:color w:val="auto"/>
        </w:rPr>
      </w:pPr>
    </w:p>
    <w:p>
      <w:pPr>
        <w:ind w:left="74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Advantage Corporation is a holding company with no operations of its own and, as such, it depends on its subsidiaries for cash to fund all of its operations and expenses, including future dividend payments,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Tradenames</w:t>
      </w:r>
    </w:p>
    <w:p>
      <w:pPr>
        <w:spacing w:after="0" w:line="17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We own a number of registered and common law trademarks and pending applications for trademark registrations in the United States and other countries, including, for example: First Advantage, Profile Advantage, Enterprise Advantage, Insight Advantage, Verified!, HEAL, RoadReady, and Corporate Screening, among others. Unless otherwise indicated, all trademarks, tradenames, and service marks appearing in this Annual Report are proprietary to us, our affiliates, and/or licensors. This Annual Report also contains trademarks, tradenames, and service marks of other companies, which are the property of their respective owners. Solely for convenience, the trademarks, tradenames, and service marks referred to in this Annual Report may appear without the ® and </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First Advantage is a leading provider of employment background screening, identity, and verification solutions. We deliver innovative services and insights that help our customers manage risk and hire the best talent. Enabled by our proprietary technology, we help companies protect their brands and provide safer environments for their customers and their most important resources: employees, contractors, contingent workers, tenants, and drivers.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manage one of the earliest and most important interactions between an applicant and our customer. Most applicants view their screening experience as a reflection of the hiring organization and its onboarding process. 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In 2023, we performed approximately 100 million screens on behalf of more than 30,000 customers spanning the globe and all major industry verticals. We often have multiple stakeholders within our customers, including Executive Management, Human Resources, Talent Acquisition, Compliance, Risk, Legal, Safety, and Vendor Management, who rely on our products and solutions.</w:t>
      </w:r>
    </w:p>
    <w:p>
      <w:pPr>
        <w:spacing w:after="0" w:line="1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seek to grow market share by focusing on high volume hiring industries and companies, increasing our share with existing customers, upselling and cross-selling new products and solutions, and winning new customers.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verticalized go-to-market strategy delivers highly relevant solutions for targeted industry sectors. This approach enables us to build a diversified customer portfolio and effectively serve many of the largest, most sophisticated, and fastest-growing companies in the world. We have built a powerful and efficient customer-centric sales model fueled by frequent engagement with our customers and deep subject matter expertise in industry-specific compliance and regulatory requirements, which allows us to create tailored solutions and drive consistent upsell and cross-sell opportunities. Our sales engine is powered by dedicated Sales and Solutions Engineering professionals working alongside Customer Success team members who have successfully maintained high customer satisfaction, retention, and growth, as evidenced by our industry-leading net promoter score (“NPS”), average 12-year tenure of our top 100 customers, and gross retention rate of approximately 97% as of December 31, 2023. Our go-to-market strategy continues to drive particular strength with Enterprise customers in sectors with attractive secular trends such as e-commerce, retail, transportation, warehousing, healthcare, and staffing.</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designed our technology to be highly configurable, scalable, and extensible. Our platform is embedded in our customers’ core enterprise workflows and interfaces with more than 75 third-party Human Capital Management (“HCM”) software platforms, including Applicant Tracking Systems (“ATS”), providing us with real-time visibility and input into our customers’ human resources processes. We leverage our proprietary internal databases— which include over 765 million criminal, education, and work history observations as of December 31, 2023—and an extensive and highly curated network of more than 3,900 automated and/or integrated third-party data providers and robotic process automation (“RPA”) bots. Third-party data providers include federal, state, and local government entities; court runners; drug and health testing labs and collection sites; credit bureaus; and education and work history data providers. Our platform efficiently and intelligently integrates data from these proprietary internal databases as well as external data sources using automation, APIs, and machine learning. Our investments in RPA further enables rapid turnaround times. For example, in 2023 alone, approximately 90% of our criminal searches in the United States were completed within one day. Our platform prioritizes data privacy and compliance and is powered by robust compliance functionality. This enables us to address each customer’s unique requirements in an efficient and automated manner while also ensuring compliance with complex data usage guidelines and regulatory requirements across global jurisdictions and industry-specific regulatory frameworks.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focus on innovative products and technologies has been critical to our growth. Using agile software development methodologies, we have consistently enhanced existing products and been early to market with new and innovative products, including offerings for biometrics and identity, continuous criminal monitoring, extended workforce screening, and instant oral drug testing. In addition, we continue to expand our proprietary internal databases that extend our competitive advantage, enhance turnaround times for customers, and offer potential future monetization upside opportunities. Our hundreds of millions of criminal, education, and work history records in our proprietary internal databases, amassed and curated over many years, accelerate screening turnaround times and reduce costs by using internal data sources before accessing third-party data sources or performing a manual verification.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Pending Acquisition of Sterling Check Corp.</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 The Merger Agreement provides that, upon the terms and subject to the conditions set forth therein, Merger Sub will be merged with and into Sterling, with Sterling continuing as the surviving corporation in such merger and becoming an indirect, wholly owned subsidiary of First Advantage. The cash-and-stock transaction (the “Acquisition”) values Sterling at approximately $2.2 billion.</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First Advantage Holdings, LLC, a subsidiary of the Company (the “Borrower”), entered into a commitment letter with certain financial institutions that committed to provide, subject to the terms and conditions of the commitment letter, an incremental term loan in an aggregate principal amount of $1.820 billion and incremental revolving commitments in an aggregate principal amount of $150 million, in each case, under the Borrower’s existing credit agreement. Such financial institutions also agreed to extend the maturity date of the Borrower’s revolving credit facility from July 31, 2026 to the date that is the fifth anniversary of the closing date of the Acquisition.</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Acquisition is subject to satisfaction or waiver of customary closing conditions, including, among others, adoption of the Merger Agreement by Sterling stockholders, the expiration or termination of the waiting period under the Hart-Scott-Rodino Antitrust Improvement Act of 1976 (the “HSR Act”) and clearance under the antitrust or foreign direct investment laws of certain other jurisdictions, and the effectiveness of a registration statement on Form S-4 to be filed by First Advantage in connection with the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importance of human capital and its associated risks to brand, reputation, safety, and compliance are ever-increasing in today’s interconnected, fast-paced world. Along with broader environmental, social, and governance (“ESG”) considerations, these issues increasingly have become priorities at the highest executive and oversight levels of our customers worldwide. Key constituents, including C-Suite executives, boards of directors, external auditors, business owners, property managers, educators, volunteer organizations, and franchisors all face a heightened level of public scrutiny and accountability. Significant technological and societal trends include fraud and cyber-attacks; sexual harassment and workplace violence; and the prevalence of social media impacting companies’ brands. These have driven a significant increase in the need for screening, verifications, and ongoing monitoring. Our products and solutions are critical tools that companies depend on to provide safer environments for their customers and workers, maintain regulatory compliance, and protect their property, reputation, and brands.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several key trends are generating significant growth opportunities in our markets and increasing demand for our products and solutions:</w:t>
      </w:r>
    </w:p>
    <w:p>
      <w:pPr>
        <w:spacing w:after="0" w:line="167" w:lineRule="exact"/>
        <w:rPr>
          <w:sz w:val="20"/>
          <w:szCs w:val="20"/>
          <w:color w:val="auto"/>
        </w:rPr>
      </w:pPr>
    </w:p>
    <w:p>
      <w:pPr>
        <w:ind w:left="740" w:hanging="223"/>
        <w:spacing w:after="0" w:line="25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Workforce Mobility and Job Turnover: </w:t>
      </w:r>
      <w:r>
        <w:rPr>
          <w:rFonts w:ascii="Times New Roman" w:cs="Times New Roman" w:eastAsia="Times New Roman" w:hAnsi="Times New Roman"/>
          <w:sz w:val="18"/>
          <w:szCs w:val="18"/>
          <w:color w:val="auto"/>
        </w:rPr>
        <w:t>Millennials and Gen-Z represent a large, growing portion of the U.S. workforce and are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likely to change jobs than other generations in pursuit of earning higher wages, faster career development, and better workplace culture fit. Over the last few years, many companies have moved to a remote or hybrid work environment, reducing the barriers to job entry. Additionally, during this time period, the economy has experienced an economic trend in which more employees are voluntarily resigning from their jobs and applying for new jobs, leading to more frequent job switching and an increase in employee churn. We expect these trends to continue. In addition, as the economy evolves and resource needs differ significantly by sector, geography, and skill set, this is driving dynamism in the hiring environment.</w:t>
      </w:r>
    </w:p>
    <w:p>
      <w:pPr>
        <w:spacing w:after="0" w:line="74" w:lineRule="exact"/>
        <w:rPr>
          <w:rFonts w:ascii="Times New Roman" w:cs="Times New Roman" w:eastAsia="Times New Roman" w:hAnsi="Times New Roman"/>
          <w:sz w:val="18"/>
          <w:szCs w:val="18"/>
          <w:color w:val="auto"/>
        </w:rPr>
      </w:pPr>
    </w:p>
    <w:p>
      <w:pPr>
        <w:ind w:left="740" w:right="80" w:hanging="223"/>
        <w:spacing w:after="0" w:line="257"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Use of Contingent and Flexible Workforces: </w:t>
      </w:r>
      <w:r>
        <w:rPr>
          <w:rFonts w:ascii="Times New Roman" w:cs="Times New Roman" w:eastAsia="Times New Roman" w:hAnsi="Times New Roman"/>
          <w:sz w:val="18"/>
          <w:szCs w:val="18"/>
          <w:color w:val="auto"/>
        </w:rPr>
        <w:t>Contingent workers including freelancers, independent contractors, consultants,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outsourced and non-permanent workers, comprise a significant portion of the U.S. workforce as corporations continue to increase their use of a flexible workforce. Companies continue to face greater demand for employees than available talent, leading companies to increase their use of this contingent workforce. When independent contractors, external consultants, and temporary workers have access to sensitive information, company facilities, or directly interact with customers, it is important for companies to screen, verify, and monitor such flexible workforce personnel diligently.</w:t>
      </w:r>
    </w:p>
    <w:p>
      <w:pPr>
        <w:spacing w:after="0" w:line="74" w:lineRule="exact"/>
        <w:rPr>
          <w:rFonts w:ascii="Times New Roman" w:cs="Times New Roman" w:eastAsia="Times New Roman" w:hAnsi="Times New Roman"/>
          <w:sz w:val="18"/>
          <w:szCs w:val="18"/>
          <w:color w:val="auto"/>
        </w:rPr>
      </w:pPr>
    </w:p>
    <w:p>
      <w:pPr>
        <w:jc w:val="both"/>
        <w:ind w:left="740" w:right="280" w:hanging="223"/>
        <w:spacing w:after="0" w:line="274"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C-Suite Focus on Safety and Reputational Risks: </w:t>
      </w:r>
      <w:r>
        <w:rPr>
          <w:rFonts w:ascii="Times New Roman" w:cs="Times New Roman" w:eastAsia="Times New Roman" w:hAnsi="Times New Roman"/>
          <w:sz w:val="17"/>
          <w:szCs w:val="17"/>
          <w:color w:val="auto"/>
        </w:rPr>
        <w:t>Screening, verifications, and compliance are mission-critical and are becoming boardroom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priorities for many companies due to the brand risks and potential legal liability of hiring high-risk workers. A number of high-profile human capital-related issues have led to significant brand damage, diversion of management attention, litigation, and negative news and social media</w:t>
      </w:r>
    </w:p>
    <w:p>
      <w:pPr>
        <w:spacing w:after="0" w:line="1" w:lineRule="exact"/>
        <w:rPr>
          <w:sz w:val="20"/>
          <w:szCs w:val="20"/>
          <w:color w:val="auto"/>
        </w:rPr>
      </w:pPr>
    </w:p>
    <w:p>
      <w:pPr>
        <w:ind w:left="740" w:right="20"/>
        <w:spacing w:after="0" w:line="250" w:lineRule="auto"/>
        <w:rPr>
          <w:sz w:val="20"/>
          <w:szCs w:val="20"/>
          <w:color w:val="auto"/>
        </w:rPr>
      </w:pPr>
      <w:r>
        <w:rPr>
          <w:rFonts w:ascii="Times New Roman" w:cs="Times New Roman" w:eastAsia="Times New Roman" w:hAnsi="Times New Roman"/>
          <w:sz w:val="18"/>
          <w:szCs w:val="18"/>
          <w:color w:val="auto"/>
        </w:rPr>
        <w:t>coverage for enterprises in recent years. These events reinforced the importance of our products and solutions. Companies are increasingly focusing on products and solutions that help manage their potential risks and improve safety. By directly enhancing workplace safety and helping companies manage risk, we help address important social factors affecting our customers.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223" w:right="60" w:hanging="223"/>
        <w:spacing w:after="0" w:line="254" w:lineRule="auto"/>
        <w:tabs>
          <w:tab w:leader="none" w:pos="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Heightened Regulatory and Compliance Scrutiny: </w:t>
      </w:r>
      <w:r>
        <w:rPr>
          <w:rFonts w:ascii="Times New Roman" w:cs="Times New Roman" w:eastAsia="Times New Roman" w:hAnsi="Times New Roman"/>
          <w:sz w:val="18"/>
          <w:szCs w:val="18"/>
          <w:color w:val="auto"/>
        </w:rPr>
        <w:t>Businesses today are under intense scrutiny to comply with an ever-expanding and evolving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of global regulatory requirements that can vary by geography, industry vertical, and use case. Examples include the Foreign Corrupt Practices Act (“FCPA”), the United Kingdom Bribery Act, Fair Credit Reporting Act (“FCRA”), California Consumer Privacy Act (as amended by the California Privacy Rights Act of 2020, the “CCPA”), EU General Data Protection Regulation (“GDPR”), the United Kingdom General Data Protection Regulation (“U.K. GDPR”), and Illinois Biometric Information Privacy Act (“IBIPA”), in addition to other anti-corruption requirements with respect to anti-money laundering and politically exposed persons. These requirements are driving many companies to perform more extensive and exhaustive checks and to partner with screening providers that have the scale, scope, heightened compliance standards, and auditability that they require. Our products and solutions help strengthen companies’ corporate governance through bolstering their compliance and risk management practices.</w:t>
      </w:r>
    </w:p>
    <w:p>
      <w:pPr>
        <w:spacing w:after="0" w:line="80" w:lineRule="exact"/>
        <w:rPr>
          <w:rFonts w:ascii="Times New Roman" w:cs="Times New Roman" w:eastAsia="Times New Roman" w:hAnsi="Times New Roman"/>
          <w:sz w:val="18"/>
          <w:szCs w:val="18"/>
          <w:color w:val="auto"/>
        </w:rPr>
      </w:pPr>
    </w:p>
    <w:p>
      <w:pPr>
        <w:ind w:left="223" w:right="20" w:hanging="223"/>
        <w:spacing w:after="0" w:line="259" w:lineRule="auto"/>
        <w:tabs>
          <w:tab w:leader="none" w:pos="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Background screening penetration remains low in many international geographies, with a large portion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screens conducted by unsophisticated, local providers. Multinational companies are increasingly focused on systematizing and elevating their human resources policies, screening procedures, and providers globally, driving greater demand and a shift towards technology-driven, high-quality, compliant, and global screening providers. In addition, many international-based companies are initiating screening programs for the first time and are seeking reliable, compliant, and high-quality providers.</w:t>
      </w:r>
    </w:p>
    <w:p>
      <w:pPr>
        <w:spacing w:after="0" w:line="71" w:lineRule="exact"/>
        <w:rPr>
          <w:rFonts w:ascii="Times New Roman" w:cs="Times New Roman" w:eastAsia="Times New Roman" w:hAnsi="Times New Roman"/>
          <w:sz w:val="18"/>
          <w:szCs w:val="18"/>
          <w:color w:val="auto"/>
        </w:rPr>
      </w:pPr>
    </w:p>
    <w:p>
      <w:pPr>
        <w:ind w:left="223" w:right="240" w:hanging="223"/>
        <w:spacing w:after="0" w:line="268" w:lineRule="auto"/>
        <w:tabs>
          <w:tab w:leader="none" w:pos="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Growth in Post-Onboarding Monitoring: </w:t>
      </w:r>
      <w:r>
        <w:rPr>
          <w:rFonts w:ascii="Times New Roman" w:cs="Times New Roman" w:eastAsia="Times New Roman" w:hAnsi="Times New Roman"/>
          <w:sz w:val="18"/>
          <w:szCs w:val="18"/>
          <w:color w:val="auto"/>
        </w:rPr>
        <w:t>Companies are increasingly expanding their screening programs beyond a “one-and-done” pre-onboarding measure, which has historically been the norm in markets like the U.S. and U.K. We have invested in and continue to innovate our post-onboarding products and solutions and believe we are well-positioned to capture share in this growing market.</w:t>
      </w:r>
    </w:p>
    <w:p>
      <w:pPr>
        <w:spacing w:after="0" w:line="62" w:lineRule="exact"/>
        <w:rPr>
          <w:rFonts w:ascii="Times New Roman" w:cs="Times New Roman" w:eastAsia="Times New Roman" w:hAnsi="Times New Roman"/>
          <w:sz w:val="18"/>
          <w:szCs w:val="18"/>
          <w:color w:val="auto"/>
        </w:rPr>
      </w:pPr>
    </w:p>
    <w:p>
      <w:pPr>
        <w:ind w:left="223" w:right="100" w:hanging="223"/>
        <w:spacing w:after="0" w:line="262" w:lineRule="auto"/>
        <w:tabs>
          <w:tab w:leader="none" w:pos="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 in Enterprise Software: </w:t>
      </w:r>
      <w:r>
        <w:rPr>
          <w:rFonts w:ascii="Times New Roman" w:cs="Times New Roman" w:eastAsia="Times New Roman" w:hAnsi="Times New Roman"/>
          <w:sz w:val="18"/>
          <w:szCs w:val="18"/>
          <w:color w:val="auto"/>
        </w:rPr>
        <w:t>Companies are increasingly investing in enterprise software to manage their businesses, including next-generation software-as-a-service solutions for HCM. As companies implement these systems, we believe there will be an increase in demand for screening, verification, and compliance solutions that can interface with these systems in an automated fashion to provide a seamless applicant and user experience and insights based on data analytics which we are able to provide through our product suite.</w:t>
      </w:r>
    </w:p>
    <w:p>
      <w:pPr>
        <w:spacing w:after="0" w:line="68" w:lineRule="exact"/>
        <w:rPr>
          <w:rFonts w:ascii="Times New Roman" w:cs="Times New Roman" w:eastAsia="Times New Roman" w:hAnsi="Times New Roman"/>
          <w:sz w:val="18"/>
          <w:szCs w:val="18"/>
          <w:color w:val="auto"/>
        </w:rPr>
      </w:pPr>
    </w:p>
    <w:p>
      <w:pPr>
        <w:ind w:left="223" w:right="40" w:hanging="223"/>
        <w:spacing w:after="0" w:line="278" w:lineRule="auto"/>
        <w:tabs>
          <w:tab w:leader="none" w:pos="22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Proliferation of Relevant Data Sources: </w:t>
      </w:r>
      <w:r>
        <w:rPr>
          <w:rFonts w:ascii="Times New Roman" w:cs="Times New Roman" w:eastAsia="Times New Roman" w:hAnsi="Times New Roman"/>
          <w:sz w:val="17"/>
          <w:szCs w:val="17"/>
          <w:color w:val="auto"/>
        </w:rPr>
        <w:t>U.S. government agencies, third-party vendors, and professional organizations are increasingly tracking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improving the quality and digitization of data in areas such as criminal, education, income history, healthcare credentials, and motor vehicle records (“MVRs”). In many other countries with limited quality and availability of reliable data, the collection and organization of higher quality datasets has been increasing. This increasing availability of data is driving customers to rely on large-scale, sophisticated providers that can efficiently access and create insights from data sourced, aggregated, and integrated from myriad disparate sources such as First Advantage.</w:t>
      </w:r>
    </w:p>
    <w:p>
      <w:pPr>
        <w:spacing w:after="0" w:line="55" w:lineRule="exact"/>
        <w:rPr>
          <w:rFonts w:ascii="Times New Roman" w:cs="Times New Roman" w:eastAsia="Times New Roman" w:hAnsi="Times New Roman"/>
          <w:sz w:val="17"/>
          <w:szCs w:val="17"/>
          <w:color w:val="auto"/>
        </w:rPr>
      </w:pPr>
    </w:p>
    <w:p>
      <w:pPr>
        <w:ind w:left="223" w:hanging="223"/>
        <w:spacing w:after="0" w:line="262" w:lineRule="auto"/>
        <w:tabs>
          <w:tab w:leader="none" w:pos="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Advances in Analytics to Increase Value of Data: </w:t>
      </w:r>
      <w:r>
        <w:rPr>
          <w:rFonts w:ascii="Times New Roman" w:cs="Times New Roman" w:eastAsia="Times New Roman" w:hAnsi="Times New Roman"/>
          <w:sz w:val="18"/>
          <w:szCs w:val="18"/>
          <w:color w:val="auto"/>
        </w:rPr>
        <w:t>The increasing accessibility of robust datasets supplemented by machine learning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driving heightened focus on integrating screening insights and dashboards with human resources, compliance, and security workflows. Customers often lack internal resources to develop such analytical and visualization tools, increasing demand for providers like First Advantage that offer these cutting-edge integrated data analytics capabilities.</w:t>
      </w:r>
    </w:p>
    <w:p>
      <w:pPr>
        <w:spacing w:after="0" w:line="12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grow our business profitably by pursuing the following strategies:</w:t>
      </w:r>
    </w:p>
    <w:p>
      <w:pPr>
        <w:spacing w:after="0" w:line="167" w:lineRule="exact"/>
        <w:rPr>
          <w:sz w:val="20"/>
          <w:szCs w:val="20"/>
          <w:color w:val="auto"/>
        </w:rPr>
      </w:pPr>
    </w:p>
    <w:p>
      <w:pPr>
        <w:ind w:left="740" w:right="20" w:hanging="223"/>
        <w:spacing w:after="0" w:line="256"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Win New Customers</w:t>
      </w:r>
      <w:r>
        <w:rPr>
          <w:rFonts w:ascii="Times New Roman" w:cs="Times New Roman" w:eastAsia="Times New Roman" w:hAnsi="Times New Roman"/>
          <w:sz w:val="18"/>
          <w:szCs w:val="18"/>
          <w:color w:val="auto"/>
        </w:rPr>
        <w:t>. We are focused on winning new customers across industry verticals, particularly those high-volume,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velocity hirers, with attractive, long-term hiring outlooks such as e-commerce, essential retail, and transportation and home delivery, and sectors that are increasingly requiring deeper, more frequent checks with high compliance standards such as healthcare. We are also prioritizing new verticals that align with positive secular macroeconomic trends. We primarily focus on Enterprise customers, which we believe are well-positioned for durable, long-term growth, have complex and diverse global operations, and, as a result, have the highest demand for our products and solutions. We believe our innovative and differentiated solutions, high-performing Sales and Customer Success teams, operational excellence, and industry-leading reputation and brand will enable us to expand our customer base successfully.</w:t>
      </w:r>
    </w:p>
    <w:p>
      <w:pPr>
        <w:spacing w:after="0" w:line="74" w:lineRule="exact"/>
        <w:rPr>
          <w:rFonts w:ascii="Times New Roman" w:cs="Times New Roman" w:eastAsia="Times New Roman" w:hAnsi="Times New Roman"/>
          <w:sz w:val="18"/>
          <w:szCs w:val="18"/>
          <w:color w:val="auto"/>
        </w:rPr>
      </w:pPr>
    </w:p>
    <w:p>
      <w:pPr>
        <w:ind w:left="740" w:right="20" w:hanging="223"/>
        <w:spacing w:after="0" w:line="254"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Growth within Our Existing Customer Base through Upselling and Cross-selling. </w:t>
      </w:r>
      <w:r>
        <w:rPr>
          <w:rFonts w:ascii="Times New Roman" w:cs="Times New Roman" w:eastAsia="Times New Roman" w:hAnsi="Times New Roman"/>
          <w:sz w:val="18"/>
          <w:szCs w:val="18"/>
          <w:color w:val="auto"/>
        </w:rPr>
        <w:t>Our customers frequently begin their relationship with us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implementing a few core products and subsequently expanding their usage of our solutions platform over time to build a more comprehensive approach to screening and risk management. We drive upsell as customers extend our products and solutions to new divisions and geographies, perform more extensive screens, and purchase additional complementary pre- and post-onboarding products. We also cross-sell additional risk mitigation and compliance solutions such as hiring tax credits and fleet solutions. Our Sales and Customer Success teams frequently engage with our existing customers and identify areas where we can provide additional value and products. Our deeply entrenched, verticalized Customer Success teams work closely with our customers to develop robust and rigorous compliance and risk management programs within their organizations. We believe that our total revenue opportunity with current customers can substantially increase the size of our current revenue base when taking into account cross-selling and upselling opportunities. Revenues from cross-sell and upsell added approximately five, four, and four percentage points to our revenue growth rate in 2023, 2022, and 2021. We will continue to focus our sales and marketing efforts to increase product penetration within our existing customer base.</w:t>
      </w:r>
    </w:p>
    <w:p>
      <w:pPr>
        <w:spacing w:after="0" w:line="74" w:lineRule="exact"/>
        <w:rPr>
          <w:rFonts w:ascii="Times New Roman" w:cs="Times New Roman" w:eastAsia="Times New Roman" w:hAnsi="Times New Roman"/>
          <w:sz w:val="18"/>
          <w:szCs w:val="18"/>
          <w:color w:val="auto"/>
        </w:rPr>
      </w:pPr>
    </w:p>
    <w:p>
      <w:pPr>
        <w:ind w:left="740" w:right="20" w:hanging="223"/>
        <w:spacing w:after="0" w:line="26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Innovate Our Product Offerings</w:t>
      </w:r>
      <w:r>
        <w:rPr>
          <w:rFonts w:ascii="Times New Roman" w:cs="Times New Roman" w:eastAsia="Times New Roman" w:hAnsi="Times New Roman"/>
          <w:sz w:val="18"/>
          <w:szCs w:val="18"/>
          <w:color w:val="auto"/>
        </w:rPr>
        <w:t>. We plan to continue to expand our data solutions and adjacent product revenues. For example,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invest in criminal and verifications data products and identity services. In addition, we are developing innovative solutions, utilizing machine learning technologies, that align with our capabilities in areas such as biometric verification, fraud mitigation, and remote drug testing. We will continue to invest significantly in our technology to sustain and advance our product leadership.</w:t>
      </w:r>
    </w:p>
    <w:p>
      <w:pPr>
        <w:spacing w:after="0" w:line="68" w:lineRule="exact"/>
        <w:rPr>
          <w:rFonts w:ascii="Times New Roman" w:cs="Times New Roman" w:eastAsia="Times New Roman" w:hAnsi="Times New Roman"/>
          <w:sz w:val="18"/>
          <w:szCs w:val="18"/>
          <w:color w:val="auto"/>
        </w:rPr>
      </w:pPr>
    </w:p>
    <w:p>
      <w:pPr>
        <w:ind w:left="740" w:right="140" w:hanging="223"/>
        <w:spacing w:after="0" w:line="278" w:lineRule="auto"/>
        <w:tabs>
          <w:tab w:leader="none" w:pos="7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Grow Internationally. </w:t>
      </w:r>
      <w:r>
        <w:rPr>
          <w:rFonts w:ascii="Times New Roman" w:cs="Times New Roman" w:eastAsia="Times New Roman" w:hAnsi="Times New Roman"/>
          <w:sz w:val="17"/>
          <w:szCs w:val="17"/>
          <w:color w:val="auto"/>
        </w:rPr>
        <w:t>We believe we are well-positioned to continue to grow internationally. As multinational corporations increasingly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systematize and elevate their human resources policies and screening providers across the globe, while at the same time dealing with a growing set of local requirements, we believe we are uniquely positioned to address their global risk management and compliance requirements. The majority of Enterprise customers do not currently have a single, global provider but are actively evaluating opportunities to consolidate their screening programs. We will continue to invest internationally to win these expansion opportunities and drive broader industry adoption.</w:t>
      </w:r>
    </w:p>
    <w:p>
      <w:pPr>
        <w:spacing w:after="0" w:line="55" w:lineRule="exact"/>
        <w:rPr>
          <w:rFonts w:ascii="Times New Roman" w:cs="Times New Roman" w:eastAsia="Times New Roman" w:hAnsi="Times New Roman"/>
          <w:sz w:val="17"/>
          <w:szCs w:val="17"/>
          <w:color w:val="auto"/>
        </w:rPr>
      </w:pPr>
    </w:p>
    <w:p>
      <w:pPr>
        <w:ind w:left="740" w:hanging="223"/>
        <w:spacing w:after="0" w:line="270" w:lineRule="auto"/>
        <w:tabs>
          <w:tab w:leader="none" w:pos="7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Selectively Pursue Complementary Acquisitions and Strategic Partnerships. </w:t>
      </w:r>
      <w:r>
        <w:rPr>
          <w:rFonts w:ascii="Times New Roman" w:cs="Times New Roman" w:eastAsia="Times New Roman" w:hAnsi="Times New Roman"/>
          <w:sz w:val="17"/>
          <w:szCs w:val="17"/>
          <w:color w:val="auto"/>
        </w:rPr>
        <w:t>Our acquisition and partnership strategy centers on delivering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additional value to our customers through expanded product capabilities and industry or geographic expertise and scale. Over the last three years, we completed five acquisitions, each of which either strategically expanded First Advantage’s international presence or strengthened specific industry or product offerings. We expect our acquisition of Sterling, if and when completed, to diversify our revenue across customer segments, industries, and geographies, reducing seasonality and improving resource planning and operational efficiency. We intend to augment our organic</w:t>
      </w:r>
    </w:p>
    <w:p>
      <w:pPr>
        <w:spacing w:after="0" w:line="3" w:lineRule="exact"/>
        <w:rPr>
          <w:sz w:val="20"/>
          <w:szCs w:val="20"/>
          <w:color w:val="auto"/>
        </w:rPr>
      </w:pPr>
    </w:p>
    <w:p>
      <w:pPr>
        <w:ind w:left="740" w:right="260"/>
        <w:spacing w:after="0" w:line="250" w:lineRule="auto"/>
        <w:rPr>
          <w:sz w:val="20"/>
          <w:szCs w:val="20"/>
          <w:color w:val="auto"/>
        </w:rPr>
      </w:pPr>
      <w:r>
        <w:rPr>
          <w:rFonts w:ascii="Times New Roman" w:cs="Times New Roman" w:eastAsia="Times New Roman" w:hAnsi="Times New Roman"/>
          <w:sz w:val="18"/>
          <w:szCs w:val="18"/>
          <w:color w:val="auto"/>
        </w:rPr>
        <w:t>growth by continuing to take a disciplined approach in identifying and evaluating potential strategic acquisition, investment, and partnership opportunities that complement our market positions, enhance our product offerings, strengthen our technology and/or data capabilities, and/or allow us to enter new markets.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The First Advantage Product Suite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comprehensive product suite enables our customers across all industry sectors to perform pre-onboarding screening and post-onboarding monitoring of employees, contractors, contingent workers, tenants, and drivers. We generally classify our products and solutions into three categories: pre-onboarding, post-onboarding, and adjacent products, each of which is enabled by our technology, proprietary internal databases, and data analytics capabilities. Historically, we have derived a substantial majority of our revenues from pre-onboarding products and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Pre-Onboarding</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offer an extensive array of products and solutions that customers utilize to enhance their applicant evaluation process, ensure compliance from the time applicant information is initially requested and submitted to an applicant’s successful onboarding, and enhance workplace safety. Our technology is flexibly tailored to each customer’s requirements, which could include a wide array of search categories such as Social Security number verification, education and employment verification, federal criminal checks, statewide criminal checks, country criminal checks, sex offender registry, and global sanctions. Our pre-onboarding products include:</w:t>
      </w:r>
    </w:p>
    <w:p>
      <w:pPr>
        <w:spacing w:after="0" w:line="125" w:lineRule="exact"/>
        <w:rPr>
          <w:sz w:val="20"/>
          <w:szCs w:val="20"/>
          <w:color w:val="auto"/>
        </w:rPr>
      </w:pPr>
    </w:p>
    <w:p>
      <w:pPr>
        <w:ind w:left="740" w:right="300" w:hanging="223"/>
        <w:spacing w:after="0" w:line="28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Criminal background checks: </w:t>
      </w:r>
      <w:r>
        <w:rPr>
          <w:rFonts w:ascii="Times New Roman" w:cs="Times New Roman" w:eastAsia="Times New Roman" w:hAnsi="Times New Roman"/>
          <w:sz w:val="18"/>
          <w:szCs w:val="18"/>
          <w:color w:val="auto"/>
        </w:rPr>
        <w:t>Utilizes our proprietary National Criminal Records File database, along with court and other public records,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help identify relevant matching and reportable criminal record histories.</w:t>
      </w:r>
    </w:p>
    <w:p>
      <w:pPr>
        <w:spacing w:after="0" w:line="46" w:lineRule="exact"/>
        <w:rPr>
          <w:rFonts w:ascii="Times New Roman" w:cs="Times New Roman" w:eastAsia="Times New Roman" w:hAnsi="Times New Roman"/>
          <w:sz w:val="18"/>
          <w:szCs w:val="18"/>
          <w:color w:val="auto"/>
        </w:rPr>
      </w:pPr>
    </w:p>
    <w:p>
      <w:pPr>
        <w:ind w:left="740" w:right="280" w:hanging="223"/>
        <w:spacing w:after="0" w:line="28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Drug / Health screening: </w:t>
      </w:r>
      <w:r>
        <w:rPr>
          <w:rFonts w:ascii="Times New Roman" w:cs="Times New Roman" w:eastAsia="Times New Roman" w:hAnsi="Times New Roman"/>
          <w:sz w:val="18"/>
          <w:szCs w:val="18"/>
          <w:color w:val="auto"/>
        </w:rPr>
        <w:t>Offers various drug screening products, including saliva, urine, hair, and blood testing options, physical exams,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instant oral drug screening products performed by mouth swab collection.</w:t>
      </w:r>
    </w:p>
    <w:p>
      <w:pPr>
        <w:spacing w:after="0" w:line="46" w:lineRule="exact"/>
        <w:rPr>
          <w:rFonts w:ascii="Times New Roman" w:cs="Times New Roman" w:eastAsia="Times New Roman" w:hAnsi="Times New Roman"/>
          <w:sz w:val="18"/>
          <w:szCs w:val="18"/>
          <w:color w:val="auto"/>
        </w:rPr>
      </w:pPr>
    </w:p>
    <w:p>
      <w:pPr>
        <w:ind w:left="740" w:right="40" w:hanging="223"/>
        <w:spacing w:after="0" w:line="28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Extended workforce screening: </w:t>
      </w:r>
      <w:r>
        <w:rPr>
          <w:rFonts w:ascii="Times New Roman" w:cs="Times New Roman" w:eastAsia="Times New Roman" w:hAnsi="Times New Roman"/>
          <w:sz w:val="18"/>
          <w:szCs w:val="18"/>
          <w:color w:val="auto"/>
        </w:rPr>
        <w:t>Enables our customers to efficiently screen large numbers of contingent, contract, and temporary workers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search types.</w:t>
      </w:r>
    </w:p>
    <w:p>
      <w:pPr>
        <w:spacing w:after="0" w:line="46" w:lineRule="exact"/>
        <w:rPr>
          <w:rFonts w:ascii="Times New Roman" w:cs="Times New Roman" w:eastAsia="Times New Roman" w:hAnsi="Times New Roman"/>
          <w:sz w:val="18"/>
          <w:szCs w:val="18"/>
          <w:color w:val="auto"/>
        </w:rPr>
      </w:pPr>
    </w:p>
    <w:p>
      <w:pPr>
        <w:ind w:left="740" w:hanging="223"/>
        <w:spacing w:after="0" w:line="268"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FBI channeling: </w:t>
      </w:r>
      <w:r>
        <w:rPr>
          <w:rFonts w:ascii="Times New Roman" w:cs="Times New Roman" w:eastAsia="Times New Roman" w:hAnsi="Times New Roman"/>
          <w:sz w:val="18"/>
          <w:szCs w:val="18"/>
          <w:color w:val="auto"/>
        </w:rPr>
        <w:t>As an approved Federal Bureau of Investigation (“FBI”) channeler, handles submissions of fingerprints to the FBI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Criminal Records database and returns Criminal Record Information from the FBI to authorized recipients, including through a secure connection to the Financial Industry Regulatory Authority (“FINRA”), and the Nationwide Multi-state Licensing System (NMLS).</w:t>
      </w:r>
    </w:p>
    <w:p>
      <w:pPr>
        <w:spacing w:after="0" w:line="62" w:lineRule="exact"/>
        <w:rPr>
          <w:rFonts w:ascii="Times New Roman" w:cs="Times New Roman" w:eastAsia="Times New Roman" w:hAnsi="Times New Roman"/>
          <w:sz w:val="18"/>
          <w:szCs w:val="18"/>
          <w:color w:val="auto"/>
        </w:rPr>
      </w:pPr>
    </w:p>
    <w:p>
      <w:pPr>
        <w:ind w:left="740" w:right="480" w:hanging="223"/>
        <w:spacing w:after="0" w:line="28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Identity checks and biometric fraud mitigation tools: </w:t>
      </w:r>
      <w:r>
        <w:rPr>
          <w:rFonts w:ascii="Times New Roman" w:cs="Times New Roman" w:eastAsia="Times New Roman" w:hAnsi="Times New Roman"/>
          <w:sz w:val="18"/>
          <w:szCs w:val="18"/>
          <w:color w:val="auto"/>
        </w:rPr>
        <w:t>Includes government ID validation, liveness detection techniques, digital fingerprint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collection, and identity and fraud mitigation tools.</w:t>
      </w:r>
    </w:p>
    <w:p>
      <w:pPr>
        <w:spacing w:after="0" w:line="46" w:lineRule="exact"/>
        <w:rPr>
          <w:rFonts w:ascii="Times New Roman" w:cs="Times New Roman" w:eastAsia="Times New Roman" w:hAnsi="Times New Roman"/>
          <w:sz w:val="18"/>
          <w:szCs w:val="18"/>
          <w:color w:val="auto"/>
        </w:rPr>
      </w:pPr>
    </w:p>
    <w:p>
      <w:pPr>
        <w:ind w:left="740" w:right="420" w:hanging="223"/>
        <w:spacing w:after="0" w:line="28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Education / Work history verification: </w:t>
      </w:r>
      <w:r>
        <w:rPr>
          <w:rFonts w:ascii="Times New Roman" w:cs="Times New Roman" w:eastAsia="Times New Roman" w:hAnsi="Times New Roman"/>
          <w:sz w:val="18"/>
          <w:szCs w:val="18"/>
          <w:color w:val="auto"/>
        </w:rPr>
        <w:t>Verifies work history and education of applicants, leveraging our proprietary Verified! Database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SmartHub technology fueled by AI, internal fulfillment, or through relationships with other data providers.</w:t>
      </w:r>
    </w:p>
    <w:p>
      <w:pPr>
        <w:spacing w:after="0" w:line="46" w:lineRule="exact"/>
        <w:rPr>
          <w:rFonts w:ascii="Times New Roman" w:cs="Times New Roman" w:eastAsia="Times New Roman" w:hAnsi="Times New Roman"/>
          <w:sz w:val="18"/>
          <w:szCs w:val="18"/>
          <w:color w:val="auto"/>
        </w:rPr>
      </w:pPr>
    </w:p>
    <w:p>
      <w:pPr>
        <w:ind w:left="740" w:right="120" w:hanging="223"/>
        <w:spacing w:after="0" w:line="26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Driver records and compliance: </w:t>
      </w:r>
      <w:r>
        <w:rPr>
          <w:rFonts w:ascii="Times New Roman" w:cs="Times New Roman" w:eastAsia="Times New Roman" w:hAnsi="Times New Roman"/>
          <w:sz w:val="18"/>
          <w:szCs w:val="18"/>
          <w:color w:val="auto"/>
        </w:rPr>
        <w:t>Collection and storage of driver qualification files, as well as drug screening and background checks to assist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compliance with the requirements of the U.S. Department of Transportation (“DOT”), Federal Motor Carrier Safety Administration (“FMCSA”), Federal Aviation Administration (“FAA”), International Fuel Tax Agreement (“IFTA”), and other regulatory agencies across all 50 states and the District of Columbia.</w:t>
      </w:r>
    </w:p>
    <w:p>
      <w:pPr>
        <w:spacing w:after="0" w:line="68" w:lineRule="exact"/>
        <w:rPr>
          <w:rFonts w:ascii="Times New Roman" w:cs="Times New Roman" w:eastAsia="Times New Roman" w:hAnsi="Times New Roman"/>
          <w:sz w:val="18"/>
          <w:szCs w:val="18"/>
          <w:color w:val="auto"/>
        </w:rPr>
      </w:pPr>
    </w:p>
    <w:p>
      <w:pPr>
        <w:ind w:left="740" w:right="260" w:hanging="223"/>
        <w:spacing w:after="0" w:line="26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credentials: </w:t>
      </w:r>
      <w:r>
        <w:rPr>
          <w:rFonts w:ascii="Times New Roman" w:cs="Times New Roman" w:eastAsia="Times New Roman" w:hAnsi="Times New Roman"/>
          <w:sz w:val="18"/>
          <w:szCs w:val="18"/>
          <w:color w:val="auto"/>
        </w:rPr>
        <w:t>Through our extensive Healthcare Exclusions Actions and Licensures (“HEAL”) product, verifies and documents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educational background, training, experience, and other credentials of healthcare employees, contractors, volunteers, and vendors, including identifying exclusions and sanctions by medical boards, Medicaid and Medicare, the Office of Inspector General, and the General Services Administration.</w:t>
      </w:r>
    </w:p>
    <w:p>
      <w:pPr>
        <w:spacing w:after="0" w:line="68" w:lineRule="exact"/>
        <w:rPr>
          <w:rFonts w:ascii="Times New Roman" w:cs="Times New Roman" w:eastAsia="Times New Roman" w:hAnsi="Times New Roman"/>
          <w:sz w:val="18"/>
          <w:szCs w:val="18"/>
          <w:color w:val="auto"/>
        </w:rPr>
      </w:pPr>
    </w:p>
    <w:p>
      <w:pPr>
        <w:ind w:left="740" w:right="80" w:hanging="223"/>
        <w:spacing w:after="0" w:line="268"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Executive screening: </w:t>
      </w:r>
      <w:r>
        <w:rPr>
          <w:rFonts w:ascii="Times New Roman" w:cs="Times New Roman" w:eastAsia="Times New Roman" w:hAnsi="Times New Roman"/>
          <w:sz w:val="18"/>
          <w:szCs w:val="18"/>
          <w:color w:val="auto"/>
        </w:rPr>
        <w:t>Provides in-depth investigative reports to confirm various aspects of credentials not typically covered by most background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checks, such as civil litigation and bankruptcies, negative media searches, controversies and inconsistencies in business dealings, corporate and regulatory history, and potential conflicts of interest.</w:t>
      </w:r>
    </w:p>
    <w:p>
      <w:pPr>
        <w:spacing w:after="0" w:line="62"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Others: </w:t>
      </w:r>
      <w:r>
        <w:rPr>
          <w:rFonts w:ascii="Times New Roman" w:cs="Times New Roman" w:eastAsia="Times New Roman" w:hAnsi="Times New Roman"/>
          <w:sz w:val="18"/>
          <w:szCs w:val="18"/>
          <w:color w:val="auto"/>
        </w:rPr>
        <w:t>Includes screening products such as global sanctions, professional licenses and credentials verification, and social media checks.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Post-Onboarding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Companies face a heightened responsibility to ensure safety and comply with laws, regulations, and licensing requirements after the initial screening and onboarding of an applicant. To assist those needs, we provide our customers with continuous monitoring and re-screening solutions that are important tools to help keep their end customers, workforces, and other stakeholders safe, productive, and compliant. Continuous monitoring solutions allow customers to be proactively alerted as soon as relevant information, which may require immediate attention and action, becomes available. Our post-onboarding solutions include:</w:t>
      </w:r>
    </w:p>
    <w:p>
      <w:pPr>
        <w:spacing w:after="0" w:line="125" w:lineRule="exact"/>
        <w:rPr>
          <w:sz w:val="20"/>
          <w:szCs w:val="20"/>
          <w:color w:val="auto"/>
        </w:rPr>
      </w:pPr>
    </w:p>
    <w:p>
      <w:pPr>
        <w:ind w:left="740" w:right="380" w:hanging="223"/>
        <w:spacing w:after="0" w:line="28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Criminal records monitoring: </w:t>
      </w:r>
      <w:r>
        <w:rPr>
          <w:rFonts w:ascii="Times New Roman" w:cs="Times New Roman" w:eastAsia="Times New Roman" w:hAnsi="Times New Roman"/>
          <w:sz w:val="18"/>
          <w:szCs w:val="18"/>
          <w:color w:val="auto"/>
        </w:rPr>
        <w:t>Enables our customers to receive ongoing notification of any reportable criminal records of their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contractors, contingent workers, and drivers.</w:t>
      </w:r>
    </w:p>
    <w:p>
      <w:pPr>
        <w:spacing w:after="0" w:line="46" w:lineRule="exact"/>
        <w:rPr>
          <w:rFonts w:ascii="Times New Roman" w:cs="Times New Roman" w:eastAsia="Times New Roman" w:hAnsi="Times New Roman"/>
          <w:sz w:val="18"/>
          <w:szCs w:val="18"/>
          <w:color w:val="auto"/>
        </w:rPr>
      </w:pPr>
    </w:p>
    <w:p>
      <w:pPr>
        <w:ind w:left="740" w:right="340" w:hanging="223"/>
        <w:spacing w:after="0" w:line="28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I-9 verification: </w:t>
      </w:r>
      <w:r>
        <w:rPr>
          <w:rFonts w:ascii="Times New Roman" w:cs="Times New Roman" w:eastAsia="Times New Roman" w:hAnsi="Times New Roman"/>
          <w:sz w:val="18"/>
          <w:szCs w:val="18"/>
          <w:color w:val="auto"/>
        </w:rPr>
        <w:t>Enables our customers to simplify and manage the process of onboarding new hires by streamlining employment eligibility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verification through the convenience of digital workflows.</w:t>
      </w:r>
    </w:p>
    <w:p>
      <w:pPr>
        <w:spacing w:after="0" w:line="46" w:lineRule="exact"/>
        <w:rPr>
          <w:rFonts w:ascii="Times New Roman" w:cs="Times New Roman" w:eastAsia="Times New Roman" w:hAnsi="Times New Roman"/>
          <w:sz w:val="18"/>
          <w:szCs w:val="18"/>
          <w:color w:val="auto"/>
        </w:rPr>
      </w:pPr>
    </w:p>
    <w:p>
      <w:pPr>
        <w:ind w:left="740" w:right="140" w:hanging="223"/>
        <w:spacing w:after="0" w:line="268"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sanctions: </w:t>
      </w:r>
      <w:r>
        <w:rPr>
          <w:rFonts w:ascii="Times New Roman" w:cs="Times New Roman" w:eastAsia="Times New Roman" w:hAnsi="Times New Roman"/>
          <w:sz w:val="18"/>
          <w:szCs w:val="18"/>
          <w:color w:val="auto"/>
        </w:rPr>
        <w:t>Our HEAL product provides ongoing healthcare-related compliance monitoring, which helps our customers to comply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their obligations as employers of doctors, nurses, other employees, and vendors, verifying that they have valid licenses and no exclusions, sanctions, or board actions against them.</w:t>
      </w:r>
    </w:p>
    <w:p>
      <w:pPr>
        <w:spacing w:after="0" w:line="62" w:lineRule="exact"/>
        <w:rPr>
          <w:rFonts w:ascii="Times New Roman" w:cs="Times New Roman" w:eastAsia="Times New Roman" w:hAnsi="Times New Roman"/>
          <w:sz w:val="18"/>
          <w:szCs w:val="18"/>
          <w:color w:val="auto"/>
        </w:rPr>
      </w:pPr>
    </w:p>
    <w:p>
      <w:pPr>
        <w:ind w:left="740" w:right="320" w:hanging="223"/>
        <w:spacing w:after="0" w:line="28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Motor vehicle records: </w:t>
      </w:r>
      <w:r>
        <w:rPr>
          <w:rFonts w:ascii="Times New Roman" w:cs="Times New Roman" w:eastAsia="Times New Roman" w:hAnsi="Times New Roman"/>
          <w:sz w:val="18"/>
          <w:szCs w:val="18"/>
          <w:color w:val="auto"/>
        </w:rPr>
        <w:t>Provides customers with a streamlined process to establish an initial driver file and enroll drivers into the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monitoring program, which reports any new violations and driver records changes.</w:t>
      </w:r>
    </w:p>
    <w:p>
      <w:pPr>
        <w:spacing w:after="0" w:line="46" w:lineRule="exact"/>
        <w:rPr>
          <w:rFonts w:ascii="Times New Roman" w:cs="Times New Roman" w:eastAsia="Times New Roman" w:hAnsi="Times New Roman"/>
          <w:sz w:val="18"/>
          <w:szCs w:val="18"/>
          <w:color w:val="auto"/>
        </w:rPr>
      </w:pPr>
    </w:p>
    <w:p>
      <w:pPr>
        <w:ind w:left="740" w:right="80" w:hanging="223"/>
        <w:spacing w:after="0" w:line="28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sanctions and licenses: </w:t>
      </w:r>
      <w:r>
        <w:rPr>
          <w:rFonts w:ascii="Times New Roman" w:cs="Times New Roman" w:eastAsia="Times New Roman" w:hAnsi="Times New Roman"/>
          <w:sz w:val="18"/>
          <w:szCs w:val="18"/>
          <w:color w:val="auto"/>
        </w:rPr>
        <w:t>Continuously monitors more than 2,000 source lists and searches a broad range of individual watchlists and key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sanctions sources.</w:t>
      </w:r>
    </w:p>
    <w:p>
      <w:pPr>
        <w:spacing w:after="0" w:line="46"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media: </w:t>
      </w:r>
      <w:r>
        <w:rPr>
          <w:rFonts w:ascii="Times New Roman" w:cs="Times New Roman" w:eastAsia="Times New Roman" w:hAnsi="Times New Roman"/>
          <w:sz w:val="18"/>
          <w:szCs w:val="18"/>
          <w:color w:val="auto"/>
        </w:rPr>
        <w:t>Offers continuous social media screening tailored to a customers’ specific criteria.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Adjacent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adjacent products that complement our pre-onboarding and post-onboarding products and solutions:</w:t>
      </w:r>
    </w:p>
    <w:p>
      <w:pPr>
        <w:spacing w:after="0" w:line="167" w:lineRule="exact"/>
        <w:rPr>
          <w:sz w:val="20"/>
          <w:szCs w:val="20"/>
          <w:color w:val="auto"/>
        </w:rPr>
      </w:pPr>
    </w:p>
    <w:p>
      <w:pPr>
        <w:ind w:left="740" w:right="360" w:hanging="223"/>
        <w:spacing w:after="0" w:line="286"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Fleet / Vehicle compliance: </w:t>
      </w:r>
      <w:r>
        <w:rPr>
          <w:rFonts w:ascii="Times New Roman" w:cs="Times New Roman" w:eastAsia="Times New Roman" w:hAnsi="Times New Roman"/>
          <w:sz w:val="18"/>
          <w:szCs w:val="18"/>
          <w:color w:val="auto"/>
        </w:rPr>
        <w:t>Comprehensive solutions for fleet managers to support compliance with various state and federal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licenses, titles, registrations, and gas taxes.</w:t>
      </w:r>
    </w:p>
    <w:p>
      <w:pPr>
        <w:spacing w:after="0" w:line="46" w:lineRule="exact"/>
        <w:rPr>
          <w:rFonts w:ascii="Times New Roman" w:cs="Times New Roman" w:eastAsia="Times New Roman" w:hAnsi="Times New Roman"/>
          <w:sz w:val="18"/>
          <w:szCs w:val="18"/>
          <w:color w:val="auto"/>
        </w:rPr>
      </w:pPr>
    </w:p>
    <w:p>
      <w:pPr>
        <w:ind w:left="740" w:hanging="223"/>
        <w:spacing w:after="0" w:line="268"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Hiring tax credits and incentives: </w:t>
      </w:r>
      <w:r>
        <w:rPr>
          <w:rFonts w:ascii="Times New Roman" w:cs="Times New Roman" w:eastAsia="Times New Roman" w:hAnsi="Times New Roman"/>
          <w:sz w:val="18"/>
          <w:szCs w:val="18"/>
          <w:color w:val="auto"/>
        </w:rPr>
        <w:t>Identifies and processes U.S. employment tax credits and economic incentive programs, including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 Opportunity Tax Credit (“WOTC”) program and other federal, state, and local incentives. Uses data collected from applicants during their background screen to increase quality and efficiency.</w:t>
      </w:r>
    </w:p>
    <w:p>
      <w:pPr>
        <w:spacing w:after="0" w:line="62"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Resident / Tenant screening: </w:t>
      </w:r>
      <w:r>
        <w:rPr>
          <w:rFonts w:ascii="Times New Roman" w:cs="Times New Roman" w:eastAsia="Times New Roman" w:hAnsi="Times New Roman"/>
          <w:sz w:val="18"/>
          <w:szCs w:val="18"/>
          <w:color w:val="auto"/>
        </w:rPr>
        <w:t>Enables property managers, landlords, owners, and leasing agents to screen prospective tenants.</w:t>
      </w:r>
    </w:p>
    <w:p>
      <w:pPr>
        <w:spacing w:after="0" w:line="117" w:lineRule="exact"/>
        <w:rPr>
          <w:rFonts w:ascii="Times New Roman" w:cs="Times New Roman" w:eastAsia="Times New Roman" w:hAnsi="Times New Roman"/>
          <w:sz w:val="18"/>
          <w:szCs w:val="18"/>
          <w:color w:val="auto"/>
        </w:rPr>
      </w:pPr>
    </w:p>
    <w:p>
      <w:pPr>
        <w:ind w:left="740" w:hanging="223"/>
        <w:spacing w:after="0" w:line="286"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Investigative research: </w:t>
      </w:r>
      <w:r>
        <w:rPr>
          <w:rFonts w:ascii="Times New Roman" w:cs="Times New Roman" w:eastAsia="Times New Roman" w:hAnsi="Times New Roman"/>
          <w:sz w:val="18"/>
          <w:szCs w:val="18"/>
          <w:color w:val="auto"/>
        </w:rPr>
        <w:t>Provides in-depth investigative reports, similar to our Executive Screening products, used in performing due diligence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alternative investment managers and senior executives before a major investment commitment or M&amp;A transaction.</w:t>
      </w:r>
    </w:p>
    <w:p>
      <w:pPr>
        <w:spacing w:after="0" w:line="1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suite of products is available individually or through packaged solutions configured and tailored according to our customers’ needs. For example, through our RoadReady solution, we provide comprehensive driver and fleet solutions to assist with compliance and asset management. Our driver compliance products include pre-onboarding background checks, MVRs, drug tests, driver files, and post-onboarding monitoring. Our asset management products related to vehicle compliance include title management, registration, fuel and gas tax, permits, transponder management, and ongoing data analytics.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Analytics Through Insight Advantage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products described above, we provide customers with actionable, data-driven analytics and insights that help inform decisions related to human capital more generally, as well as optimize their screening programs. We deliver these insights and analytics through Insight Advantage. This powerful and dynamic tool enables customers to analyze their program’s performance and benchmark it against industry data, such as hiring volumes by geography, as well as evaluate their screening program against industry best practices. Our customers can also identify the scope of the pool of qualified applicants in a specified geography, which informs their decision as to whether to expand operations in such geography. In addition, our customers can dynamically adjust the stringency of their screening criteria to view and assess the expected impact on hire rates, turnaround times, and screening costs. Insight Advantage’s dashboard reports and real-time queries help customers quickly identify opportunities to remedy potential issues before they may impact their screening and onboarding process. We believe our ability to provide these data-driven insights, enabled by our sophisticated and differentiated technology, sets us apart from our competitors.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Differentiated Technology</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Background screening involves complex workflows, disparate internal and external data sources, and numerous integrations with third-party software providers. We believe our differentiated technology provides us with a strong competitive advantage. Our front-end technology, including our powerful UI/UX design, creates a superior applicant and customer experience, leveraging artificial intelligence (“AI”) and machine learning to optimize workflows and minimize applicant data capture errors and missing information. Our back-end technology and processing engine seamlessly integrate interactions with customer HCM platforms and other software, government, and third-party data sources, as well as internal Operations and Customer Care teams. We have been, and will continue to be, pioneers in using automation and intelligent routing technologies to optimize turnaround times, quality, and touchless end-to-end screening. Our compliance functionality governs all aspects of our technology and is designed to meet ever-changing global regulatory and compliance requirements.</w:t>
      </w:r>
    </w:p>
    <w:p>
      <w:pPr>
        <w:spacing w:after="0" w:line="1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customers and their applicants access our technology through intuitive, easy-to-use user interfaces – Profile Advantage, Enterprise Advantage, and Insight Advantage.</w:t>
      </w:r>
    </w:p>
    <w:p>
      <w:pPr>
        <w:spacing w:after="0" w:line="104" w:lineRule="exact"/>
        <w:rPr>
          <w:sz w:val="20"/>
          <w:szCs w:val="20"/>
          <w:color w:val="auto"/>
        </w:rPr>
      </w:pPr>
    </w:p>
    <w:p>
      <w:pPr>
        <w:ind w:left="740" w:hanging="223"/>
        <w:spacing w:after="0" w:line="255"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Profile Advantage: </w:t>
      </w:r>
      <w:r>
        <w:rPr>
          <w:rFonts w:ascii="Times New Roman" w:cs="Times New Roman" w:eastAsia="Times New Roman" w:hAnsi="Times New Roman"/>
          <w:sz w:val="18"/>
          <w:szCs w:val="18"/>
          <w:color w:val="auto"/>
        </w:rPr>
        <w:t>Our applicant-facing technology, available in 19 languages, offers intuitive design with chatbot and AI support, liveness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detection techniques, and ID verification for a streamlined applicant experience. Profile Advantage provides a modern, easy-to-use experience, which is critical to accelerating time to hire. It is often the first and one of the most important early interactions between an applicant and our customers. Profile Advantage can be accessed through a computer, tablet, or mobile device and is built for Web Content Accessibility Guidelines (“WCAG”) 2.1 to be easily accessed by everyone. We believe that applicants view this experience as an important reflection of the customer. As such, customers can extend their branding to Profile Advantage to help improve applicant engagement. With its embedded AI, machine learning, and powerful features such as auto-fill, Profile Advantage drives significant time savings for both applicants and customers and enables fast time-to-hire.</w:t>
      </w:r>
    </w:p>
    <w:p>
      <w:pPr>
        <w:spacing w:after="0" w:line="76" w:lineRule="exact"/>
        <w:rPr>
          <w:rFonts w:ascii="Times New Roman" w:cs="Times New Roman" w:eastAsia="Times New Roman" w:hAnsi="Times New Roman"/>
          <w:sz w:val="18"/>
          <w:szCs w:val="18"/>
          <w:color w:val="auto"/>
        </w:rPr>
      </w:pPr>
    </w:p>
    <w:p>
      <w:pPr>
        <w:ind w:left="740" w:right="20" w:hanging="223"/>
        <w:spacing w:after="0" w:line="257"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Advantage: </w:t>
      </w:r>
      <w:r>
        <w:rPr>
          <w:rFonts w:ascii="Times New Roman" w:cs="Times New Roman" w:eastAsia="Times New Roman" w:hAnsi="Times New Roman"/>
          <w:sz w:val="18"/>
          <w:szCs w:val="18"/>
          <w:color w:val="auto"/>
        </w:rPr>
        <w:t>Our core, proprietary, global end-to-end customer ordering and processing technology, Enterprise Advantage, enables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order any of our products and solutions at scale. It has an average of 99.9% uptime due to our robust architecture design and it seamlessly integrates with our customers’ business processes and workflows, third-party enterprise software systems such as HCM and ATS platforms, and third-party data sources. Through Enterprise Advantage, our customers can easily manage their screening programs, either through centralized processes or by region or division, create customized screening packages, manage screening criteria, and administer adverse action letters.</w:t>
      </w:r>
    </w:p>
    <w:p>
      <w:pPr>
        <w:spacing w:after="0" w:line="74" w:lineRule="exact"/>
        <w:rPr>
          <w:rFonts w:ascii="Times New Roman" w:cs="Times New Roman" w:eastAsia="Times New Roman" w:hAnsi="Times New Roman"/>
          <w:sz w:val="18"/>
          <w:szCs w:val="18"/>
          <w:color w:val="auto"/>
        </w:rPr>
      </w:pPr>
    </w:p>
    <w:p>
      <w:pPr>
        <w:ind w:left="740" w:right="40" w:hanging="223"/>
        <w:spacing w:after="0" w:line="257"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 Advantage: </w:t>
      </w:r>
      <w:r>
        <w:rPr>
          <w:rFonts w:ascii="Times New Roman" w:cs="Times New Roman" w:eastAsia="Times New Roman" w:hAnsi="Times New Roman"/>
          <w:sz w:val="18"/>
          <w:szCs w:val="18"/>
          <w:color w:val="auto"/>
        </w:rPr>
        <w:t>Our innovative, dynamic data visualization tool offers our customers data analytics, dashboards, and near real-time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assess their screening programs’ underlying drivers and make data-driven decisions. We leverage the customer’s unique applicant and screening data collected through Profile Advantage and Enterprise Advantage to create insights presented in dynamic dashboards. Customers have the ability to customize their dashboards and perform scenario analysis with our intuitive and flexible tools. Customers can also overlay key metrics from industry peer groups to discover and benchmark best-practices so that they may optimize their screening programs to deliver best-in-class performance.</w:t>
      </w:r>
    </w:p>
    <w:p>
      <w:pPr>
        <w:spacing w:after="0" w:line="1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designed our technology architecture for extensibility. We receive data directly from the applicant through Profile Advantage and from our customers through their third-party HCM and ATS software platforms. This data is supplemented by our proprietary internal databases and external data sources as we perform screenings and verifications. Our proprietary internal databases of over 765 million records include our National Criminal Records File, which includes approximately 655 million criminal records with thousands of new records added daily, and Verified!, our repository of nearly 110 million prior education and work history records. These proprietary internal databases allow us to complete our processes quickly and cost-effectively, which accelerates the onboarding process for our customers and improves the applicant experience. We also obtain data directly from federal, state, and local government entities, laboratories and collection sites, credit bureaus, and education and work history verification providers, as well as from third-party, independent compilers of public records. Our API integrations, either through our Standard API or our REST API, allow for real-time, bidirectional, and secure data flows between us and our customers’ software platforms and external data sources, creating a seamless and integrated screening process. Our technology interfaces with more than 75 third-party HCM and ATS software platforms and more than 3,900 automated and/or integrated external data providers and RPA tools to deliver results to our customers with high speed and consistency.</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Background screening and verification requirements vary from customer to customer, depending on the size and geographic footprint of the business as well as the industry vertical in which the customer operates. For example, customers in the transportation, logistics, and home delivery industry may have screening requirements relating to transportation regulatory bodies, including the DOT, FMCSA, FAA, and IFTA, that customers in other industries do not require. In addition, the laws and regulations on the use of certain information vary significantly from jurisdiction to jurisdiction and are constantly evolving. We have designed our technology to be highly configurable, allowing us to provide our customers with tailored solutions that meet their specific needs.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right="80"/>
        <w:spacing w:after="0" w:line="261" w:lineRule="auto"/>
        <w:rPr>
          <w:sz w:val="20"/>
          <w:szCs w:val="20"/>
          <w:color w:val="auto"/>
        </w:rPr>
      </w:pPr>
      <w:r>
        <w:rPr>
          <w:rFonts w:ascii="Times New Roman" w:cs="Times New Roman" w:eastAsia="Times New Roman" w:hAnsi="Times New Roman"/>
          <w:sz w:val="18"/>
          <w:szCs w:val="18"/>
          <w:color w:val="auto"/>
        </w:rPr>
        <w:t>Our flexible, scalable, and highly integrated technology, enhanced by our investments in automation and AI, has driven significant operational efficiencies and enabled us to achieve one of the highest customer satisfaction ratings among our competitors for quality, accuracy, and turnaround times. We will continue to innovate using agile software development methodologies, focusing on user-centered design, to bring leading products and solutions to the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we have a differentiated, verticalized sales, customer success, and marketing approach that sets us apart from our competitors and positions us to capture additional market share. Our Sales team is vertically aligned and organized into groups that target new accounts and additional opportunities within existing accounts. We train and educate our sales professionals to ensure they are highly knowledgeable in the industry-specific screening requirements and can deliver value-added, industry-targeted solutions to existing and new customers.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Sales team is augmented by Customer Success professionals, who are similarly organized to deliver solutions specific to existing customers within each industry vertical. Our Customer Success team members are located across geographies to foster deep relationships with customers and build local expertise in compliance and screening standards. Our Customer Success teams maintain ongoing interactions with key customer users and program owners and hold regular formal customer account reviews to ensure high performance, satisfaction, and retention. They also organize our customer advisory boards and events to uncover product insights, drive product innovation, and share screening and compliance best practices with our customers. This further drives our industry-leading customer satisfaction scores and high customer retention rates and helps us identify and execute additional opportunities with existing customers.</w:t>
      </w:r>
    </w:p>
    <w:p>
      <w:pPr>
        <w:spacing w:after="0" w:line="135"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We believe the extensive coordination between our Sales, Customer Success, and Product teams is a driving force behind our continued expansion. These teams also enhance our value proposition by working closely with our Compliance, Marketing, Solutions Engineering, and Business Development teams.</w:t>
      </w:r>
    </w:p>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relationships with HCM software providers are an important aspect of our Sales and Marketing strategy. Our technology is tightly integrated with major HCM and ATS platforms, which offers greater speed and efficiency and enhances the value of our solutions to our customers. Maintaining a strong relationship with these third-party software providers is critical in generating new sales leads and providing market validation to our offerings.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also market our products and solutions through indirect channels, including traditional and online marketing activities designed to provide sales leads, increase market awareness, and enhance the perception of our brand and offerings. We leverage referral partners, channel partnerships, digital advertising, search engine optimization, webinars, social media, thought leadership, and various event-based marketing. We participate in industry conferences and are published frequently in the industry press. Additionally, our annual customer conference, Collaborate has featured presentations by subject matter experts and our customers on a wide range of industry topics. Collaborate facilitates discussions and serves as a great resource on industry best practices. We believe we are able to capitalize on the network effects as we build goodwill through customer reviews and testimonials, word-of-mouth referrals, and references from other industry participants.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serve a diversified customer base with more than 30,000 customers globally in 2023. Our customer base ranges from small businesses with fewer than 100 employees to multinational corporations with workforces numbering in the hundreds of thousands. We have executed a concerted go-to-market strategy to target customers with large, complex workforces and have built a leading customer portfolio in this area as a result. While our customers operate in diverse industries across almost all facets of the global economy, we have strength in sectors with favorable secular trends such as e-commerce, retail, transportation, warehousing, and healthcare. We have maintained a gross retention rate of approximately 97% in 2023 and achieved an average tenure of 12 years amongst our top 100 customers.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we had one customer that accounted for approximately 12% of our revenues. No other customer accounted for 10% or more of our total revenues for such period. As of December 31, 2023, we performed screens in over 200 countries and territories, with a major presence in the United States, the United Kingdom, and India. Approximately 87% of our total revenues for the year ended December 31, 2023 were derived from our Americas business.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global background screening and verifications industry is fragmented and competitive. There are many local, single-country companies but few multinational companies that operate with scale and reach. Our competitors vary based on customer size, industry vertical, geography, and product focus.</w:t>
      </w:r>
    </w:p>
    <w:p>
      <w:pPr>
        <w:spacing w:after="0" w:line="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compete with large players with broad capabilities and product suites, vertical-focused specialist firms that target customers operating in select industries, mid-size players and competitors that serve small and medium-sized business (“SMB”) customers. Some competitors are aligned to a specific product in certain pre- and post-onboarding product lines, such as drug / health screening and executive screening. In our adjacent products market, we compete with certain companies specializing in fleet / vehicle compliance, hiring tax credits and incentives, resident / tenant screening, employment eligibility, and investigative research.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our products and solutions is subject to constant change, sources of competition are numerous, and new competitors frequently arise.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competitive factors affecting our markets include:</w:t>
      </w:r>
    </w:p>
    <w:p>
      <w:pPr>
        <w:spacing w:after="0" w:line="171" w:lineRule="exact"/>
        <w:rPr>
          <w:sz w:val="20"/>
          <w:szCs w:val="20"/>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screening results;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time of screening results;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package, and solution pricing;</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 and enterprise user experience, ease of use, level of functionality, scalability, and efficiency;</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screening solutions;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reach;</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relationship history with the key decision-makers;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regulation;</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vertical support that meets the needs of a customers’ specific requirements;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systems performance, including the ability to integrate with customer and third-party systems and applications;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privacy, and data protection.</w:t>
      </w:r>
    </w:p>
    <w:p>
      <w:pPr>
        <w:spacing w:after="0" w:line="17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believe we compete favorably based on these factors. However, our ability to remain competitive will depend on our continued ability to perform in the areas listed above. For additional information, see “Risk Factors—Risks Related to Our Business—We operate in a penetrated and competitive market.”</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Due to the nature of our business, we are subject to significant and extensive U.S. federal, state, local, and foreign laws and regulations. These laws and regulations include national, international, state, and local cybersecurity, privacy and data protection, health, taxation, anti-corruption and anti-money laundering, antitrust / competition, enterprise credit reporting agencies and environmental, health and safety protection. Taking commercially reasonable steps to comply with such laws and regulations is an important priority for us.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Regulators worldwide have adopted or proposed national, international, state, and local laws that regulate consumer protection, cybersecurity, privacy, data protection, and/or business credit reporting. These laws impact, among other things, the collection, use, disclosure, sale, transfer, receipt, storage, transmission, destruction, and other processing of personal data (collectively, “Processing”). The principal laws and regulations that impact our business include, but are not limited to:</w:t>
      </w:r>
    </w:p>
    <w:p>
      <w:pPr>
        <w:spacing w:after="0" w:line="126" w:lineRule="exact"/>
        <w:rPr>
          <w:sz w:val="20"/>
          <w:szCs w:val="20"/>
          <w:color w:val="auto"/>
        </w:rPr>
      </w:pPr>
    </w:p>
    <w:p>
      <w:pPr>
        <w:ind w:left="740" w:hanging="22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FCRA, which regulates the use of consumer report information and governs the accuracy, fairness, and privacy of such information;</w:t>
      </w:r>
    </w:p>
    <w:p>
      <w:pPr>
        <w:spacing w:after="0" w:line="117" w:lineRule="exact"/>
        <w:rPr>
          <w:rFonts w:ascii="Times New Roman" w:cs="Times New Roman" w:eastAsia="Times New Roman" w:hAnsi="Times New Roman"/>
          <w:sz w:val="18"/>
          <w:szCs w:val="18"/>
          <w:color w:val="auto"/>
        </w:rPr>
      </w:pPr>
    </w:p>
    <w:p>
      <w:pPr>
        <w:ind w:left="740" w:right="620" w:hanging="223"/>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Dodd-Frank Wall Street Reform and Consumer Protection Act (“Dodd-Frank Act”), which prohibits unfair, deceptive, or abusive acts or practices with respect to consumer financial services practices;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Gramm-Leach-Bliley Act, which regulates the use of non-public personal financial information held by financial institutions;</w:t>
      </w:r>
    </w:p>
    <w:p>
      <w:pPr>
        <w:spacing w:after="0" w:line="117" w:lineRule="exact"/>
        <w:rPr>
          <w:rFonts w:ascii="Times New Roman" w:cs="Times New Roman" w:eastAsia="Times New Roman" w:hAnsi="Times New Roman"/>
          <w:sz w:val="18"/>
          <w:szCs w:val="18"/>
          <w:color w:val="auto"/>
        </w:rPr>
      </w:pPr>
    </w:p>
    <w:p>
      <w:pPr>
        <w:ind w:left="740" w:right="600" w:hanging="223"/>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which restricts the public disclosure of patient information and applies indirectly to companies that provide services to healthcare-related businesses;</w:t>
      </w:r>
    </w:p>
    <w:p>
      <w:pPr>
        <w:spacing w:after="0" w:line="53" w:lineRule="exact"/>
        <w:rPr>
          <w:rFonts w:ascii="Times New Roman" w:cs="Times New Roman" w:eastAsia="Times New Roman" w:hAnsi="Times New Roman"/>
          <w:sz w:val="18"/>
          <w:szCs w:val="18"/>
          <w:color w:val="auto"/>
        </w:rPr>
      </w:pPr>
    </w:p>
    <w:p>
      <w:pPr>
        <w:ind w:left="740" w:right="320" w:hanging="223"/>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Drivers’ Privacy Protection Act, which restricts the public disclosure, use, and resale of personal data contained in state department of motor vehicle records;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Digital Identity &amp; Attributes Trust Framework, which provides for a set of rules and standards for digital identity products;</w:t>
      </w:r>
    </w:p>
    <w:p>
      <w:pPr>
        <w:spacing w:after="0" w:line="117" w:lineRule="exact"/>
        <w:rPr>
          <w:rFonts w:ascii="Times New Roman" w:cs="Times New Roman" w:eastAsia="Times New Roman" w:hAnsi="Times New Roman"/>
          <w:sz w:val="18"/>
          <w:szCs w:val="18"/>
          <w:color w:val="auto"/>
        </w:rPr>
      </w:pPr>
    </w:p>
    <w:p>
      <w:pPr>
        <w:ind w:left="740" w:right="420" w:hanging="223"/>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U.S. federal, state, and local data protection and consumer reporting agency laws at the state level, state data breach laws, and state privacy laws, such as the CCPA and the Illinois Biometric Information Privacy Act;</w:t>
      </w:r>
    </w:p>
    <w:p>
      <w:pPr>
        <w:spacing w:after="0" w:line="53" w:lineRule="exact"/>
        <w:rPr>
          <w:rFonts w:ascii="Times New Roman" w:cs="Times New Roman" w:eastAsia="Times New Roman" w:hAnsi="Times New Roman"/>
          <w:sz w:val="18"/>
          <w:szCs w:val="18"/>
          <w:color w:val="auto"/>
        </w:rPr>
      </w:pPr>
    </w:p>
    <w:p>
      <w:pPr>
        <w:ind w:left="740" w:right="120" w:hanging="223"/>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data protection, data localization, and similar laws and regulations impacting our services and data suppliers, such as the U.K. and EU GDPR; and</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by regulatory authorities for engaging in consumer reporting, including the FTC and CFPB in the United States.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These laws and regulations, which are generally designed to protect individuals’ privacy and prevent the misuse of personal data or unauthorized access to data, are complex, subject to ongoing changes in regulations and amendments, and inconsistent between jurisdictions. We proactively manage our compliance with laws and regulations through the use of a number of resources, including our in-house legal and compliance department, external law firms, trade associations, and local suppliers and partners to understand the legal and regulatory requirements and practices that may impact the delivery of our products and solutions as well as our customers’ use of the same in light of employment, privacy and other laws and regulations. Our General Counsel leads our legal department with a Chief Global Compliance Officer reporting to the General Counsel. The compliance team consists of four regional compliance officers globally, with local compliance officers reporting through that hierarchy. Through the legal and compliance functions, we train our team members with respect to compliance with our policies and procedures, monitor changes to relevant material laws and regulations, and meet with regulators and legislators, as necessary and appropriate, to establish transparency of our operations and build trust.</w:t>
      </w:r>
    </w:p>
    <w:p>
      <w:pPr>
        <w:spacing w:after="0" w:line="134"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Public concern is high with respect to the processing of personal data, including Social Security numbers, financial information, and medical information. In the future, additional legislative or regulatory efforts in the United States and internationally could further regulate the processing of personal data that we process in the conduct of our business. For additional information, see the section titled “Risk Factors—Risks Related to Our Business—If regulatory regimes continue to heighten their scrutiny over personal data and data security, it could lead to increased restrictions, loss of revenue opportunity, greater costs of compliance, and lost efficiency” and “— Any damage to our reputation or our brand could adversely affect our business, financial condition, and results of operations.”</w:t>
      </w: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in part, on developing, maintaining, protecting and enforcing our proprietary technology and intellectual property rights. We own and control various intellectual property rights, such as confidential information, trade secrets, trademarks, service marks, trade names, domain names, copyrights, patents, and U.S. and foreign registrations and applications in the foregoing. We are licensed to use certain technology and other intellectual property rights owned and controlled by others, and certain third parties are licensed to use certain technology and other intellectual property rights owned and controlled by us.</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Obtaining, maintaining, protecting and enforcing our intellectual property and proprietary rights is an important aspect of our business. We rely on a combination of statutory (e.g., copyright, trademark, trade secret, patent), contract, and liability safeguards (e.g., confidentiality and invention assignment agreements with our employees and contractors and nondisclosure agreements with our vendors) to protect our intellectual property in the United States, and other jurisdictions. We currently have patent and trademark applications pending in several jurisdictions. Filing these applications does not guarantee patents will be issued or that our trademark applications will proceed to registration without challenge, but may provide us with legal defense and allow us to pursue the protection of our intellectual property to the extent we believe it would be beneficial and cost-effective.</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While we believe that our intellectual property, in the aggregate, is generally important to our business and operations, we do not regard any aspect of our business as being dependent upon any single patent, group of patents or other intellectual property right. However, the First Advantage name and related trade names, marks, and logos are of material importance to our business, and their loss could have a significant negative impact on us.</w:t>
      </w:r>
    </w:p>
    <w:p>
      <w:pPr>
        <w:spacing w:after="0" w:line="122" w:lineRule="exact"/>
        <w:rPr>
          <w:sz w:val="20"/>
          <w:szCs w:val="20"/>
          <w:color w:val="auto"/>
        </w:rPr>
      </w:pPr>
    </w:p>
    <w:p>
      <w:pPr>
        <w:ind w:right="1100"/>
        <w:spacing w:after="0" w:line="438" w:lineRule="auto"/>
        <w:rPr>
          <w:sz w:val="20"/>
          <w:szCs w:val="20"/>
          <w:color w:val="auto"/>
        </w:rPr>
      </w:pPr>
      <w:r>
        <w:rPr>
          <w:rFonts w:ascii="Times New Roman" w:cs="Times New Roman" w:eastAsia="Times New Roman" w:hAnsi="Times New Roman"/>
          <w:sz w:val="18"/>
          <w:szCs w:val="18"/>
          <w:color w:val="auto"/>
        </w:rPr>
        <w:t xml:space="preserve">See the section titled “Risk Factors” for a more comprehensive description of risks related to our intellectual property and proprietary rights. </w:t>
      </w:r>
      <w:r>
        <w:rPr>
          <w:rFonts w:ascii="Times New Roman" w:cs="Times New Roman" w:eastAsia="Times New Roman" w:hAnsi="Times New Roman"/>
          <w:sz w:val="18"/>
          <w:szCs w:val="18"/>
          <w:b w:val="1"/>
          <w:bCs w:val="1"/>
          <w:color w:val="auto"/>
        </w:rPr>
        <w:t>Seasonality</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commercial activity tied to outdoor activities increases, and the school year ends, giving rise to student and graduate hiring.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color w:val="auto"/>
        </w:rPr>
        <w:t>Central to our strategy is attracting, developing and retaining the best talent globally with the right skills to drive our success. The capabilities of the Company’s workforce have continued to evolve along with its business and strategy. Key focus areas of the Company’s human capital management strategy are described below, and additional information can be found in its Sustainability Report, available on the Company’s website (which is not incorporated by reference herein).</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2023, we had approximately 5,000 employees in 17 countries. Our workforce also engages third-party contractors as an ongoing part of our business where appropriate. None of our employees are subject to a collective bargaining agreement, and no work stoppages have been experienced. We consider our relationship with our employees to be good.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Code of Conduct and Ethics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quality of our products and operations affects our reputation, productivity, profitability, and market position. Our objective is to create a work environment that allows and encourages all employees to perform their duties in an efficient, effective manner. We have established a Global Code of Conduct and Ethics (“Code”). Compliance with the provisions of the Code is a basic condition of employment at First Advantage.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Equal Employment</w:t>
      </w:r>
    </w:p>
    <w:p>
      <w:pPr>
        <w:spacing w:after="0" w:line="175"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We strive for all of our employees to work in an environment where we are treated with dignity and respect. We are an equal opportunity employment employer and are committed to providing a workplace that is free of discrimination of all types from abusive, offensive, or harassing behavior. We are committed to creating such an environment because it brings out the full potential in each of our employees, which, in turn, contributes directly to our business success.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success of our Company and the value we can provide to our customers lies in the strength of our global inclusive workforce. We are committed to enhancing diversity among our workforce and demonstrating that commitment to our employees, customers, and community. We maintain active, dynamic diversity, equity, and inclusion (“DE&amp;I”) programs that continue to promote an environment that celebrates each individual and aims to provide for equitable opportunity. Our efforts to promote DE&amp;I include, among other things, our (1) talent attraction programs and practices to provide equal employment opportunities for all applicants and employees, such as implementing strategies to build diverse candidate pools and pipelines and promoting equitable recruitment and hiring practices, (2) employee development and training and (3) efforts building an inclusive business culture, through mentoring and inclusivity programs.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promote diversity by developing policies, programs, and procedures that foster a work environment where differences are respected and all employees are treated fairly. We act on, and believe that, promoting diversity plays an important role in attracting the most expansive pool of qualified applicants, fostering greater innovation and creativity, and enhancing our communication and relationships with all of our stakeholders. Our goal is to attract, develop, and retain the best and brightest from all walks of life and backgrounds. This requires an organization to have a culture of inclusion where all individuals feel respected, are treated fairly, and are provided work-life balance and an opportunity to excel in their chosen careers.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Diversity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committed to developing mutually beneficial relationships with small, minority-owned, women-owned, disadvantaged, veteran-owned, HUBZONE, LGBTQIA, and local business enterprises. Our supplier diversity policy reflects our desire to create an opportunity for suppliers to market their products to the Company. When all business considerations are determined to be equal among competitive suppliers, the Company will award contracts to such businesses.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First Advantage Corporation, a Delaware corporation, was incorporated in November 2019. We completed our initial public offering (“IPO”) of our common stock in June 2021.</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Annual Report.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all of the information contained in this Annual Report. If any of the following risks occur, our business, financial condition, and results of operations could be materially and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factors beyond our control, including the state of the economy, could impact demand and the fulfillment costs for our products and solutions.</w:t>
      </w:r>
    </w:p>
    <w:p>
      <w:pPr>
        <w:spacing w:after="0" w:line="10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Macroeconomic developments such as the global or regional economic effects resulting from inflation and related economic curtailment initiatives, interest rate volatility, foreign exchange rate fluctuations, geopolitical developments, wars in Europe and the Middle East,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international, regional, or domestic political unrest and the related potential impact on global stability, terrorist attacks, and the potential for other hostilities in various parts of the world, public health crises, and natural disasters continue to contribute to a climate of economic and political uncertainty that could adversely affect our results of operations and financial condition, including our revenue growth and profitability.</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Global credit and capital markets have experienced significant volatility and disruption due to the above factors. A substantial majority of our revenues are derived from pre-onboarding screening products, which is heavily influenced by hiring volumes. The businesses of some of our largest customers and their decision to hire depend in part on favorable macroeconomic conditions, including consumer spending, the general availability of credit, the level and volatility of interest rates, and inflation levels. To the extent these macroeconomic factors are at suboptimal levels, our existing and potential customers could delay or defer onboarding new or replacement workers, reduce the size of their workforce, or seek to decrease spending on their screening programs. As a result, our products could face reduced demand and our business, results of operations, and financial condition could slow or decline. Similarly, demand for our tenant screening products is subject to trends in real estate rental markets, which may be affected by macroeconomic factors beyond our control, including housing markets, stock market volatility, recession, job losses and unemployment levels, debt levels, and uncertainty about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are subject to numerous and evolving laws and regulations.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provider of technology solutions for screening and verifications, we are subject to numerous and evolving international, federal, state, and local laws and regulations, including, without limitation, in the areas of consumer protection, privacy, and data protection. See “Business—Government Regulations” and “—Continued scrutiny of collection, use, and processing of personal data and data security could lead to increased restrictions, loss of revenue opportunity, greater costs of compliance, and lost efficiency.” We expect that these laws and regulations will continue to evolve, change, and expand and, in most instances, become more stringent and complex with time. Compliance with these laws and regulations requires significant expense and resources, which could increase significantly as these laws and regulations evolve. Further, regulations are often the product of administrative interpretation and judicial construction, which could result in inconsistent implementation across jurisdictions. We must reconcile the many potential differences between the laws and regulations among the various domestic and international jurisdictions that may be involved in the provision of our solutions. A failure to identify, comply, and reconcile the many laws and regulations we are subject to could result in the imposition of penalties and fines, restrictions on our operations, breach of contract or indemnification claims against us, loss of revenues, and could otherwise adversely affect our business, results of operations, and financial condition. Further, we acquired a company in 2013 that was subject to multiple FTC consent decrees that had been imposed on it in the years prior to our acquisition and to which we now remain subject. The consent decrees require us to comply with the FCRA and to maintain a comprehensive information security program to be audited biennially. Under these circumstances, failure to comply with the decrees and/or relevant law or regulations may subject us to increased risk.</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8" w:name="page19"/>
    <w:bookmarkEnd w:id="18"/>
    <w:p>
      <w:pPr>
        <w:ind w:right="40"/>
        <w:spacing w:after="0" w:line="253" w:lineRule="auto"/>
        <w:rPr>
          <w:sz w:val="20"/>
          <w:szCs w:val="20"/>
          <w:color w:val="auto"/>
        </w:rPr>
      </w:pPr>
      <w:r>
        <w:rPr>
          <w:rFonts w:ascii="Times New Roman" w:cs="Times New Roman" w:eastAsia="Times New Roman" w:hAnsi="Times New Roman"/>
          <w:sz w:val="18"/>
          <w:szCs w:val="18"/>
          <w:color w:val="auto"/>
        </w:rPr>
        <w:t>Changes in laws, regulations, and the interpretation of such laws and regulations on both the state and federal level could also affect certain of our businesses and result in restrictions on our ability to offer certain products and solutions. For example, several states and smaller local jurisdictions have implemented “fair chance” hiring laws or ordinances that limit or restrict employers from inquiring or using an applicant’s criminal history to make employment decisions. In addition, under the FCRA in the United States, both our customers and we are required to comply with many requirements under the FCRA as well as state-level laws regarding the use and delivery of consumer reports. The enactment of new restrictive legislation and the requirements, restrictions, and limitations imposed by changing interpretations and court decisions on such laws and regulations could prevent our customers from using the full functionality of our products, which may reduce demand for our products and solutions. We could also be required to adapt our products to meet these evolving and complex requirements, such as adding or changing disclosures, authorizations, or forms provided to applicants. In addition, we believe it is critical for us to keep abreast of evolving laws and interpretations in applicable jurisdictions and inform our customers of changes to their ability to use our products and solutions and their and our obligations. These efforts require time, expense, and resources, and in some instances, reliance on third parties such as law firms and trade associations.</w:t>
      </w:r>
    </w:p>
    <w:p>
      <w:pPr>
        <w:spacing w:after="0" w:line="134"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scrutiny of collection, use, and processing of personal data and data security could lead to increased restrictions, loss of revenue opportunity, greater costs of compliance, and lost efficiency.</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products and solutions are subject to various complex laws and regulations governing cybersecurity, privacy, and data protection on the federal, state, and local levels, and in foreign jurisdictions. The regulatory framework for privacy issues is rapidly evolving and is likely to remain uncertain and inconsistently enforced for the foreseeable future. Many federal, state, and foreign governmental bodies and agencies have adopted or are considering adopting laws and regulations regarding collecting, processing, handling, maintenance, storage, use, disclosure, sale, and transmission of personal and other sensitive information, including mandatory consumer notification should the unauthorized access of consumer information occur, and further expansion of requirements is possible. It is possible that these restrictions could limit our current or future service offerings, reduce our profitability, or otherwise materially and adversely affect our ability to conduct our business or to do so economically. Further, if our practices or products are perceived to violate applicable laws or regulations, we may be subject to increased scrutiny and public criticism, litigation, investigation, fines, and reputational harm, which could disrupt our business and expose us to liability. Given the nature of our business and the volume data processed in the ordinary course of our operations, it is possible for breaches to occur, whether intentionally from hackers or other third parties, or unintentionally, for example, if we inadvertently send or otherwise make available information to an unauthorized recipient.</w:t>
      </w:r>
    </w:p>
    <w:p>
      <w:pPr>
        <w:spacing w:after="0" w:line="1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we are subject to numerous federal and state laws governing the collection, processing, use, transmission, disclosure, and sale of personal data (which may also be referred to as personal information, personally identifiable information, and/or non-public personal information). For example, in California, the CCPA, provides for enhanced consumer protections for California residents, a private right of action for data breaches of certain personal information and statutory fines and damages for such data breaches or other CCPA violations, as well as a requirement of “reasonable” cybersecurity. In addition, in November 2020, California voters passed the California Privacy Rights and Enforcement Act of 2020, which amends and expands the California Consumer Privacy Act with additional data privacy compliance requirements and establishes a regulatory agency dedicated to enforcing those requirements. Other states also have or are in the process of imposing similar privacy obligations. In addition, laws such as the Biometric Information Privacy Act in Illinois have also restricted the use of biometric information. These and other laws and regulations require us to continuously review our data processing practices and policies, may cause us to incur substantial costs with respect to compliance, and could require us to adapt our products and solutions, which may reduce their utility to our customers.</w:t>
      </w:r>
    </w:p>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Outside of the United States, we are subject to foreign rules and regulations. For example, we are subject to enhanced compliance and operational requirements under the GDPR, which expanded the scope of data protection in the European Union (“EU”) to foreign companies who process the personal data of EU residents, imposed a strict data protection compliance regime with stringent penalties for noncompliance and included new rights for data subjects such as the “portability” of personal data. In particular, under the GDPR, fines of up to 20 million euros, or up to 4% of the annual global revenue of the noncompliant company, whichever is greater, could be imposed for violations of certain of the GDPR’s requirements. If we were found to be in breach of the GDPR, the potential penalties we might face could have a material adverse impact on our business, financial condition, results of operations, and cash flows. Compliance with the GDPR requires time and expense and may require us to make changes to our business operations.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the GDPR applies uniformly across the EU, each EU member state is permitted to issue nation-specific data protection legislation, which has created inconsistencies on a country-by-country basis. The decision by the U.K. to leave the EU (“Brexit”) has resulted in a new U.K. data privacy and protection law that essentially tracks the GDPR but is applicable in the U.K. which is no longer a part of the EU. The European Commission has adopted an adequacy decision for the U.K., allowing for transfer of most personal data from the European Economic Area (“EEA”) to the U.K, subject to a “sunset clause,” which limits the duration of adequacy to four years. However, there will likely be increasing scope for divergence in application, interpretation and enforcement of the data protection law as between the U.K. and EEA.</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320"/>
        <w:spacing w:after="0" w:line="254" w:lineRule="auto"/>
        <w:rPr>
          <w:sz w:val="20"/>
          <w:szCs w:val="20"/>
          <w:color w:val="auto"/>
        </w:rPr>
      </w:pPr>
      <w:r>
        <w:rPr>
          <w:rFonts w:ascii="Times New Roman" w:cs="Times New Roman" w:eastAsia="Times New Roman" w:hAnsi="Times New Roman"/>
          <w:sz w:val="18"/>
          <w:szCs w:val="18"/>
          <w:color w:val="auto"/>
        </w:rPr>
        <w:t>The effects of U.S. state, U.S. federal, local, and international laws and regulations that are currently in effect or that may go into effect in the future are significant and may require us to modify our data processing practices and policies, cease offering certain products and solutions, and incur substantial costs and potential liability in an effort to comply with such laws and regulations. Any actual or perceived failure to comply with these and other cybersecurity, privacy, and data protection laws and regulations could result in regulatory scrutiny or investigation and increased exposure to the risk of litigation or the imposition of consent orders, resolution agreements, requirements to take particular actions with respect to training, policies or other activities, and civil and criminal penalties, including fines, which could have an adverse effect on our business, results of operations, and financial condition. Moreover, allegations of non-compliance, whether or not true, could be costly, time-consuming, and distracting to management and cause reputational harm.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and successfully implement our growth strategies on a timely basis or at all.</w:t>
      </w:r>
    </w:p>
    <w:p>
      <w:pPr>
        <w:spacing w:after="0" w:line="1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cannot guarantee that we will succeed in appropriately identifying and successfully executing our strategic plans to grow our businesses, and our inability to do so may be the result of external factors beyond our control. Our ability to grow our business will depend, in large part, on our ability to further penetrate our existing markets, attract new customers, and identify and effectively invest in growing industry verticals. The success of any enhancement of our current products and solutions or any new product or solution depends on several factors, including the timely completion, introduction, and market acceptance of enhanced or new products and solutions, adaptation to new industry standards and technological changes, the ability to maintain and to develop relationships with third parties, and the ability to attract, retain, and effectively train sales and marketing personnel. Our growth could be limited if we fail to innovate or adapt to market trends and product innovations adequately. Any new products and solutions we develop or acquire may not be introduced in a timely or cost-effective manner and may not achieve the market acceptance necessary to generate significant revenues, and any new markets in which we attempt to sell our products and solutions, including new countries or regions, may not be receptive or implementation may be delayed. Our future growth will be adversely affected if we do not identify and invest in faster-growing industry verticals. In addition, any expansion into new markets will require an investment in the continuous monitoring of local laws and regulations, which increases our costs and the risk of the products or service failing to comply with such local laws or regulations. We may also incur costs associated with such plans that are above anticipated amounts.</w:t>
      </w:r>
    </w:p>
    <w:p>
      <w:pPr>
        <w:spacing w:after="0" w:line="1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 successfully manage our growth, we will also need to maintain appropriate staffing levels and update our operating, financial and other systems, procedures, and controls accordingly. Our efforts to grow our business and execute our business strategy may place significant demands on and strain our personnel and organizational structure, including our management, staff, and information systems. If we fail to effectively manage our growth, our business, results of operations, and financial condition could be materially adversely affected.</w:t>
      </w:r>
    </w:p>
    <w:p>
      <w:pPr>
        <w:spacing w:after="0" w:line="12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Social, ethical, and legal issues relating to the use of new and evolving technologies, such as artificial intelligence and machine learning, in our offerings may result in reputational harm and liability.</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quickly evolving legal and regulatory environment may cause us to incur increased research and development costs, or divert resources from other development efforts, to address social, ethical, and legal issues related to artificial intelligence and machine learning. We are increasingly building artificial intelligence and machine learning into many of our offerings and utilize data gathered from various sources in our services to train our machine-learning models.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with many cutting-edge innovations, artificial intelligence and machine learning present new risks and challenges, and existing laws and regulations may apply to us in new ways, the nature and extent of which are difficult to predict. The continuous development, maintenance and operation of our machine-learning models is expensive and complex, and may involve unforeseen difficulties including material performance problems, and undetected defects or errors with new machine-learning or other artificial intelligence capabilities. Some of those difficulties could arise from undetected or uncorrected inaccuracies or unrepresentative tendencies in the data. We may encounter technical obstacles, and it is possible that we may discover additional problems that prevent our machine-learning models from operating properly. If our machine-learning models do not function reliably, we may incorrectly process background checks or suffer extended processing times and other failures of our services, which could result in customer dissatisfaction. The risks and challenges presented by artificial intelligence and machine learning could undermine public confidence in artificial intelligence and machine learning which could slow its adoption and affect our business.</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Generally, machine-learning models use data about past decisions in a particular situation to create algorithms that make a new decision in a similar situation. If the past decisions on which our machine-learning models are based were affected by a disparate impact based on any legally prohibited classification (such as race or sex), then decisions made by our machine-learning models could have a similarly disparate impact. Consistently making decisions that result in disparate impact could subject us or our customers to legal or regulatory liability. In light of these risks and evolving concerns about the fairness of the effects of use of artificial intelligence, we expect there to be an increased focus on laws and regulations related to our business, because of the growing policy concerns with regard to the collection, use, accuracy, correction and sharing of personal information, and the use of algorithms, artificial intelligence and machine learning in business processes. Failure to adequately address these ethical, social, and legal issues that may arise with such use cases could negatively affect the adoption of our solutions and subject us to reputational harm, regulatory action, or legal liability, which may harm our financial condition and operating results.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Any damage to our reputation or our brand could adversely affect our business, financial condition, and results of operations.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Developing, protecting, and maintaining our strong reputation among customers, applicants, and third-party partners and vendors is critical to our success. The importance of our brand may increase if competitors offer more products similar to ours or if more competitors enter the market. Our brand may suffer if our service quality declines or if our customer initiatives are not successful. Additionally, the successful protection and maintenance of our brand will depend on our ability to obtain, maintain, protect, and enforce trademark and other intellectual property protection for our brand. If we fail to successfully promote, protect, and maintain our brand, we may lose our existing customers to our competitors or be unable to attract new customers.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value of our intellectual property and other proprietary rights associated with our brand could diminish if others assert rights in or ownership of trademarks or service marks that are similar to our trademarks or service marks. Our registered or unregistered trademarks or trade names may be challenged, infringed, circumvented or declared generic or determined to be infringing on other marks. Opposition or cancellation proceedings may be filed against our trademarks, which may not survive such proceedings. We may be unable to prevent competitors or other third parties from acquiring or using trademarks or service marks that are similar to, infringe upon, misappropriate, dilute, or otherwise violate or diminish the value of our trademarks and service marks, thereby impeding our ability to build brand identity and possibly leading to market confusion. Damage to our reputation or our brand or loss of confidence in our products and solutions could result in decreased demand for our products and solutions, and our business, financial condition, and results of operations may be materially adversely affected.</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our customers reduce their operations, downsize their screening programs, or otherwise demand fewer of our products and solutions, our business could be adversely impacted.</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Demand for our products and solutions is subject to our customers’ continual evaluation of their need for our products and solutions and is impacted by several factors, including their budget availability, hiring and workforce needs, and a changing regulatory landscape. Demand for our offerings is also dependent on the size of our customers’ operations. Our customers could reduce their operations for a variety of reasons, including general economic slowdown, divestitures and spin-offs, business model disruption, poor financial performance, or as a result of increasing workforce automation. Demand for drug screenings may decline as a result of evolving U.S. drug laws. For example, the legalization of cannabis in several U.S. states has led to a decrease in orders for marijuana screenings. Our revenues may be significantly reduced should our customers decide to downsize their screening programs or take such programs in-house.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penetrated and competitive market.</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global market for our screening, verifications, and adjacent products is fragmented and competitive. Our competitors vary based on their targeted customer size, industry vertical, geography, and product focus. We compete with large players with broad capabilities and product suites, vertical-focused specialist firms that target customers operating in select industries, mid-size players and competitors that serve SMB customers. Some competitors are aligned to a specific product in certain pre-onboarding product lines, such as drug / health screening and executive screening. In our adjacent products market, we compete with certain companies specializing in fleet / vehicle compliance, hiring tax credits and incentives, resident / tenant screening, employment eligibility, and investigative research.</w:t>
      </w:r>
    </w:p>
    <w:p>
      <w:pPr>
        <w:spacing w:after="0" w:line="133"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New entrants to the market have in the past emerged, both as start-ups as well as participants in adjacent sectors such as applicant tracking systems and payroll processing companies that seek to integrate background screening into their onboarding products and solutions, and may emerge in the future, which would further increase competition. Additionally, our customers may also decide to insource work that has been traditionally outsourced to us.</w:t>
      </w:r>
    </w:p>
    <w:p>
      <w:pPr>
        <w:spacing w:after="0" w:line="1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our competitive market environment, we primarily compete on the basis of brand and awareness, accuracy, compliance, turnaround time, and price. We must continue to innovate and ensure market acceptance of our products and solutions in order to maintain and grow our business and market share. We are continually subject to the risk that our competitors may develop products and technologies that are superior to ours or achieve greater market acceptance than ours. Continuing strong competition could result in increased pricing pressure, increased sales and marketing expenses, loss of customers, and greater investments in research and development, each of which could negatively impact our results of operations. The revenues of our competitors and the resources they have available vary depending on size, specialty, and geographic footprint. Some competitors may be able to allocate resources more efficiently than we can or anticipate and respond to existing and emerging market trends, customer preferences, and technologies due to their size and resources. If we fail to compete successfully, our business, financial position, and results of operations could be materially and adversely affected.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 w:name="page22"/>
    <w:bookmarkEnd w:id="21"/>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and service providers. If they are unable to deliver or perform as expected, our ability to operate effectively may be impaired, and our business may be materially and adversely affected.</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extensively on data, information, and services provided by or derived from a variety of external sources, including our suppliers, customers, strategic partners, various public filings, credit bureaus, publicly available information, and government authorities. Our suppliers could at any point decline to continue providing data or provide untimely or inaccurate data. These data sources have in the past increased the costs for their services, and we expect they will continue to do so from time to time. It may not be possible for us to recover any or all of the costs of any increases in fees by passing such costs along to our customers. If we try to do so, it could have a negative impact on customer relationships. In addition, the increase in such costs could cause our customers to choose to forgo certain services, thereby reducing demand for our products and solutions. Our suppliers could also request or require us to enter into minimum order contracts with clawback enforcement provisions. Some suppliers, such as certain criminal data suppliers and drug testing laboratories and collection sites we use, are also owned or may in the future be acquired by one or more of our competitors, which could make us especially vulnerable to unforeseen price increases or outright declinations to continue our relationships. Because our agreements with third-party data providers are generally non-exclusive, we are subject to the risk they may choose to enter into an exclusive arrangement with one of our competitors or maintain an exclusive proprietary database that is not shared with us. These risks could be exacerbated if our customers request we engage with a particular provider for their orders. We cannot guarantee that we will be able to identify and engage replacement providers on acceptable terms or obtain data from alternative sources in the event our suppliers are no longer able or are unwilling to provide us with certain data or services. If we were to lose access to external data or if our access or use were restricted or were to become less economical or desirable, our ability to timely complete requested services and products at a level of quality acceptable to our customers could be negatively impacted, which could adversely affect our business, results of operations and financial condition.</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Data collection and verification by screening providers is dependent on access to databases run by government and law enforcement agencies, including the FBI, state, and federal courthouses, and records systems. If we were to lose or face diminished access to one or more of these data sources, or if government personnel were unable or unwilling to access these data sources on our behalf, our operations could be negatively impacted, and our sales could suffer. Such interruptions could result from government shutdowns or slowdowns, changing laws and regulations, or natural disasters such as earthquakes, hurricanes, or floods. The inability to access or a delay in accessing essential information could result in lengthened and unsatisfactory turnaround times or our inability to offer certain of our products and solutions.</w:t>
      </w:r>
    </w:p>
    <w:p>
      <w:pPr>
        <w:spacing w:after="0" w:line="1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sensitive and privacy-driven nature of our products and solutions, we could face liability and legal or regulatory proceedings, which could be costly and time-consuming to defend and may not be fully covered by insurance.</w:t>
      </w:r>
    </w:p>
    <w:p>
      <w:pPr>
        <w:spacing w:after="0" w:line="1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nature of the products and solutions we provide and the information and data collected, processed, transmitted, disclosed, used, and reported by us (including personal information, confidential information, and other sensitive and/or regulated information) subjects us to potential liability from customers, consumers, data subjects, third parties, and government authorities relating to claims of legal or regulatory non-compliance, defamation, invasion of privacy, false light, negligence, intellectual property infringement, misappropriation or other violation and/or other related causes of action. Such liability may depend on actions or events beyond our control, such as how our customers use the information we provide or the veracity of the data we are provided by third parties. For example, we may from time to time be subject to legal claims by applicants for allegedly failing to comply with the FCRA in relation to issues regarding the accuracy of our reports. Likewise, our customers may seek indemnification for losses allegedly caused by negligent hiring or retention by asserting our reports failed to disclose information that would have resulted in an adverse employment decision had it been reported or if we improperly interpret a customer’s custom processing instructions. Such lawsuits and other proceedings could divert resources from our management and potentially subject us to equitable remedies. In addition, punitive damages are available as a remedy under the FCRA, which we are subject to and are generally not covered by insurance. We may also face adverse publicity in connection with such incidents, which could have a negative effect on our reputation and business.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brand, and reputation may be harmed as a result of security breaches, cyber-attacks, employee or other internal misconduct, computer viruses, or the mishandling of personal data.</w:t>
      </w:r>
    </w:p>
    <w:p>
      <w:pPr>
        <w:spacing w:after="0" w:line="10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products entail the collection, use, processing, disclosure, storage, and transmission of personal information, confidential information, and other sensitive and/or regulated information of individuals, including personal data.</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general, we utilize encryption and other technologies designed to provide system security for the transmission of confidential or personal data. There is no assurance that our use of applications and other technologies designed for data security, or that of our third-party vendors and service providers, will effectively counter security risks from hackers, computer viruses, and/or other intrusions or incidents. If one of more of our or our vendors’ facilities, computer networks, or databases were to experience a security breach, we could face a risk of loss of, or unauthorized access to and use of, personal data, confidential information, and other sensitive and/or regulated data, which could harm our business and reputation and result in a loss of customers or the imposition of fines or other penalties by governmental agencies, in addition to potential legal claims by our customers and their applicants and employees. Although we have put in place a number of controls and automated redundancies, our protocols and processes can also be violated due to human error, including as a result of phishing and other attempts by others to fraudulently induce the improper disclosure of sensitive information.</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techniques utilized and planned by hackers, bad actors, and other unauthorized entrants are varied and constantly evolving and may not be detected until a breach has occurred. As a result, despite our efforts, it may be difficult or impossible for us to implement measures that fully prevent such attacks or react in a timely manner. Unauthorized parties may in the future attempt to gain access to our systems or facilities through various means, including, among others, hacking into our or our consumers’ systems or facilities, or attempting to fraudulently induce our employees, consumers or others into disclosing usernames, passwords, or other sensitive information, which may, in turn, be used to access our information technology systems and gain access to our data or other confidential, proprietary, or sensitive information. Such efforts may be state-sponsored and supported by significant financial and technological resources, making them even more difficult to detect and prevent.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certain of our employees have access to sensitive information about the applicants whom we perform background screenings and verifications on. In addition, certain of our third-party service providers and vendors have access to limited portions of our IT systems and may also be subject to such attempts, which then can be used to attempt to infiltrate our systems. Because we cannot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solutions.</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Furthermore, international, federal and state regulators and many international, federal and state laws and regulations require notice of certain data security breaches that involve personal information, which, if applicable, could lead to widespread negative publicity, which may cause our customers to lose confidence in the effectiveness of our data security measures. In addition, we may incur significant costs and operational consequences in connection with investigating, mitigating, remediating, eliminating, and putting in place additional measures designed to prevent future actual or perceived security incidents, as well as in connection with complying with any notification or other obligations resulting from any security incidents.</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insurance policies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we are unable to fully protect the security and privacy of our data and electronic transactions, or if we or our third-party service providers are unable to prevent any data security breach, incident, unauthorized access, and/or misuse of our information by our customers, employees, vendors, or hackers, it could result in significant liability (including litigation and regulatory actions and fines), cause lasting harm to our brand and reputation, and cause us to lose existing customers and fail to win new customers.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 number of risks.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perform screenings and verifications internationally, including helping businesses screen their applicants with backgrounds that include international jurisdictions outside of the business’ domestic base of operations. In 2023, we performed screens for our customers on individuals from over 200 countries and territories, and we seek to continue to expand our international operations. The laws and regulations governing our international operations are numerous, varied, and evolving. It may be difficult to correctly identify, interpret, and ensure compliance with these laws and regulations, and we cannot be certain we will avoid liability for noncompliance or improper compliance with such laws and regulations. Any such cost or liability could have a material adverse effect on our business, financial condition, and results of operations. See “—We operate in a highly regulated industry and are subject to numerous and evolving laws and regulations” and “—If regulatory regimes continue to heighten their scrutiny over personal data and data security, it could lead to increased restrictions, loss of revenue opportunity, greater costs of compliance, and lost efficiency.”</w:t>
      </w:r>
    </w:p>
    <w:p>
      <w:pPr>
        <w:spacing w:after="0" w:line="13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Because we generate a portion of our revenues and operating income outside of the United States, we are exposed to market risk from changes in foreign currency exchange rates that could impact our results of operations, financial position, and cash flows. Such fluctuations could have a negative or positive impact on our revenues and results of operations in any given period, which may make it difficult to compare our operating results across different periods. Foreign currency exchange rate fluctuations may also adversely impact third-party vendors we rely on for services, which may be passed along to us in the form of price increases.</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addition, as a result of our international footprint, our business, financial condition, and results of operations could be subject to factors beyond our control, including, but not limited to:</w:t>
      </w:r>
    </w:p>
    <w:p>
      <w:pPr>
        <w:spacing w:after="0" w:line="54" w:lineRule="exact"/>
        <w:rPr>
          <w:sz w:val="20"/>
          <w:szCs w:val="20"/>
          <w:color w:val="auto"/>
        </w:rPr>
      </w:pPr>
    </w:p>
    <w:p>
      <w:pPr>
        <w:ind w:left="740" w:hanging="2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oversee and staff our international operations;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prevent us from repatriating cash to the United States;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related impacts on customer demand and our operating results;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tax rules;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and cultural differences;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relations, political and economic instability, and international conflicts;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applicable currency exchange control regulations, transfer pricing regulations, or other similar regulations;</w:t>
      </w:r>
    </w:p>
    <w:p>
      <w:pPr>
        <w:spacing w:after="0" w:line="117" w:lineRule="exact"/>
        <w:rPr>
          <w:rFonts w:ascii="Times New Roman" w:cs="Times New Roman" w:eastAsia="Times New Roman" w:hAnsi="Times New Roman"/>
          <w:sz w:val="18"/>
          <w:szCs w:val="18"/>
          <w:color w:val="auto"/>
        </w:rPr>
      </w:pPr>
    </w:p>
    <w:p>
      <w:pPr>
        <w:ind w:left="740" w:right="140" w:hanging="223"/>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the FCPA or similar anti-corruption laws by acts of agents and other intermediaries whom we have limited or no ability to control; and</w:t>
      </w:r>
    </w:p>
    <w:p>
      <w:pPr>
        <w:spacing w:after="0" w:line="53" w:lineRule="exact"/>
        <w:rPr>
          <w:rFonts w:ascii="Times New Roman" w:cs="Times New Roman" w:eastAsia="Times New Roman" w:hAnsi="Times New Roman"/>
          <w:sz w:val="18"/>
          <w:szCs w:val="18"/>
          <w:color w:val="auto"/>
        </w:rPr>
      </w:pPr>
    </w:p>
    <w:p>
      <w:pPr>
        <w:ind w:left="740" w:right="40" w:hanging="223"/>
        <w:spacing w:after="0" w:line="261"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 laws and regulations such as those by the U.S. Department of The Treasury’s Office of Foreign Assets Control, that restrict our dealings with certain sanctioned countries, territories, individuals and entities; these laws and regulations are complex, frequently changing, and increasing in number, and may impose additional prohibitions or compliance obligations on our dealings in certain countries and territories, including sanctions imposed on Russia and certain Ukraine territories.</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products could adversely affect our business, results of operations, financial condition, and growth prospects.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products are complex, and therefore undetected errors, failures, bugs, or defects may be present in our products or occur in the future in our products, our technology, or our software, or technology or software we license in from third parties, including open source software, especially when updates or new products are released. Such software and technology are used in IT environments with different operating systems, system management software, devices, databases, servers, storage, middleware, custom, and third-party applications and equipment and networking configurations, which may cause errors, failures, bugs, or defects in the IT environment into which such software and technology are deployed. This diversity increases the likelihood of errors, failures, bugs, or defects in those IT environments. Despite testing by us, real or perceived errors, failures, bugs, or defects may not be found until our customers use our products. Real or perceived errors, failures, bugs or defects in our products could result in negative publicity, loss of or delay in market acceptance of our products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products could also impair our ability to attract new customers, retain existing customers or expand their use of our products, which would adversely affect our business, results of operations, and financial condition.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 w:name="page25"/>
    <w:bookmarkEnd w:id="24"/>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if customers fail to adequately deploy protection measures or update our products, customers and the public may erroneously believe that our products are especially susceptible to cyber-attacks. Real or perceived security breaches against our products could cause disruption or damage to our customers’ networks or other negative consequences and could result in negative publicity to us, damage to our reputation, lead to other customer relations issues and adversely affect our revenue and results of operations. We may also be subject to liability claims for damages related to real or perceived errors, failures, bugs, or defects in our products. A material liability claim or other occurrence that harms our reputation or decreases market acceptance of our products may harm our business and results of operations. Finally, since some of our customers use our products for compliance reasons, any errors, failures, bugs, defects, disruptions in service, or other performance problems with our products may damage our customers’ business and could hurt our reputation.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complete our acquisition of Sterling Check Corp. may adversely affect our business and our stock price.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Consummation of the Acquisition is subject to the satisfaction or waiver of customary closing conditions, including, among others, (i) adoption of the Merger Agreement by Sterling stockholders, (ii) the expiration or termination of the waiting period under the HSR Act and clearance under the antitrust and foreign direct investment laws of certain other jurisdictions, (iii) and the effectiveness of a registration statement on Form S-4 to be filed by First Advantage in connection with the Acquisition. There can be no assurance that these or other closing conditions will be satisfied in a timely manner or at all. Any delay in completing the Acquisition could cause us not to realize some or all of the anticipated benefits when expected, if at all. If the Acquisition is not completed, our stock price could decline to the extent that such stock price reflects an assumption that we will complete the Acquisition and derive benefits therefrom. Furthermore, if the Acquisition is not completed, we may suffer other consequences that could adversely affect our business, results of operations and stock price, including incurring significant acquisition costs that we would be unable to recover, negative publicity and a negative impression of us in the investment community.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the Acquisition could adversely affect the value of our common stock.</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Although we expect significant benefits to result from the Acquisition, there can be no assurance that we will actually realize any of them, or realize them within the anticipated timeframe. Achieving these benefits will depend, in part, on our ability to integrate Sterling’s business successfully and efficiently. The challenges involved in this integration, which will be complex and time consuming, include the following:</w:t>
      </w:r>
    </w:p>
    <w:p>
      <w:pPr>
        <w:spacing w:after="0" w:line="122" w:lineRule="exact"/>
        <w:rPr>
          <w:sz w:val="20"/>
          <w:szCs w:val="20"/>
          <w:color w:val="auto"/>
        </w:rPr>
      </w:pPr>
    </w:p>
    <w:p>
      <w:pPr>
        <w:ind w:left="740" w:hanging="223"/>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client and other important relationships of Sterling and attracting new business and operational relationships;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forecasting and controls, procedures and reporting cycles;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and integrating corporate, information technology, finance and administrative infrastructures;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sales and marketing efforts to effectively position our capabilities;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operations in countries in which we have not previously operated;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employees and related human resource systems and benefits, maintaining employee morale and retaining key employees.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do not successfully manage these risks and the other challenges inherent in integrating an acquired business, then we may not achieve the anticipated benefits of the Acquisition on our anticipated timeframe or at all and our revenue, expenses, operating results, financial condition and stock price could be materially adversely affected. The successful integration of the Sterling business will require significant management attention both before and after the completion of the Acquisition, and may divert the attention of management from our business and operational issues.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attractive acquisition targets and strategic partnerships or successfully complete such transactions.</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Part of our strategy is to selectively pursue complementary acquisitions and strategic partnerships. Opportunities to grow our business through acquisitions, joint ventures, and other alliances may not be available to us in the future. We cannot guarantee that we will be able to identify attractive targets that are a strategic fit with our business or that we will be able to agree upon acceptable terms. Our ability to successfully identify and complete future acquisitions with reasonable valuations may also be affected by factors out of our control, including general market conditions, volatility in the capital and debt markets, and other macroeconomic and geopolitical risks. Furthermore, a number of our competitors expand and diversify through acquisitions, and we likely will experience competition in our effort to execute our acquisition strategy. As a result, we may be unable to continue to make acquisitions or may be forced to pay more for the companies we are able to acquire.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20"/>
        <w:spacing w:after="0" w:line="253" w:lineRule="auto"/>
        <w:rPr>
          <w:sz w:val="20"/>
          <w:szCs w:val="20"/>
          <w:color w:val="auto"/>
        </w:rPr>
      </w:pPr>
      <w:r>
        <w:rPr>
          <w:rFonts w:ascii="Times New Roman" w:cs="Times New Roman" w:eastAsia="Times New Roman" w:hAnsi="Times New Roman"/>
          <w:sz w:val="18"/>
          <w:szCs w:val="18"/>
          <w:color w:val="auto"/>
        </w:rPr>
        <w:t>We may not be able to integrate or manage acquired businesses, including the digital identity and biometric solutions company we acquired in September 2023 and Sterling, if the Acquisition is completed, and strategic partnerships so as to produce returns that justify the investment. Integrating acquisitions or other business relationships, including the Acquisition, may result in unforeseen operating difficulties and expenditures, disrupt our ongoing business, divert our resources, and require significant management attention that would otherwise be available for the ongoing development of our business. In particular, it may prove difficult to integrate the personnel, operations, intellectual property, and/or technology systems of any acquired organizations, and to maintain uniform standards, policies, and procedures across multiple platforms and locations, including for those located outside of the United States. This may result in a greater than anticipated increase in the transaction, remediation, and integration costs and could discourage us from entering into acquisitions where the potential for such costs outweigh the perceived benefit. Further, although we conduct due diligence with respect to the business and operations of each of the companies we acquire, we may not have identified all material facts concerning these companies, including Sterling, which could result in unanticipated events or liabilities. We cannot guarantee that any acquisitions we seek to enter into will be carried out on favorable terms or that the anticipated benefits of any acquisition, investment, or business relationship, including the Acquisition, will materialize as intended or that no unanticipated liabilities will arise.</w:t>
      </w:r>
    </w:p>
    <w:p>
      <w:pPr>
        <w:spacing w:after="0" w:line="13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economic and trade sanctions, and anti-money laundering laws and regulations could have an adverse effect on our business.</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evolving anti-corruption laws, economic and trade sanctions, and anti-money laundering rules in several jurisdictions in which we operate, including the U.S. FCPA and the U.K. Bribery Act. The evolution of this regulatory regime has generally brought about more aggressive investigations and enforcement, which, if targeted towards us, could materially adversely impact our business. We have policies and procedures in place to assist us with monitoring the evolution of these laws and ensuring our ongoing compliance. We are continuously in the process of reviewing, upgrading, and enhancing these protocols. However, we cannot guarantee that our employees, consultants, or agents will not take actions that amount to a violation of these laws and regulations for which we may be ultimately responsible or that our policies and procedures will be adequate in protecting us from liability. Further, our services agreements with several customers contain contractual provisions mandating our ongoing compliance with applicable anti-corruption, economic, and trade sanctions or anti-money laundering laws or regulations. If we are deemed to be in violation of any such rules, our business activities could be restricted or terminated. In addition, we could face civil and criminal penalties, including fines, which could damage our reputation and customer relationships and materially impact our results of operations or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at our Global Operating Center and other operational sites could adversely impact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Global Operating Center in Bangalore, India provides critical support for our operations by processing screening requests, undertaking a manual review of records and verifications work, handling certain customer calls and interactions, and completing certain internal shared service support functions. We also have other important operational sites, including Fishers, Indiana; Atlanta, Georgia; Manila, Philippines; and Mumbai, India. If our operations at our Global Operating Center or such other sites are disrupted, even for a brief period of time, whether due to malevolent acts, defects, computer viruses, climate change, natural disasters such as earthquakes, fires, hurricanes or floods, power or telecommunications failures, or other external events beyond our control, it could result in interruptions in service to our customers, damage to our reputation, harm to our customer relationships, and reduced revenues and profitability. In addition, strikes, wars, terrorism, and other geopolitical unrest could cause disruptions in our business and lead to interruptions, delays, or loss of critical data. We may not have sufficient protection or recovery plans in certain circumstances, such as a significant natural disaster, and our business interruption insurance may be insufficient to compensate us for losses that occur. In the case of such an event, customers could elect to terminate our relationship, delay or withhold payment to us, or even make claims against us.</w:t>
      </w:r>
    </w:p>
    <w:p>
      <w:pPr>
        <w:spacing w:after="0" w:line="13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guaranteed exclusivity or volumes in our contracts with our customers and our customers may experience major business changes that impact our current or future revenue streams.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enjoy long-standing relationships with many of our customers, but our customer contracts and services agreements do not typically require our customers to use our products exclusively or commit to minimum engagement or order volumes. As a result, we rely on our customers’ continuing demand for our products and solutions, our technology, our value proposition, and our brand and reputation to compete. Our customers can stop doing business with us for any reason at any time with minimal notice and without penalty, which they may leverage to renegotiate our arrangements on terms less favorable to us. The loss of a significant customer or any reduced demand for our products and solutions by our customers, especially our large customers, would have a negative impact on our business. For the year ended December 31, 2023, we had one customer who accounted for approximately 12% of our revenues. We cannot guarantee that we will maintain relationships with any of our customers on acceptable terms or at all or retain, renew or expand upon our existing agreements. The failure to do so could negatively affect our business, financial condition, and results of operations.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6" w:name="page27"/>
    <w:bookmarkEnd w:id="2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with our technology and network infrastructure, including our data centers, servers, and third-party cloud and internet providers, and our migration to the cloud, could have an adverse impact on our business.</w:t>
      </w:r>
    </w:p>
    <w:p>
      <w:pPr>
        <w:spacing w:after="0" w:line="10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Our operating model depends on the efficient and unimpeded operation of our global technology and data processing systems. We currently operate data centers and servers around the world and rely on our third-party cloud providers to host certain of our websites, databases, and web-based services. Our property and business interruption insurance coverage may not be adequate to fully compensate us for losses that may occur. Severe impairment or total destruction of our data centers could occur, and recovery could be difficult and may not be possible at all. In the event of an accessibility outage or other incident at our data centers or with respect to our third-party cloud providers, our operations could be disrupted, data could be lost, our systems or the quality of our products and solutions could be compromised, and we could suffer financial loss, reputation damage, potential liability, or customer loss, any of which could have an adverse impact on our business, results of operations, and financial condition. Such outages may be impossible to predict, plan for, or avoid.</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rely on such third-party cloud providers, we are subject to risks that we can neither control nor mitigate, including their vulnerability to damage from climate change, earthquakes, hurricanes, floods, acts of terrorism, power loss, telecommunications and other service failures, break-ins, human error, and similar events. Our current or future third-party cloud providers could decide to close their facilities without adequate notice or otherwise cease doing business with us. We cannot guarantee that our current or future third-party cloud providers will keep up with our increasing capacity needs or customer demand. In addition, our users depend on internet service providers, online service providers, and other website operators for access to our systems. These providers could experience outages, delays, and other difficulties due to system failures unrelated to our systems, events which are beyond our control, or mitigation. Any changes in service levels by our current or future third-party cloud providers could result in loss or damage to our stored information and result in operational delays. Any of these events could seriously harm our business, results of operations, and financial condition.</w:t>
      </w:r>
    </w:p>
    <w:p>
      <w:pPr>
        <w:spacing w:after="0" w:line="13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currently transitioning towards hosting certain of our software and systems on cloud-based technology. This transition is complex and will require significant changes to our platforms. Scaling and adapting our technology will require a significant lead time and investment in financial and human capital. We cannot guarantee that this transition will be without operational interruptions or other forms of disruption, including loss of information, delayed turnaround times, and deficiencies in our design, implementation, or maintenance of the system. If we experience outages or interruptions in the products and solutions we provide for extended periods of time, our customers could face accessibility issues which would have an adverse impact on our business, results of operations, and financial condition.</w:t>
      </w:r>
    </w:p>
    <w:p>
      <w:pPr>
        <w:spacing w:after="0" w:line="1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integrate our platforms and solutions with that of human resource software providers or if our relationships with human resource software providers deteriorate, our business could be adversely affected.</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engage and integrate with many third-party human resource software providers, including applicant tracking systems and human capital management systems, to ensure that customers benefit from an integrated solution that allows them to easily perform both human resource functions and screenings and verifications through a core platform. This depends on our ability to seamlessly integrate our platforms and systems with those of the human resource software providers. If our engagement or arrangements with such providers are terminated for any reason, we risk losing the opportunity for continued integration with the software applications of these companies, which could jeopardize our ability to provide a seamless interface for our customers, result in service disruptions, increase costs and reduce the quality of our products, and ultimately put us at a competitive disadvantage in maintaining our customer relationships and obtaining new ones. Further, if a provider updates its products without providing sufficient notice to us, there could be disruptions to the integration, which could result in errors, delays, and interruptions.</w:t>
      </w:r>
    </w:p>
    <w:p>
      <w:pPr>
        <w:spacing w:after="0" w:line="1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these third-party human resource software providers are often sources of positive references when a customer is looking to make a purchase or contract renewal decision and may also be a source of new business referrals. If our relationships with these third parties were to deteriorate or if our arrangements with them were to expire, our business and our ability to win new customers and retain existing customers may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public opinion, which may be magnified by incidents or adverse publicity concerning our industry or operations.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operate in an industry that involves the risk of negative publicity, especially relating to cybersecurity, privacy, and data protection, and adverse developments with respect to our industry may also, by association, negatively impact our reputation. For example, when information services companies are involved in high-profile events involving data theft, these events could result in increased legal and regulatory scrutiny, adverse publicity, and potential litigation concerning the commercial use of such information for our industry in general. If there is a perception that the practices of our business or our industry constitute an invasion of privacy, our business and results of operations may be negatively impacted. There have been and may continue to be perception issues, social stigmas, and negative media attention regarding the collection, use, accuracy, correction, and sharing of personal data, which could materially adversely affect our business, results of operations, and financial condition.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deliver products to our customers effectively requires us to work with certain third-party vendors and service providers. For example, we engage third-party vendors to maintain and upgrade portions of our software and technology. In addition, from time to time and in certain geographic locations, we engage third-party support service providers depending on demand requirements on our operations and customer service call centers. Our business, therefore, depends on such third parties meeting our expectations and the expectations of our customers in timeliness, quality, and volume. We cannot guarantee our third-party providers will be able to do so on a cost-effective basis or at all due to a number of factors. Some of the third-party vendors that we rely on conduct operations outside of the United States, which subjects us to the risk that economic, political, and military events in foreign jurisdictions might cause an interruption to our operations. We may not be able to ensure that our third-party vendors perform in accordance with agreed-upon, regulated, and expected standards. We could be held accountable for their failure to do so, which may subject us to fines or other sanctions. If our third-party vendors do not meet our expectations and those of our customers, it could negatively affect our reputation, harm our relationships with existing customers, and hamper our ability to win new customers.</w:t>
      </w:r>
    </w:p>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While we have entered into agreements with some of these third-party service providers, they have no obligation to renew their agreements with us on commercially reasonable terms or at all. If any one of our third-party service provider’s ability to perform their obligations was impaired, we may not be able to find an alternative supplier in a timely manner or on acceptable financial terms, which could result in operational interruptions.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any shift in business strategy, corporate reorganization, or financial difficulties, such as bankruptcy faced by our third-party providers, may have negative effects on our ability to implement our business strategy.</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Any termination of our agreements with, or disruption in the performance of, one or more of these third-party providers could result in operational disruptions and delayed turnaround times. This could adversely impact our relationships with our existing customers, reduce our ability to attract new customers, impact our ability to innovate and introduce new products and solutions, and result in an inability to meet our obligations or require us to seek alternative service providers on less favorable terms, any of which can adversely affect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depends in large part on the service of our key executives and our ability to find and retain qualified employees.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depend to a large degree on the personal efforts, abilities, and performance of the members of our senior leadership team and other key personnel. Over the past several years, our management team has driven strategic and transformational initiatives across operations, product, engineering, and sales to accelerate growth and product development. Although we maintain employment contracts with certain of our officers, the possibility remains they may terminate their employment relationship with us at any time. If any of our key personnel were unable or unwilling to continue in their present positions, it may be difficult to replace them, and their departure could adversely affect our business, financial condition, and results of operations.</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ability to grow our business and provide our customers with the products and solutions they have grown to expect from us is also dependent on our ability to attract and retain highly motivated and qualified people. Competition for skilled employees in our industry is intense and, if we are unable to attract and retain an able workforce, our business, results of operations, and financial condition may suffer. Any unplanned turnover or sustained labor shortage, or failure to attract, develop, and maintain a highly skilled and diverse workforce, including key capabilities such as product development, sales, customer success, and operations, can deplete our institutional knowledge base, erode our competitive advantage or result in increased costs due to increased competition for employees, higher employee turnover or increased employee benefit costs.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8" w:name="page29"/>
    <w:bookmarkEnd w:id="28"/>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intellectual property rights and other proprietary rights are important to our business, and our ability to compete and our success depend, in part, on obtaining, maintaining, protecting, and enforcing such rights. In particular, the technology solutions we have created to deliver screening solutions, automate and integrate our platforms with third-party human capital management and applicant tracking systems, and gather and process information from various data sources and suppliers are critical to the success of our business. We rely on a combination of patent, copyright, trademark, and trade secret laws, as well as licensing agreements, intellectual property assignment agreements, third-party nondisclosure agreements, and other confidentiality agreements with our employees, customers, vendors, partners, and others to protect our intellectual property rights. These protections may not be adequate to prevent our competitors from copying our products and solutions or otherwise infringing on, misappropriating, or violating our intellectual property rights, and we may need to devote significant additional resources and time to ensure our intellectual property rights are adequately protected, including by bringing litigation against third parties to enforce our intellectual property rights. We cannot guarantee that we will be successful in prevailing in any such matters, regardless of our expenditures and efforts.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In addition, some of the laws in foreign markets in which we operate do not protect intellectual property and other proprietary rights to the same level of protection as do the laws of the United States, and the mechanisms for enforcement of intellectual property and other proprietary rights in such countries may be inadequate.</w:t>
      </w:r>
    </w:p>
    <w:p>
      <w:pPr>
        <w:spacing w:after="0" w:line="1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our competitors and other third parties may also design around or independently develop similar technology or otherwise duplicate or mimic our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1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Furthermore, we may also be subject to claims of intellectual property infringement, misappropriation, or violation by third parties, including our competitors. Even if we are unaware of such rights, we may be found by courts to be infringing upon, misappropriating, or violating them. If successfully asserted against us or if we decide to settle such matters, we could be required to pay substantial damages or ongoing royalty payments, obtain licenses, which may not be available on commercially reasonable terms, or at all, modify our products and solutions (including our applications), or discontinue certain products. We may also be obligated to indemnify applicants, customers, vendors, or partners in connection with any such claim or litigation. Even if we prevail in a dispute, any litigation regarding intellectual property could be costly, time-consuming, and require the deployment of significant resources, and could result in lasting harm being done to our brand and reputation, results of operations or financial condition, or have other adverse consequences.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protect and enforce the confidentiality of our trade secrets, our business and competitive position would be harmed.</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order to safeguard our innovations and competitive advantages, we partially rely on trade secrets. We cannot guarantee that we will be successful in maintaining, protecting, or enforcing the confidentiality of our trade secrets or that our non-disclosure agreements will provide sufficient protection of our trade secrets, know-how, or other proprietary information in the event of any unauthorized use, misappropriation, or other disclosure. Although we have taken steps to protect our trade secrets, including entering into confidentiality agreements with third parties and confidential information and inventions agreements with employees, consultants, and advisors, we cannot provide any assurances that any of these parties may not breach the agreements and disclose our proprietary information, including our trade secrets. For example, if a party to one of our non-disclosure agreements were to breach said agreement, we cannot guarantee that adequate remedies will be available to rectify any subsequent damages or losses of confidential and proprietary information.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It is also possible that our trade secrets will become known by some other mechanism or independently developed by our competitors, and we would have no right to prevent them from using that technology or information to compete with us. For example, a significant portion of our proprietary databases is assembled from publicly available information sources, and third parties, including our competitors, could compile similar or competing databases by accessing the same publicly available information sources.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open-source software in our applications may expose us to additional risks and harm our intellectual property rights.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 the past incorporated, and may in the future continue to incorporate, certain “open-source” software into our codebase and our products and solutions. Open-source software is generally licensed by its authors or other third parties under open-source licenses, which typically do not provide any representations, warranties, or indemnity coverage by the licensor. Some of these licenses provide that combinations of open source software with a licensee’s proprietary software are subject to the open source license and require that the combination be made available to third parties in source code form, at no cost, or subject to other unfavorable conditions. Some open-source licenses may also require the licensee to grant licenses under certain of its own intellectual property to third parties. From time to time, there have been claims challenging the ownership of open-source software against companies that incorporate such software into their products or applications. The terms of various open-source licenses have not been interpreted by courts, and there is a risk that such licenses could be construed in a manner that imposes unanticipated conditions or restrictions on our use of open-source software or our proprietary rights. In addition, if we were to combine our applications with open-source software in a certain manner, we could, under certain of the open-source licenses, be required to publicly release or license, at no cost, our products that incorporate the open-source software or the affected portions of our source code, which could allow our competitors or other third parties to create similar products and solutions with lower development effort, time, and costs, and could ultimately result in a loss of transaction volume for us. If we inappropriately use open-source software, we may be required to redesign our applications, seek licenses from third parties in order to continue offering our products, which may not be available on commercially reasonable terms, or at all, discontinue the sale of our products or solutions, or take other remedial actions, each of which could reduce or eliminate the value of our technologies and could adversely impact our business, operating results, or financial condition.</w:t>
      </w:r>
    </w:p>
    <w:p>
      <w:pPr>
        <w:spacing w:after="0" w:line="14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cannot ensure that we have not incorporated open-source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open-source licenses, we could be required to incur significant legal expenses defending such allegations, be subject to significant damages, be enjoined from the sale of our products and solutions, and be required to comply with onerous conditions or restrictions on our products and solutions, any of which could be materially disruptive to our business. Litigation could be costly for us to defend, have a negative effect on our operating results and financial condition, or require us to devote additional development resources to change our applications.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our operating results to fluctuate from quarter to quarter.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experience seasonality with respect to certain industries we service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first quarter following the U.S. holiday hiring season. Certain customers across various industries also historically increase their hiring throughout the second quarter of the year as winter concludes, commercial activity tied to outdoor activities increases, and the school year ends, giving rise to student and graduate hiring.</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customers may elect to complete post-onboarding screening such as workforce re-screens and other products at different periods and intervals during any given year. It is not always possible to accurately forecast the timing and magnitude of these programs.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 digital transformation, growth in e-commerce, and other economic, demographic, and labor market shifts can impact seasonality trends, making it difficult for us to predict how our seasonality may evolve in the future. As a result, it may be difficult to forecast our results of operations accurately, and there can be no assurance that the results of any particular quarter or other period will serve as an indication of our future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interpretation of tax laws may have a material adverse effect on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Tax laws and related interpretations with respect to income taxation are frequently reviewed and amended by governmental bodies, officials, and regulatory agencies in the United States and other jurisdictions in which we do business. In 2023, we fully utilized our remaining U.S. Federal income tax net operating loss carryforward. As a result, income taxes have become a material use of funds. Our provision for income taxes and liquidity may therefore be adversely affected by changes to our operating model, changes in the mix of income and expenses in countries with differing tax rates, changes in the valuation of deferred tax assets and liabilities, or changes in tax laws, regulations, or administrative interpretations. For example, there are several proposals to change the current tax law, including changes in global intangible low-taxed income (“GILTI”). Additionally, the Inflation Reduction Act was enacted on August 16, 2022, and includes a new 15% minimum tax on “adjusted financial statement income” beginning with the Company’s fiscal year 2024, and a new 1% excise tax on stock repurchases after December 31, 2022. While these tax law changes and proposals had no immediate material effect, if any or all of these (or similar) proposals are ultimately enacted into law, in whole or in part, they could have a negative impact on our effective tax rate. It cannot be predicted whether or when tax laws, regulations, and rulings may be enacted, issued, or amended that could materially and adversely impact our financial position, results of operations, or cash flows.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implementation cycles can be lengthy and variable, depend upon factors outside our control, and could cause us unexpected delays in generating revenues or result in lower than anticipated revenues.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Unexpected delays and difficulties can occur as customers implement and test our products and solutions. Implementation typically involves integration with our customers’ and third-party systems and internal processes, as well as adding customer and third-party data to our platforms. This can be complex and time-consuming for our customers and can result in delays. We provide our customers with upfront estimates regarding the duration and resources associated with the implementation of our products and solutions. However, delays may occur due to discoveries made during the implementation process, such as unique or unusual customer requirements or our internal limitations. If we are unable to resolve these issues and we fail to meet the upfront estimates and the expectations of our customers, it could result in customer dissatisfaction, loss of customers, delays in generating revenues, or negative brand perception about us and our products and solutions. Our implementation cycles could also be disrupted by factors outside of our control, such as deficiencies in the platform of our customers or third-party ATS or HCM systems, which could adversely affect our business,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there were an event of default under any of the agreements relating to our outstanding debt, the holders of the defaulted debt could cause all amounts outstanding with respect to that debt to be due and payable immediately. Our assets or cash flow may not be sufficient to fully repay borrowing under our outstanding debt instruments if accelerated upon an event of default. Further, if we are unable to repay, refinance or restructure our secured debt, the holders of such debt could proceed against the collateral securing such debt. In addition, any event of default or declaration of acceleration under one debt instrument could also result in an event of default under one or more of our other debt instruments. As a result, any default by us on our debt could have a materially adverse effect on our business, results of operations, and financial condition.</w:t>
      </w:r>
    </w:p>
    <w:p>
      <w:pPr>
        <w:spacing w:after="0" w:line="12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ability to raise additional capital to fund our operations, limit our ability to react to changes in the economy or our industry, and prevent us from meeting our obligations.</w:t>
      </w:r>
    </w:p>
    <w:p>
      <w:pPr>
        <w:spacing w:after="0" w:line="10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31, 2023, we had $564.7 million of total debt outstanding. We expect to incur approximately $1.820 billion of indebtedness to finance the Acquisition.</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indebtedness increases the risk that we may be unable to generate cash sufficient to pay amounts due in respect of our indebtedness. Our indebtedness could have other important consequences to us, including:</w:t>
      </w:r>
    </w:p>
    <w:p>
      <w:pPr>
        <w:spacing w:after="0" w:line="108" w:lineRule="exact"/>
        <w:rPr>
          <w:sz w:val="20"/>
          <w:szCs w:val="20"/>
          <w:color w:val="auto"/>
        </w:rPr>
      </w:pPr>
    </w:p>
    <w:p>
      <w:pPr>
        <w:ind w:left="740" w:hanging="223"/>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the general economy, industry, and competitive conditions;</w:t>
      </w:r>
    </w:p>
    <w:p>
      <w:pPr>
        <w:spacing w:after="0" w:line="117" w:lineRule="exact"/>
        <w:rPr>
          <w:rFonts w:ascii="Times New Roman" w:cs="Times New Roman" w:eastAsia="Times New Roman" w:hAnsi="Times New Roman"/>
          <w:sz w:val="18"/>
          <w:szCs w:val="18"/>
          <w:color w:val="auto"/>
        </w:rPr>
      </w:pPr>
    </w:p>
    <w:p>
      <w:pPr>
        <w:ind w:left="740" w:right="540" w:hanging="223"/>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repatriate cash from our foreign subsidiaries to accommodate debt service payments;</w:t>
      </w:r>
    </w:p>
    <w:p>
      <w:pPr>
        <w:spacing w:after="0" w:line="117" w:lineRule="exact"/>
        <w:rPr>
          <w:rFonts w:ascii="Times New Roman" w:cs="Times New Roman" w:eastAsia="Times New Roman" w:hAnsi="Times New Roman"/>
          <w:sz w:val="18"/>
          <w:szCs w:val="18"/>
          <w:color w:val="auto"/>
        </w:rPr>
      </w:pPr>
    </w:p>
    <w:p>
      <w:pPr>
        <w:ind w:left="740" w:right="220" w:hanging="223"/>
        <w:spacing w:after="0" w:line="312" w:lineRule="auto"/>
        <w:tabs>
          <w:tab w:leader="none" w:pos="7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us to the risk of increased interest rates as certain of our borrowings, including borrowings under our term loan facility, are at variable rates, and we may not be able to enter into interest rate swaps, and any swaps we enter into may not fully mitigate our interest rate risk;</w:t>
      </w:r>
    </w:p>
    <w:p>
      <w:pPr>
        <w:spacing w:after="0" w:line="31" w:lineRule="exact"/>
        <w:rPr>
          <w:rFonts w:ascii="Times New Roman" w:cs="Times New Roman" w:eastAsia="Times New Roman" w:hAnsi="Times New Roman"/>
          <w:sz w:val="17"/>
          <w:szCs w:val="17"/>
          <w:color w:val="auto"/>
        </w:rPr>
      </w:pPr>
    </w:p>
    <w:p>
      <w:pPr>
        <w:ind w:left="740" w:hanging="223"/>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capitalizing on business opportunities;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to satisfy our financial obligations, including payments on our indebtedness;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117" w:lineRule="exact"/>
        <w:rPr>
          <w:rFonts w:ascii="Times New Roman" w:cs="Times New Roman" w:eastAsia="Times New Roman" w:hAnsi="Times New Roman"/>
          <w:sz w:val="18"/>
          <w:szCs w:val="18"/>
          <w:color w:val="auto"/>
        </w:rPr>
      </w:pPr>
    </w:p>
    <w:p>
      <w:pPr>
        <w:ind w:left="740" w:right="200" w:hanging="223"/>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debt service requirements, execution of our business strategy, or other general corporate purposes.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the credit agreement governing our term loan facility and revolving credit facility contains, and the agreements governing future indebtedness may contain, restrictive covenants that limit our ability to engage in activities that may be in our long-term best interests. Our failure to comply with those covenants could result in an event of default that, if not cured or waived, could result in the acceleration of all of our indebtedness.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t>We may incur significant additional indebtedness in the future. Although the credit agreement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 associated with our indebtedness described above will increase. See “Management’s Discussion and Analysis of Financial Condition and Results of Operations—Liquidity and Capital Resources—Long-Term Debt.”</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1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effect any of these actions, if necessary, on commercially reasonable terms or at all. Our ability to restructure or refinance our indebtedness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including the credit agreement governing our term loan facility and revolving credit facility,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would have an adverse effect, which could be material, on our business, results of operations, and financial condition, as well as on our ability to satisfy our obligations in respect of our term loan facility and revolving credit facility.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instruments restrict our current and future operations, particularly our ability to respond to changes or take certain actions.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credit agreement governing our term loan facility and revolving credit facility impose significant operating and financial restrictions and limit our ability to:</w:t>
      </w:r>
    </w:p>
    <w:p>
      <w:pPr>
        <w:spacing w:after="0" w:line="108" w:lineRule="exact"/>
        <w:rPr>
          <w:sz w:val="20"/>
          <w:szCs w:val="20"/>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and advances;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changes in the nature of our business.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these covenants and restrictions, we are and will be limited in how we conduct our business, and we may be unable to raise additional debt or equity financing to compete effectively or to take advantage of new business opportunities. In addition, we are required to maintain specified financial ratios and satisfy other financial condition tests.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2" w:name="page33"/>
    <w:bookmarkEnd w:id="32"/>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due date. If we are forced to refinance these borrowings on less favorable terms, our results of operations and financial condition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implemented or that it will enhance long-term stockholder value.</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2022, our Board of Directors approved our share repurchase program (“Repurchase Program”) totaling $150.0 million which expired on December 31, 2023. In 2023, our Board of Directors further increased the total available amount under the Repurchase Program to $200.0 million and extended the authorization through December 31, 2024. We are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Our Repurchase Program may be modified, suspended or terminated at any time and, even if fully implemented, may not enhance long-term stockholder value. In connection with the execution of the Merger Agreement, the Company will be suspending purchases under its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Silver Lake controls us and its interests may conflict with yours in the future.</w:t>
      </w:r>
    </w:p>
    <w:p>
      <w:pPr>
        <w:spacing w:after="0" w:line="1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Silver Lake beneficially owned 61.7% of our outstanding common stock as of December 31, 2023. As a result, Silver Lake is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Silver Lake and its affiliates retain significant ownership of us. This concentration of our ownership may delay or deter possible changes in control of the Company, which may reduce the value of an investment in our common stock. So long as Silver Lake continues to own a significant amount of our combined voting power, even if such amount is less than 50%, Silver Lake will continue to be able to strongly influence or effectively control our decisions and, so long as Silver Lake and its affiliates collectively own at least 5% of all outstanding shares of our stock entitled to vote generally in the election of directors, Silver Lake will be able to nominate individuals to our Board of Directors under our stockholders’ agreement. In addition, the stockholders’ agreement grants to Silver Lake and its affiliates and certain of their transferees certain governance rights for as long as Silver Lake and its affiliates and certain of their transferees maintain ownership of at least 25% of our outstanding common stock, including rights of approval over the entry into joint ventures or similar business alliances having a fair market value of more than $100 million, incurrence of debt for borrowed money in excess of $100 million, the increase or reduction in the size of our Board of Directors, initiation of any liquidation, dissolution, bankruptcy or other insolvency proceeding, the appointment or termination of our chief executive officer, or any material change in the nature of our business. The interests of Silver Lake may not coincide with the interests of other holders of our common stock.</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their business activities, Silver Lake and its affiliates may engage in activities where their interests conflict with our interests or those of our stockholders. Our certificate of incorporation provides that Silver Lake, any of its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Silver Lake also may pursue acquisition opportunities that may be complementary to our business and, as a result, those acquisition opportunities may not be available to us. In addition, Silver Lake may have an interest in pursuing acquisitions, divestitures and other transactions that, in their judgment, could enhance its investment, even though such transactions might involve risks to you.</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Silver Lake and its affiliates are able to determine the outcome of all matters requiring stockholder approval and are able to cause or prevent a change of control of the Company or a change in the composition of our Board of Directors and could preclude any acquisition of the Company. Further, under the stockholders’ agreement, so long as Silver Lake and its affiliates and certain of their transferees maintain ownership of at least 25% of our outstanding common stock, they will have approval rights of any change of control transaction, which could preclude any unsolicited acquisition of our shares. This concentration of voting control could deprive you of an opportunity to receive a premium for your shares of common stock as part of a sale of the Company and ultimately might affect the market price of our common stock.</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1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108" w:lineRule="exact"/>
        <w:rPr>
          <w:sz w:val="20"/>
          <w:szCs w:val="20"/>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17" w:lineRule="exact"/>
        <w:rPr>
          <w:rFonts w:ascii="Times New Roman" w:cs="Times New Roman" w:eastAsia="Times New Roman" w:hAnsi="Times New Roman"/>
          <w:sz w:val="18"/>
          <w:szCs w:val="18"/>
          <w:color w:val="auto"/>
        </w:rPr>
      </w:pPr>
    </w:p>
    <w:p>
      <w:pPr>
        <w:ind w:left="740" w:right="460" w:hanging="223"/>
        <w:spacing w:after="0" w:line="28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17" w:lineRule="exact"/>
        <w:rPr>
          <w:rFonts w:ascii="Times New Roman" w:cs="Times New Roman" w:eastAsia="Times New Roman" w:hAnsi="Times New Roman"/>
          <w:sz w:val="18"/>
          <w:szCs w:val="18"/>
          <w:color w:val="auto"/>
        </w:rPr>
      </w:pPr>
    </w:p>
    <w:p>
      <w:pPr>
        <w:ind w:left="740" w:right="160" w:hanging="223"/>
        <w:spacing w:after="0" w:line="28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or our distributors of significant contracts, price reductions, new products or technologies, acquisitions, dispositions, joint marketing relationships, joint ventures, other strategic relationships or capital commitments;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17" w:lineRule="exact"/>
        <w:rPr>
          <w:rFonts w:ascii="Times New Roman" w:cs="Times New Roman" w:eastAsia="Times New Roman" w:hAnsi="Times New Roman"/>
          <w:sz w:val="18"/>
          <w:szCs w:val="18"/>
          <w:color w:val="auto"/>
        </w:rPr>
      </w:pPr>
    </w:p>
    <w:p>
      <w:pPr>
        <w:ind w:left="740" w:right="320" w:hanging="223"/>
        <w:spacing w:after="0" w:line="28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natural disasters, war, acts of terrorism or responses to these events.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The Company’s payment of a one-time special cash dividend of $1.50 per share in August 2023 should not be regarded as any indication of an intention to pay dividends in future.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result, you may not receive any return on an investment in our common stock unless you sell our common stock for a price greater than your purchase price.</w:t>
      </w:r>
    </w:p>
    <w:p>
      <w:pPr>
        <w:spacing w:after="0" w:line="10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First Advantage Corporation is a holding company with no operations of its own and, as such, it depends on its subsidiaries for cash to fund all of its operations and expenses, including future dividend payments, if any.</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currently do not intend to pay dividends on our common stock;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1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“controlled company” within the meaning of Nasdaq rules and the rules of the SEC and, as a result, qualify for exemptions from certain corporate governance requirements.</w:t>
      </w:r>
    </w:p>
    <w:p>
      <w:pPr>
        <w:spacing w:after="0" w:line="1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Silver Lake controls a majority of the voting power of our outstanding common stock. As a result, we qualify as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126" w:lineRule="exact"/>
        <w:rPr>
          <w:sz w:val="20"/>
          <w:szCs w:val="20"/>
          <w:color w:val="auto"/>
        </w:rPr>
      </w:pPr>
    </w:p>
    <w:p>
      <w:pPr>
        <w:ind w:left="740" w:hanging="223"/>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Nasdaq rules;</w:t>
      </w:r>
    </w:p>
    <w:p>
      <w:pPr>
        <w:spacing w:after="0" w:line="117" w:lineRule="exact"/>
        <w:rPr>
          <w:rFonts w:ascii="Times New Roman" w:cs="Times New Roman" w:eastAsia="Times New Roman" w:hAnsi="Times New Roman"/>
          <w:sz w:val="18"/>
          <w:szCs w:val="18"/>
          <w:color w:val="auto"/>
        </w:rPr>
      </w:pPr>
    </w:p>
    <w:p>
      <w:pPr>
        <w:ind w:left="740" w:right="380" w:hanging="223"/>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for our Board of Directors’ selection by a nominating/governance committee comprised solely of independent directors; and</w:t>
      </w:r>
    </w:p>
    <w:p>
      <w:pPr>
        <w:spacing w:after="0" w:line="53" w:lineRule="exact"/>
        <w:rPr>
          <w:rFonts w:ascii="Times New Roman" w:cs="Times New Roman" w:eastAsia="Times New Roman" w:hAnsi="Times New Roman"/>
          <w:sz w:val="18"/>
          <w:szCs w:val="18"/>
          <w:color w:val="auto"/>
        </w:rPr>
      </w:pPr>
    </w:p>
    <w:p>
      <w:pPr>
        <w:ind w:left="740" w:right="440" w:hanging="223"/>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our Board of Directors for determination, by a compensation committee comprised solely of independent directors.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we are not relying on the exemptions from these corporate governance requirements, if we do rely on such exemptions in the future, you will not have the same protections afforded to stockholders of companies that are subject to all of the corporate governance requirements of Nasdaq.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854,925,198 shares of authorized but unissued common stock. Our amended and restated certificate of incorporation authorizes us to issue these shares of common stock and securities relating to common stock for the consideration and on the terms and conditions established by our Board of Directors in its sole discretion, whether in connection with acquisitions (including the Acquisition) or otherwise. We have reserved shares for issuance under the 2021 Equity Plan and the ESPP. Any common stock that we issue, including under the 2021 Equity Plan or the ESPP or other equity incentive plans that we may adopt in the future, would dilute the percentage ownership held by the investors who purchase common stock.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stockholders in the public market could cause the market price for our common stock to decline.</w:t>
      </w:r>
    </w:p>
    <w:p>
      <w:pPr>
        <w:spacing w:after="0" w:line="1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including sales by Silver Lake,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Shares held by Silver Lake and certain of our directors, officers and employees are eligible for resale, subject to volume, manner of sale and other limitations under Rule 144, and subject to transfer restrictions applicable to certain members of our management and Silver Lake who are party to our stockholders’ agreement. In addition, pursuant to our stockholders’ agreement, Silver Lake has the right, subject to certain conditions, to require us to register the sale of their shares of our common stock under the Securities Act of 1933 (as amended, the “Securities Act”). Certain of our stockholders will also have “piggyback” registration rights with respect to future registered offerings of our common stock.</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such registration rights are exercised, the market price of our shares of common stock could drop significantly. This could also make it more difficult for us to raise additional funds through future offerings of our shares of common stock or other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71" w:lineRule="exact"/>
        <w:rPr>
          <w:sz w:val="20"/>
          <w:szCs w:val="20"/>
          <w:color w:val="auto"/>
        </w:rPr>
      </w:pPr>
    </w:p>
    <w:p>
      <w:pPr>
        <w:ind w:left="740" w:right="400" w:hanging="223"/>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is divided into three classes, with each class serving for staggered three-year terms;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17" w:lineRule="exact"/>
        <w:rPr>
          <w:rFonts w:ascii="Times New Roman" w:cs="Times New Roman" w:eastAsia="Times New Roman" w:hAnsi="Times New Roman"/>
          <w:sz w:val="18"/>
          <w:szCs w:val="18"/>
          <w:color w:val="auto"/>
        </w:rPr>
      </w:pPr>
    </w:p>
    <w:p>
      <w:pPr>
        <w:ind w:left="740" w:right="100" w:hanging="223"/>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23" w:lineRule="exact"/>
        <w:rPr>
          <w:rFonts w:ascii="Times New Roman" w:cs="Times New Roman" w:eastAsia="Times New Roman" w:hAnsi="Times New Roman"/>
          <w:sz w:val="18"/>
          <w:szCs w:val="18"/>
          <w:color w:val="auto"/>
        </w:rPr>
      </w:pPr>
    </w:p>
    <w:p>
      <w:pPr>
        <w:ind w:left="740" w:hanging="223"/>
        <w:spacing w:after="0" w:line="238"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8"/>
          <w:szCs w:val="18"/>
          <w:color w:val="auto"/>
        </w:rPr>
        <w:t>% of the shares of common stock entitled to vote generally in the election of directors if Silver Lake and its affiliates cease to beneficially own at least 50% of shares of common stock entitled to vote generally in the election of directors; and</w:t>
      </w:r>
    </w:p>
    <w:p>
      <w:pPr>
        <w:spacing w:after="0" w:line="98" w:lineRule="exact"/>
        <w:rPr>
          <w:rFonts w:ascii="Times New Roman" w:cs="Times New Roman" w:eastAsia="Times New Roman" w:hAnsi="Times New Roman"/>
          <w:sz w:val="18"/>
          <w:szCs w:val="18"/>
          <w:color w:val="auto"/>
        </w:rPr>
      </w:pPr>
    </w:p>
    <w:p>
      <w:pPr>
        <w:jc w:val="both"/>
        <w:ind w:left="740" w:hanging="223"/>
        <w:spacing w:after="0" w:line="238"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8"/>
          <w:szCs w:val="18"/>
          <w:color w:val="auto"/>
        </w:rPr>
        <w:t>% of shares of common stock entitled to vote generally in the election of directors if Silver Lake and its affiliates cease to beneficially own at least 50% of shares of common stock entitled to vote generally in the election of directors.</w:t>
      </w:r>
    </w:p>
    <w:p>
      <w:pPr>
        <w:spacing w:after="0" w:line="14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250,000,000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6" w:name="page37"/>
    <w:bookmarkEnd w:id="36"/>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subject to limited exceptions, that state and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The choice of forum provision described in the preceding sentence does not apply to claims brought under the Securities Act or the Securities Exchange Act of 1934 (as amended, the “Exchange Act”), meaning that nothing in our amended and restated certificate of incorporation or amended and restated by-laws will preclude stockholders that assert claims under the Securities Act or the Exchange Act, from bringing such claims in state or federal court, subject to applicable law.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may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and we may encounter problems or delays in completing the remediation of any such deficiencies that we identify or that are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(to the extent it is required to issue a report), investors could lose confidence in our reported financial information, which could have a material adverse effect on the trading price of our common stock.</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cover us downgrade our stock or our industry, or change their views regarding the stock of any of our competitors, or publish inaccurate or unfavorable research about our business, or if we fail to meet their expectations for our financial results,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 long-term impact on our business.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While we seek to partner with organizations that mitigate their business risks associated with climate change, we recognize that there are inherent risks wherever business is conducted. Access to clean water and reliable energy in the communities where we conduct our business, whether for our offices or for our vendors, is a priority. Our major sites in the United States and India are vulnerable to climate change effects. While this danger has a low-assessed risk of disrupting normal business operations, it has the potential impact on employees’ abilities to commute to work or to work from home and stay connected effectively. Climate-related events, including the increasing frequency of extreme weather events and their impact on the United States, India and other major regions’ critical infrastructure, have the potential to disrupt our business, our third-party suppliers and/or the business of our customers, and may cause us to experience higher attrition, losses and additional costs to maintain or resume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processes in place for assessing, identifying, and managing material risks from potential unauthorized occurrences on or through our electronic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prevent, detect, mitigate or remediate data loss, theft, misuse, unauthorized access, or other security incidents or vulnerabilities affecting the data. The data includes confidential, proprietary, and business and personal information that we collect, process, store, and transmit as part of our business, including on behalf of third parties. We also use systems and processes designed to reduce the impact of a security incident impacting our data at a third-party vendor or customer. Additionally, we use processes to oversee and identify material risks from cybersecurity threats associated with our use of third-party technology and systems, including: technology and systems we use for encryption and authentication; employee email; content delivery to customers; back-office support; and other functions.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cybersecurity team is led by our interim chief information security officer (“CISO”), who directs a unified cross-functional team that is responsible for implementing and maintaining centralized cybersecurity and data protection practices at First Advantage. Our interim CISO has numerous years of experience at First Advantage and other organizations managing security infrastructure, providing a variety of security services, and overseeing incident response and management, escalation of security events, vulnerability scanning, and security defect management. Collectively, the interim CISO and our cybersecurity team act in close coordination with senior leadership and other teams across First Advantage. In addition to our extensive in-house cybersecurity capabilities, we engage assessors, consultants, auditors, or other third parties to help assess, identify, and manage cybersecurity risks.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process forms a critical component of our overall risk management and business strategy. As part of our risk management process, we conduct application security assessments, vulnerability management, penetration testing, security audits, and ongoing risk assessments. Additionally, we utilize data encryption and access control, single sign-on and multi-factor authentication, and malware protection within our control environment. We also maintain a variety of incident response plans that are utilized when incidents are detected. These plans are designed to be flexible so that they may be adapted to an array of potential scenarios and provide for the creation of cross-functional cybersecurity incident response teams in the event of a cybersecurity incident. We regularly review our incident response plans and conduct multiple incident response exercises each year, including sessions with management, to test and assess our preparedness to respond to a cybersecurity incident. Additionally, we require employees with access to our information systems, including all corporate employees, to undertake data protection and cybersecurity training and compliance programs annually.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8" w:name="page39"/>
    <w:bookmarkEnd w:id="38"/>
    <w:p>
      <w:pPr>
        <w:ind w:right="40"/>
        <w:spacing w:after="0" w:line="256" w:lineRule="auto"/>
        <w:rPr>
          <w:sz w:val="20"/>
          <w:szCs w:val="20"/>
          <w:color w:val="auto"/>
        </w:rPr>
      </w:pPr>
      <w:r>
        <w:rPr>
          <w:rFonts w:ascii="Times New Roman" w:cs="Times New Roman" w:eastAsia="Times New Roman" w:hAnsi="Times New Roman"/>
          <w:sz w:val="18"/>
          <w:szCs w:val="18"/>
          <w:color w:val="auto"/>
        </w:rPr>
        <w:t>As part of our incident detection and response processes, we have established internal teams to investigate and escalate notification of cybersecurity incidents. Pursuant to this process, cybersecurity incidents are reported to appropriate personnel within First Advantage (including the interim CISO, Chief Financial Officer, and General Counsel) and to the Audit Committee and Board of Directors based on incident materiality. We track incidents through resolution, conduct post-incident analysis and update our processes and procedures if areas for improvement are identified. On a monthly basis, a summary of prior period cybersecurity investigation escalations is reviewed by management, including our head of Internal Audit, our interim CISO, our Chief Global Compliance Officer, and our General Counsel.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cybersecurity risks and associated mitigations are evaluated by senior leadership, including as part of our enterprise risk assessments that are reviewed by the Audit Committee and our Board of Directors. Such risks and related mitigation activities are also subject to oversight by the Audit Committee of our Board of Directors. The Audit Committee, which is comprised of independent directors, oversees our policies and procedures for protecting our cybersecurity infrastructure and for compliance with applicable data protection and security regulations, and related risks, including management’s response to any significant cybersecurity incidents. The Audit Committee receives regular reports, from our interim CISO and Chief Technology Officer, regarding the cybersecurity control environment, including remediation updates, control posture analyses and other recurring items, and reports to the Board of Directors at least quarterly.</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 information about cybersecurity risks we face is discussed in Item 1A of Part I, “Risk Factors,” under the heading “Our business, brand, and reputation may be harmed as a result of security breaches, cyber-attacks, employee or other internal misconduct, computer viruses, or the mishandling of personal data” should be read in conjunction with the information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corporate office is located at 1 Concourse Parkway NE, Suite 200, Atlanta, GA 30328 under a lease agreement that expires on January 31, 2030, with one five-year renewal option. This property also houses our executive offices. We also lease office space in Bangalore, India, where our Global Operating Center is located. Additionally, we lease office space in Fishers, Indiana; Nottingham, United Kingdom; Manila, Philippines; and Mumbai, India for certain significant operational and support functions. We believe that our executive and other offices are adequate for our immediate needs and that we will obtain additional or substitute space, as needed, on commercially reasonable terms.</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to leveraging public cloud vendors, we maintain data centers across the globe. Our public cloud vendors and data centers are fully PCI compliant and equipped with redundant power, cooling, and fire suppression. We also ensure that our data centers maintain connectivity to major internet service providers and are protected and surveilled by our Global Network Operations Center. In the event of a disaster or emergency, each data center can rely on a backup located outside of the primary site’s region where all critical data is replicated. In the event of a service failure, critical customer-facing solutions are set to resume service at the designated backup location.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3 is set forth in Note 13 within “Notes to Consolidated Financial Statements” included in Part IV, Item 15 of this Annual Report and is incorporated herein by this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9" w:name="page40"/>
    <w:bookmarkEnd w:id="39"/>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June 23, 2021, our common stock began trading on the Nasdaq under the symbol “FA.” Prior to that time, there was no public market for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February 23, 2024, the closing price of our common stock on the Nasdaq was $17.27 per share and we had 13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The cash dividend was paid on August 31, 2023. Any further determination to pay dividends on our capital stock will be at the discretion of our Board of Directors, subject to applicable laws, and will depend on our financial condition, operating results, capital requirements, general business conditions, and other factors that our Board of Directors considers relevant.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August 2, 2022, the Company’s Board of Directors authorized the repurchase of up to $50.0 million of the Company’s common stock over the 12-month period ending August 2, 2023.</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November 8, 2022, the Company’s Board of Directors authorized an increase to the total available amount under its Repurchase Program to $150.0 million and extended the program through December 31, 2023.</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February 28, 2023, the Company’s Board of Directors authorized an increase to the total available amount under its Repurchase Program to $200.0 million.</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September 14, 2023, the Company announced that its Board of Directors approved a one-year extension of its share repurchase authorization, extending the previously authorized $200.0 million program through December 31, 2024.</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February 23, 2024, the Company has repurchased 9.0 million shares of common stock for $119.5 million under the Repurchase Program. All share repurchases were made under the Company's publicly announced program, and there are no other programs under which the Company repurchases shares. The following information relates to the Company’s purchase of its common stock during each month within the fourth quarter of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520" w:type="dxa"/>
            <w:vAlign w:val="bottom"/>
            <w:gridSpan w:val="2"/>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5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5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65"/>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1520" w:type="dxa"/>
            <w:vAlign w:val="bottom"/>
            <w:gridSpan w:val="2"/>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56"/>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Paid Per Share </w:t>
            </w:r>
            <w:r>
              <w:rPr>
                <w:rFonts w:ascii="Times New Roman" w:cs="Times New Roman" w:eastAsia="Times New Roman" w:hAnsi="Times New Roman"/>
                <w:sz w:val="19"/>
                <w:szCs w:val="19"/>
                <w:b w:val="1"/>
                <w:bCs w:val="1"/>
                <w:color w:val="auto"/>
                <w:w w:val="97"/>
                <w:vertAlign w:val="superscript"/>
              </w:rPr>
              <w:t>(1)</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2023 through October 31, 2023</w:t>
            </w:r>
          </w:p>
        </w:tc>
        <w:tc>
          <w:tcPr>
            <w:tcW w:w="15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80,825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13.19</w:t>
            </w:r>
          </w:p>
        </w:tc>
        <w:tc>
          <w:tcPr>
            <w:tcW w:w="164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80,825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82,486,396</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2023 through November 30, 2023</w:t>
            </w: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151,535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13.25</w:t>
            </w:r>
          </w:p>
        </w:tc>
        <w:tc>
          <w:tcPr>
            <w:tcW w:w="16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151,535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47"/>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2023 through December 31, 2023</w:t>
            </w:r>
          </w:p>
        </w:tc>
        <w:tc>
          <w:tcPr>
            <w:tcW w:w="15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232,360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13.23</w:t>
            </w:r>
          </w:p>
        </w:tc>
        <w:tc>
          <w:tcPr>
            <w:tcW w:w="16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232,360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-187960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for shares purchased as part of our Repurchase Program (includes brokerage commissions).</w:t>
      </w:r>
    </w:p>
    <w:p>
      <w:pPr>
        <w:spacing w:after="0" w:line="1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Stock repurchases may be effected through open market repurchases at prevailing market prices, including through the use of block trades and trading plans intended to qualify under Rule 10b5-1 under the Exchange Act,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In connection with the execution of the Merger Agreement, the Company will be suspending purchases under its Repurchase Program.</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graph depicts the total cumulative stockholder return on our common stock from the closing price on June 23, 2021, the first day of trading of our common stock on the Nasdaq, through December 31, 2023, relative to the performance of the Russell 2000 and S&amp;P 500 Index. The graph assumes an initial investment of $100.00 at the close of trading on June 23, 2021 and that all dividends paid by the Company and the companies included in these indices have been reinvested. The performance shown in the graph below is not intended to forecast or be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is intended to help the reader understand the results of operations and financial condition of First Advantage and should be read in conjunction with our consolidated financial statements included elsewhere in this Annual Report. The discussion contains forward-looking statements involving risks, uncertainties and assumptions that could cause our results to differ materially from expectations. See “Cautionary Notice Regarding Forward-Looking Statements.” Factors that might cause such differences include those described in Item 1A. “Risk Factors” and elsewhere in this Annual Report.</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First Advantage is a leading provider of employment background screening, identity, and verification solutions. We deliver innovative services and insights that help our customers manage risk and hire the best talent. Enabled by our proprietary technology, we help companies protect their brands and provide safer environments for their customers and their most important resources: employees, contractors, contingent workers, tenants, and drivers.</w:t>
      </w:r>
    </w:p>
    <w:p>
      <w:pPr>
        <w:spacing w:after="0" w:line="12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more than 30,000 customers are global enterprises, mid-sized companies, and small companies, and our products and solutions are used by personnel in recruiting, human resources, risk, compliance, vendor management, safety, and/or security.</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products are sold both individually and packaged.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We typically bill our customers at the end of each month and recognize revenues as completed orders are reported or otherwise made available to our customers. Approximately 90% of the criminal searches performed in the United States are completed the same day they are submitted.</w:t>
      </w:r>
    </w:p>
    <w:p>
      <w:pPr>
        <w:spacing w:after="0" w:line="1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generated revenues of $763.8 million for the year ended December 31, 2023, which represents a decline of 5.7% as compared to $810.0 million for the year ended December 31, 2022. Approximately 87% of our revenues for the year ended December 31, 2023 was generated in the Americas, predominantly in the U.S., while the remaining 13% was generated internationally. Other than the United States, no single country accounted for 10% or more of our total revenues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in two reportable segments, Americas and International:</w:t>
      </w:r>
    </w:p>
    <w:p>
      <w:pPr>
        <w:spacing w:after="0" w:line="167" w:lineRule="exact"/>
        <w:rPr>
          <w:sz w:val="20"/>
          <w:szCs w:val="20"/>
          <w:color w:val="auto"/>
        </w:rPr>
      </w:pPr>
    </w:p>
    <w:p>
      <w:pPr>
        <w:ind w:left="740" w:right="40" w:hanging="223"/>
        <w:spacing w:after="0" w:line="262"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Americas. </w:t>
      </w:r>
      <w:r>
        <w:rPr>
          <w:rFonts w:ascii="Times New Roman" w:cs="Times New Roman" w:eastAsia="Times New Roman" w:hAnsi="Times New Roman"/>
          <w:sz w:val="18"/>
          <w:szCs w:val="18"/>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 markets.</w:t>
      </w:r>
    </w:p>
    <w:p>
      <w:pPr>
        <w:spacing w:after="0" w:line="68" w:lineRule="exact"/>
        <w:rPr>
          <w:rFonts w:ascii="Times New Roman" w:cs="Times New Roman" w:eastAsia="Times New Roman" w:hAnsi="Times New Roman"/>
          <w:sz w:val="18"/>
          <w:szCs w:val="18"/>
          <w:color w:val="auto"/>
        </w:rPr>
      </w:pPr>
    </w:p>
    <w:p>
      <w:pPr>
        <w:ind w:left="740" w:right="280" w:hanging="223"/>
        <w:spacing w:after="0" w:line="286"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The International segment provides services similar to our Americas segment in regions outside of the Americas. We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our solutions across multiple industry verticals in the Europe, India, and Asia Pacific markets.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Sterling Check Corp.</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28, 2024, we entered into the Merger Agreement providing for the acquisition of Sterling in a cash-and-stock transaction that values Sterling at approximately $2.2 billion.</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Borrower, entered into a commitment letter with certain financial institutions that committed to provide, subject to the terms and conditions of the commitment letter, an incremental term loan in an aggregate principal amount of $1.820 billion and incremental revolving commitments in an aggregate principal amount of $150 million, in each case, under the Borrower’s existing credit agreement. Such financial institutions also agreed to extend the maturity date of the Borrower’s revolving credit facility from July 31, 2026 to the date that is the fifth anniversary of the closing date of the Acquisition.</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Acquisition is subject to satisfaction or waiver of customary closing conditions, including, among others, adoption of the Merger Agreement by Sterling stockholders, the expiration or termination of the waiting period under the HSR Act and clearance under the antitrust or foreign direct investment laws of certain other jurisdictions, and the effectiveness of a registration statement on Form S-4 to be filed by First Advantage in connection with the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Macroeconomic factors, including inflation, interest rates, recent declines in hiring activity and job openings, stability of the global banking system, global health crises, global supply chain constraints, and global economic and geopolitical developments, have negatively impacted significant portions of the global economy, and created volatility in the financial markets.</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the economic uncertainty is sustained or increases, we may experience a negative impact on new business, customer renewals and demand levels, sales and marketing efforts, revenues growth rates, customer deployments, customer collections, product development, or other financial metrics. Any of these factors could harm our business, financial condition, and operating results.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Despite the continuing uncertainty associated with these events, we are confident in the overall long-term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see Part I, Item 1A, “Risk Factors—Risks Related to Our Business—Macroeconomic factors beyond our control, including the state of the economy, could impact demand and the fulfillment costs for our products and solutions.”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Operating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future growth and profitability of our business depend on numerous factors, including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focused on continuing to grow our customer base, particularly with respect to high-growth Enterprise customers in attractive industry verticals. In 2023, we performed approximately 100 million screens on behalf of more than 30,000 customers, spanning the globe and all major industry verticals. Our customer acquisition strategy depends on our ability to continue to cost-effectively offer innovative and comprehensive products and solutions, execute our verticalized go-to-market strategy, and maintain our reputation and brand. New customers typically begin generating revenues within one to three months of executing a contract and increase order volumes over the subsequent three to five month period. We believe there is opportunity to continue to increase our domestic and international market share, grow our international customer base, and increase adoption and expansion of screening and verification products and solutions.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M&amp;A</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selectively evaluate acquisitions as a means to expand our business and to enter new markets. Over the last three years, we have completed the following acquisitions, including those that impact the comparability of our results between periods:</w:t>
      </w:r>
    </w:p>
    <w:p>
      <w:pPr>
        <w:spacing w:after="0" w:line="108"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In March 2021, the Company completed its acquisition of selected assets and specified liabilities comprising the United Kingdom background screening business unit of a United Kingdom-based company. Results of operations have been included in our International segment from the date of the acquisition.</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November 2021, the Company acquired 100% of the equity interest of MultiLatin Advisors, S.A. de C.V. (“MultiLatin”), a Mexico-based background screening and verifications provider. This acquisition strategically expands the Company’s presence and screening capabilities in Latin America. Results of operations have been included in our Americas segment from the date of the acquisition.</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November 2021, the Company acquired 100% of the equity interest of Corporate Screening Services, LLC (“Corporate Screening”), a U.S.-based healthcare and higher education focused screening and compliance solutions provider headquartered in Cleveland, Ohio. Results of operations have been included in our Americas segment from the date of the acquisition.</w:t>
      </w:r>
    </w:p>
    <w:p>
      <w:pPr>
        <w:spacing w:after="0" w:line="122"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January 2022, the Company completed its asset acquisition of Form I-9 Compliance (“Form I-9”), a U.S.-based technology solution and consulting service provider for I-9 and E-Verify compliance. The acquisition was effective as of January 1, 2022 and strategically expands the Company’s product suite offerings through the addition of new I-9 and employment eligibility solutions. Results of operations have been included in our Americas segment from the effective date of the acquisition.</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September 2023, the Company acquired 100% of the equity interest of a U.S.-based digital identity and biometrics solutions company. The acquired company operates under the trade name Infinite ID. The acquisition expands the Company’s network and portfolio of identity solutions in the United States. Results of operations have been included in our Americas segment from the date of the acquisition.</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discussed above under “—Recent Developments—Pending Acquisition of Sterling Check Corp.,” we have entered into an agreement to acquire all of the outstanding shares of Sterling, which will impact the comparability of our results of operations in the future if consummated.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Wallet Share with Existing Customers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growth in revenues depends on our ability to sell more products and solutions to existing customers. We typically grow our revenues over time with customers as their underlying screening volumes grow and as they roll out our products and solutions to new divisions or geographies, increase our wallet share in multi-provider programs, perform more extensive screens, and purchase additional products and solutions such as identity solutions, continuous screening, hiring tax credits, employment eligibility, and fleet solutions. Our Customer Success teams work closely with our customers to further develop their screening, compliance, and risk management programs within their organization and in doing so, frequently identify opportunities to expand their relationship with First Advantage. Our revenue growth with existing customers is also dependent upon our ability to retain customers. We achieved a gross retention rate of approximately 97% for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Maintaining Performance Through Macroeconomic Environments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results are also impacted by our customers’ underlying business performance and hiring trends, which drive their demand for background screening and adjacent products. Our customers’ business can be affected by a variety of factors, including general economic conditions, hiring velocity and turnover, and other industry-related trends. We are also exposed to macroeconomic cyclicality, as companies typically reduce employee hiring and flexible workforces in weaker economic environments, which can impact demand for our products and solutions. Our ability to grow our business will also depend on the long-term strength, diversity, and durability of the verticals that we focus on and rely upon to drive our revenues.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New Products to Expand Our Revenue Opportunity with Existing Customers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plan to continue to expand our data solutions and adjacent sources of revenues. For example, we are currently investing in criminal and verifications data products and identity services. In addition, we are developing innovative solutions that align with our capabilities in areas such as biometric verification, fraud mitigation, driver and vehicle compliance, franchise screening programs, and remote drug testing.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Profitably Managing our Growth</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ability to grow profitably depends on our ability to manage our cost structure. Our costs are affected by third-party costs including government fees and data vendors, as these third parties have discretion to adjust pricing, although these third-party fees are typically invoiced to our customers as pass-through costs. Continued pricing increases in third-party fees may lead our existing and potential customers to reduce the scope of their spending.</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historical margin expansion has been largely driven by increased automation and deployment of RPA technologies in the background screening process, which has increased our speed, efficiency, quality, and operating leverage. Additionally, we have gained operating leverage from efficiencies and managing general and administrative costs. In order to grow profitably, we make strategic investments that generate incremental revenues and enable us to deliver our products and solutions and support our customers in a cost-effective manner. Our ability to innovate and drive future reductions of operating costs through automation and digitization does require upfront investment.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Note 2 to the audited consolidated financial statements included elsewhere in this Annual Report for disclosure of the impact that recent accounting pronouncements may have on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technology, proprietary internal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 vehicle compliance, hiring tax credits and incentives, resident / tenant screening, employment eligibility, and investigative research.</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the following expenses related to our cost of revenues and operating expenses:</w:t>
      </w:r>
    </w:p>
    <w:p>
      <w:pPr>
        <w:spacing w:after="0" w:line="169" w:lineRule="exact"/>
        <w:rPr>
          <w:sz w:val="20"/>
          <w:szCs w:val="20"/>
          <w:color w:val="auto"/>
        </w:rPr>
      </w:pPr>
    </w:p>
    <w:p>
      <w:pPr>
        <w:ind w:left="740" w:right="40" w:hanging="223"/>
        <w:spacing w:after="0" w:line="253"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Services (exclusive of depreciation and amortization below)</w:t>
      </w:r>
      <w:r>
        <w:rPr>
          <w:rFonts w:ascii="Times New Roman" w:cs="Times New Roman" w:eastAsia="Times New Roman" w:hAnsi="Times New Roman"/>
          <w:sz w:val="18"/>
          <w:szCs w:val="18"/>
          <w:color w:val="auto"/>
        </w:rPr>
        <w:t>: Consists of amounts paid to third parties for access to government records,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w:t>
      </w:r>
    </w:p>
    <w:p>
      <w:pPr>
        <w:spacing w:after="0" w:line="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allocated by headcount or another related metric. We do not allocate depreciation and amortization to cost of services.</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5" w:name="page46"/>
    <w:bookmarkEnd w:id="45"/>
    <w:p>
      <w:pPr>
        <w:ind w:left="740" w:right="160" w:hanging="223"/>
        <w:spacing w:after="0" w:line="256"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and Technology Expense</w:t>
      </w:r>
      <w:r>
        <w:rPr>
          <w:rFonts w:ascii="Times New Roman" w:cs="Times New Roman" w:eastAsia="Times New Roman" w:hAnsi="Times New Roman"/>
          <w:sz w:val="18"/>
          <w:szCs w:val="18"/>
          <w:color w:val="auto"/>
        </w:rPr>
        <w:t>: Consists of salaries and benefits of personnel involved in the maintenance of our technology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4" w:lineRule="exact"/>
        <w:rPr>
          <w:rFonts w:ascii="Times New Roman" w:cs="Times New Roman" w:eastAsia="Times New Roman" w:hAnsi="Times New Roman"/>
          <w:sz w:val="18"/>
          <w:szCs w:val="18"/>
          <w:color w:val="auto"/>
        </w:rPr>
      </w:pPr>
    </w:p>
    <w:p>
      <w:pPr>
        <w:ind w:left="740" w:hanging="223"/>
        <w:spacing w:after="0" w:line="255"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Consists of sales, customer success, marketing, and general and administrative expenses.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76" w:lineRule="exact"/>
        <w:rPr>
          <w:rFonts w:ascii="Times New Roman" w:cs="Times New Roman" w:eastAsia="Times New Roman" w:hAnsi="Times New Roman"/>
          <w:sz w:val="18"/>
          <w:szCs w:val="18"/>
          <w:color w:val="auto"/>
        </w:rPr>
      </w:pPr>
    </w:p>
    <w:p>
      <w:pPr>
        <w:ind w:left="740" w:right="260" w:hanging="223"/>
        <w:spacing w:after="0" w:line="267"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w:t>
      </w:r>
      <w:r>
        <w:rPr>
          <w:rFonts w:ascii="Times New Roman" w:cs="Times New Roman" w:eastAsia="Times New Roman" w:hAnsi="Times New Roman"/>
          <w:sz w:val="18"/>
          <w:szCs w:val="18"/>
          <w:color w:val="auto"/>
        </w:rPr>
        <w:t>n: Property and equipment consisting mainly of capitalized software costs, furniture, hardware, and leasehold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are depreciated or amortized and reflected as operating expenses. We also amortize the capitalized costs of finite-life intangible assets acquired in connection with business combinations.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identify in the business in order to align with our overall financial objectives. While we expect operating expenses to increase in absolute dollars to support our continued growth, we believe that, in the long term, operating expenses as a percentage of total revenues will decline gradually in the future as our business grows and our operating efficiency and automation initiatives continue to advance.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expense, net consists of the following:</w:t>
      </w:r>
    </w:p>
    <w:p>
      <w:pPr>
        <w:spacing w:after="0" w:line="169" w:lineRule="exact"/>
        <w:rPr>
          <w:sz w:val="20"/>
          <w:szCs w:val="20"/>
          <w:color w:val="auto"/>
        </w:rPr>
      </w:pPr>
    </w:p>
    <w:p>
      <w:pPr>
        <w:ind w:left="740" w:right="180" w:hanging="223"/>
        <w:spacing w:after="0" w:line="261"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Relates primarily to our debt service costs, the interest-related unrealized gains and losses of our interest rate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spacing w:after="0" w:line="71"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Reflects losses on the extinguishment of debt.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Year Ended December 31, 2023 compared to the Year Ended December 31, 2022 and for the Year Ended December 31, 2022 compared to the Year Ended December 31,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763,761</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810,023</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712,295</w:t>
            </w:r>
          </w:p>
        </w:tc>
        <w:tc>
          <w:tcPr>
            <w:tcW w:w="60" w:type="dxa"/>
            <w:vAlign w:val="bottom"/>
          </w:tcPr>
          <w:p>
            <w:pPr>
              <w:spacing w:after="0"/>
              <w:rPr>
                <w:sz w:val="20"/>
                <w:szCs w:val="20"/>
                <w:color w:val="auto"/>
              </w:rPr>
            </w:pPr>
          </w:p>
        </w:tc>
      </w:tr>
      <w:tr>
        <w:trPr>
          <w:trHeight w:val="243"/>
        </w:trPr>
        <w:tc>
          <w:tcPr>
            <w:tcW w:w="5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 below)</w:t>
            </w:r>
          </w:p>
        </w:tc>
        <w:tc>
          <w:tcPr>
            <w:tcW w:w="4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386,777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408,928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352,170</w:t>
            </w:r>
          </w:p>
        </w:tc>
        <w:tc>
          <w:tcPr>
            <w:tcW w:w="60" w:type="dxa"/>
            <w:vAlign w:val="bottom"/>
          </w:tcPr>
          <w:p>
            <w:pPr>
              <w:spacing w:after="0"/>
              <w:rPr>
                <w:sz w:val="20"/>
                <w:szCs w:val="20"/>
                <w:color w:val="auto"/>
              </w:rPr>
            </w:pPr>
          </w:p>
        </w:tc>
      </w:tr>
      <w:tr>
        <w:trPr>
          <w:trHeight w:val="247"/>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4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49,263</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51,931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45,507</w:t>
            </w:r>
          </w:p>
        </w:tc>
        <w:tc>
          <w:tcPr>
            <w:tcW w:w="60" w:type="dxa"/>
            <w:vAlign w:val="bottom"/>
          </w:tcPr>
          <w:p>
            <w:pPr>
              <w:spacing w:after="0"/>
              <w:rPr>
                <w:sz w:val="21"/>
                <w:szCs w:val="21"/>
                <w:color w:val="auto"/>
              </w:rPr>
            </w:pPr>
          </w:p>
        </w:tc>
      </w:tr>
      <w:tr>
        <w:trPr>
          <w:trHeight w:val="239"/>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116,732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116,640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107,980</w:t>
            </w:r>
          </w:p>
        </w:tc>
        <w:tc>
          <w:tcPr>
            <w:tcW w:w="60" w:type="dxa"/>
            <w:vAlign w:val="bottom"/>
          </w:tcPr>
          <w:p>
            <w:pPr>
              <w:spacing w:after="0"/>
              <w:rPr>
                <w:sz w:val="20"/>
                <w:szCs w:val="20"/>
                <w:color w:val="auto"/>
              </w:rPr>
            </w:pPr>
          </w:p>
        </w:tc>
      </w:tr>
      <w:tr>
        <w:trPr>
          <w:trHeight w:val="243"/>
        </w:trPr>
        <w:tc>
          <w:tcPr>
            <w:tcW w:w="5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129,473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138,246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142,815</w:t>
            </w:r>
          </w:p>
        </w:tc>
        <w:tc>
          <w:tcPr>
            <w:tcW w:w="60" w:type="dxa"/>
            <w:vAlign w:val="bottom"/>
          </w:tcPr>
          <w:p>
            <w:pPr>
              <w:spacing w:after="0"/>
              <w:rPr>
                <w:sz w:val="21"/>
                <w:szCs w:val="21"/>
                <w:color w:val="auto"/>
              </w:rPr>
            </w:pPr>
          </w:p>
        </w:tc>
      </w:tr>
      <w:tr>
        <w:trPr>
          <w:trHeight w:val="237"/>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682,245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715,745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648,472</w:t>
            </w:r>
          </w:p>
        </w:tc>
        <w:tc>
          <w:tcPr>
            <w:tcW w:w="60" w:type="dxa"/>
            <w:vAlign w:val="bottom"/>
          </w:tcPr>
          <w:p>
            <w:pPr>
              <w:spacing w:after="0"/>
              <w:rPr>
                <w:sz w:val="20"/>
                <w:szCs w:val="20"/>
                <w:color w:val="auto"/>
              </w:rPr>
            </w:pPr>
          </w:p>
        </w:tc>
      </w:tr>
      <w:tr>
        <w:trPr>
          <w:trHeight w:val="239"/>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81,516</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94,278</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63,823</w:t>
            </w:r>
          </w:p>
        </w:tc>
        <w:tc>
          <w:tcPr>
            <w:tcW w:w="60" w:type="dxa"/>
            <w:vAlign w:val="bottom"/>
          </w:tcPr>
          <w:p>
            <w:pPr>
              <w:spacing w:after="0"/>
              <w:rPr>
                <w:sz w:val="20"/>
                <w:szCs w:val="20"/>
                <w:color w:val="auto"/>
              </w:rPr>
            </w:pPr>
          </w:p>
        </w:tc>
      </w:tr>
      <w:tr>
        <w:trPr>
          <w:trHeight w:val="239"/>
        </w:trPr>
        <w:tc>
          <w:tcPr>
            <w:tcW w:w="5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24,972</w:t>
            </w:r>
          </w:p>
        </w:tc>
        <w:tc>
          <w:tcPr>
            <w:tcW w:w="60" w:type="dxa"/>
            <w:vAlign w:val="bottom"/>
          </w:tcPr>
          <w:p>
            <w:pPr>
              <w:spacing w:after="0"/>
              <w:rPr>
                <w:sz w:val="20"/>
                <w:szCs w:val="20"/>
                <w:color w:val="auto"/>
              </w:rPr>
            </w:pPr>
          </w:p>
        </w:tc>
      </w:tr>
      <w:tr>
        <w:trPr>
          <w:trHeight w:val="243"/>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13,938</w:t>
            </w:r>
          </w:p>
        </w:tc>
        <w:tc>
          <w:tcPr>
            <w:tcW w:w="60" w:type="dxa"/>
            <w:vAlign w:val="bottom"/>
          </w:tcPr>
          <w:p>
            <w:pPr>
              <w:spacing w:after="0"/>
              <w:rPr>
                <w:sz w:val="21"/>
                <w:szCs w:val="21"/>
                <w:color w:val="auto"/>
              </w:rPr>
            </w:pPr>
          </w:p>
        </w:tc>
      </w:tr>
      <w:tr>
        <w:trPr>
          <w:trHeight w:val="236"/>
        </w:trPr>
        <w:tc>
          <w:tcPr>
            <w:tcW w:w="55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33,040</w:t>
            </w:r>
          </w:p>
        </w:tc>
        <w:tc>
          <w:tcPr>
            <w:tcW w:w="1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38,910</w:t>
            </w:r>
          </w:p>
        </w:tc>
        <w:tc>
          <w:tcPr>
            <w:tcW w:w="60" w:type="dxa"/>
            <w:vAlign w:val="bottom"/>
          </w:tcPr>
          <w:p>
            <w:pPr>
              <w:spacing w:after="0"/>
              <w:rPr>
                <w:sz w:val="20"/>
                <w:szCs w:val="20"/>
                <w:color w:val="auto"/>
              </w:rPr>
            </w:pPr>
          </w:p>
        </w:tc>
      </w:tr>
      <w:tr>
        <w:trPr>
          <w:trHeight w:val="241"/>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48,476</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85,079</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24,913</w:t>
            </w:r>
          </w:p>
        </w:tc>
        <w:tc>
          <w:tcPr>
            <w:tcW w:w="60" w:type="dxa"/>
            <w:vAlign w:val="bottom"/>
          </w:tcPr>
          <w:p>
            <w:pPr>
              <w:spacing w:after="0"/>
              <w:rPr>
                <w:sz w:val="20"/>
                <w:szCs w:val="20"/>
                <w:color w:val="auto"/>
              </w:rPr>
            </w:pPr>
          </w:p>
        </w:tc>
      </w:tr>
      <w:tr>
        <w:trPr>
          <w:trHeight w:val="239"/>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11,183</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20,475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8,862</w:t>
            </w:r>
          </w:p>
        </w:tc>
        <w:tc>
          <w:tcPr>
            <w:tcW w:w="60" w:type="dxa"/>
            <w:vAlign w:val="bottom"/>
          </w:tcPr>
          <w:p>
            <w:pPr>
              <w:spacing w:after="0"/>
              <w:rPr>
                <w:sz w:val="20"/>
                <w:szCs w:val="20"/>
                <w:color w:val="auto"/>
              </w:rPr>
            </w:pPr>
          </w:p>
        </w:tc>
      </w:tr>
      <w:tr>
        <w:trPr>
          <w:trHeight w:val="278"/>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37,293</w:t>
            </w:r>
          </w:p>
        </w:tc>
        <w:tc>
          <w:tcPr>
            <w:tcW w:w="1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64,604</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16,051</w:t>
            </w:r>
          </w:p>
        </w:tc>
        <w:tc>
          <w:tcPr>
            <w:tcW w:w="60" w:type="dxa"/>
            <w:vAlign w:val="bottom"/>
          </w:tcPr>
          <w:p>
            <w:pPr>
              <w:spacing w:after="0"/>
              <w:rPr>
                <w:sz w:val="24"/>
                <w:szCs w:val="24"/>
                <w:color w:val="auto"/>
              </w:rPr>
            </w:pPr>
          </w:p>
        </w:tc>
      </w:tr>
      <w:tr>
        <w:trPr>
          <w:trHeight w:val="21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4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4.9 %</w:t>
            </w:r>
          </w:p>
        </w:tc>
        <w:tc>
          <w:tcPr>
            <w:tcW w:w="4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4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441"/>
        </w:trPr>
        <w:tc>
          <w:tcPr>
            <w:tcW w:w="550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5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-2545080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-2545080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-2219325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-2219325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-1593850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-950595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-933450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-950595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673,075</w:t>
            </w:r>
          </w:p>
        </w:tc>
        <w:tc>
          <w:tcPr>
            <w:tcW w:w="5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694,865</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604,413</w:t>
            </w:r>
          </w:p>
        </w:tc>
      </w:tr>
      <w:tr>
        <w:trPr>
          <w:trHeight w:val="247"/>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96,832</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122,599</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114,009</w:t>
            </w:r>
          </w:p>
        </w:tc>
      </w:tr>
      <w:tr>
        <w:trPr>
          <w:trHeight w:val="243"/>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(6,146 )</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(7,441 )</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(6,127 )</w:t>
            </w:r>
          </w:p>
        </w:tc>
      </w:tr>
      <w:tr>
        <w:trPr>
          <w:trHeight w:val="272"/>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763,761</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810,023</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712,295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were $763.8 million for the year ended December 31, 2023, compared to $810.0 million for the year ended December 31, 2022. Revenues for the year ended December 31, 2023 decreased by $46.3 million, or 5.7%, compared to the year ended December 31, 2022.</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decrease in revenues was primarily due to a net decrease of $84.3 million, or 10.4%, in existing customer revenues, primarily driven by reduced demand from our customers more impacted by the macroeconomic conditions in 2023 (as compared to 2022), the elevated levels of growth experienced in the first half of 2022 due to the post-pandemic recovery that was not sustained into 2023, and the impact of lost accounts. In the Americas segment, certain industry verticals were impacted by reduced hiring activity, resulting in lower revenues. In the International segment, declines were more significantly experienced in the India and APAC markets relative to other markets in that segment. These consolidated decreases were partially offset by ongoing strength in upselling and cross-selling to existing customers, contributing $36.9 million, or 4.6%, of additional revenues, and increased revenues from certain existing customers that were impacted by macroeconomic conditions to a lesser extent as compared to other existing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existing customer revenues was offset by:</w:t>
      </w:r>
    </w:p>
    <w:p>
      <w:pPr>
        <w:spacing w:after="0" w:line="171" w:lineRule="exact"/>
        <w:rPr>
          <w:sz w:val="20"/>
          <w:szCs w:val="20"/>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$35.1 million, or 4.3%, from new customers, primarily attributable to our Americas segment;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$2.9 million, or 0.4%, attributable to the Infinite ID acquisition in the Americas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remained relatively stable across all periods.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Revenues were $810.0 million for the year ended December 31, 2022, compared to $712.3 million for the year ended December 31, 2021. Revenues for the year ended December 31, 2022 increased by $97.7 million, or 13.7%, compared to the year ended December 31,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revenues was primarily due to:</w:t>
      </w:r>
    </w:p>
    <w:p>
      <w:pPr>
        <w:spacing w:after="0" w:line="171" w:lineRule="exact"/>
        <w:rPr>
          <w:sz w:val="20"/>
          <w:szCs w:val="20"/>
          <w:color w:val="auto"/>
        </w:rPr>
      </w:pPr>
    </w:p>
    <w:p>
      <w:pPr>
        <w:ind w:left="740" w:hanging="223"/>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$37.0 million, or 5.2%, attributable to the Company’s acquisitions in the Americas and International segments;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of $35.4 million, or 5.0%, attributable to new customers in both the Americas and International segments; and</w:t>
      </w:r>
    </w:p>
    <w:p>
      <w:pPr>
        <w:spacing w:after="0" w:line="117" w:lineRule="exact"/>
        <w:rPr>
          <w:rFonts w:ascii="Times New Roman" w:cs="Times New Roman" w:eastAsia="Times New Roman" w:hAnsi="Times New Roman"/>
          <w:sz w:val="18"/>
          <w:szCs w:val="18"/>
          <w:color w:val="auto"/>
        </w:rPr>
      </w:pPr>
    </w:p>
    <w:p>
      <w:pPr>
        <w:ind w:left="740" w:right="20" w:hanging="223"/>
        <w:spacing w:after="0" w:line="266"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of $25.3 million, or 3.5%, in existing customer revenues, primarily driven by strength across our Americas business in the first half of 2022, which was supported by positive jobs market trends including sustained job switching and churn. These existing customer increases were offset by the impact of lost accounts, slower hiring in the second half of 2022, and the effects of changes in foreign currencies.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2022, the Company experienced growing demand among customers across numerous industry verticals and account sizes in both its Americas and International segments. However, during the second half of 2022, certain industry verticals in the Americas segment and select International segment markets experienced reduced revenue volumes as a result of macro-economic headwinds and negative foreign currency impacts due to strengthening of the U.S. Dollar. Pricing remained relatively stable across all periods.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386,777</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408,928</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352,170</w:t>
            </w:r>
          </w:p>
        </w:tc>
        <w:tc>
          <w:tcPr>
            <w:tcW w:w="6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763,761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810,023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712,295</w:t>
            </w:r>
          </w:p>
        </w:tc>
        <w:tc>
          <w:tcPr>
            <w:tcW w:w="60" w:type="dxa"/>
            <w:vAlign w:val="bottom"/>
          </w:tcPr>
          <w:p>
            <w:pPr>
              <w:spacing w:after="0"/>
              <w:rPr>
                <w:sz w:val="20"/>
                <w:szCs w:val="20"/>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 of revenue</w:t>
            </w:r>
          </w:p>
        </w:tc>
        <w:tc>
          <w:tcPr>
            <w:tcW w:w="4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50.6 %</w:t>
            </w:r>
          </w:p>
        </w:tc>
        <w:tc>
          <w:tcPr>
            <w:tcW w:w="4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50.5 %</w:t>
            </w:r>
          </w:p>
        </w:tc>
        <w:tc>
          <w:tcPr>
            <w:tcW w:w="4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Cost of services was $386.8 million for the year ended December 31, 2023, compared to $408.9 million for the year ended December 31, 2022. Cost of services for the year ended December 31, 2023 decreased by $22.2 million, or 5.4%, compared to the year ended December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cost of services was primarily due to:</w:t>
      </w:r>
    </w:p>
    <w:p>
      <w:pPr>
        <w:spacing w:after="0" w:line="171" w:lineRule="exact"/>
        <w:rPr>
          <w:sz w:val="20"/>
          <w:szCs w:val="20"/>
          <w:color w:val="auto"/>
        </w:rPr>
      </w:pPr>
    </w:p>
    <w:p>
      <w:pPr>
        <w:ind w:left="740" w:right="480" w:hanging="223"/>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$13.8 million decrease in personnel expenses in our operations and customer care functions as a result of cost savings actions taken by the Company, as well as productivity efficiencies from the implementation of additional automation programs; and</w:t>
      </w:r>
    </w:p>
    <w:p>
      <w:pPr>
        <w:spacing w:after="0" w:line="53" w:lineRule="exact"/>
        <w:rPr>
          <w:rFonts w:ascii="Times New Roman" w:cs="Times New Roman" w:eastAsia="Times New Roman" w:hAnsi="Times New Roman"/>
          <w:sz w:val="18"/>
          <w:szCs w:val="18"/>
          <w:color w:val="auto"/>
        </w:rPr>
      </w:pPr>
    </w:p>
    <w:p>
      <w:pPr>
        <w:ind w:left="740" w:right="100" w:hanging="223"/>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variable third-party data expenses of $9.1 million as a result of decreased revenue volumes, variation in customer ordering mix, and increased automation.</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decrease in cost of services was partially offset by foreign currency exchange losses of $1.6 million due to the impact of foreign exchange rate volatility.</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 of services as a percentage of revenues was 50.6% for the year ended December 31, 2023, compared to 50.5% for the year ended December 31, 2022. The cost of services percentage of revenues for the year ended December 31, 2023 was impacted by increases in certain third-party data costs, primarily due to variation in customer ordering mix. This increase was partially offset by cost savings from the Company’s continued implementation of automation and other process efficiencies, as well as certain cost savings actions taken by the Company.</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Cost of services was $408.9 million for the year ended December 31, 2022, compared to $352.2 million for the year ended December 31, 2021. Cost of services for the year ended December 31, 2022 increased by $56.8 million, or 16.1%, compared to the year ended December 31,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cost of services was primarily due to:</w:t>
      </w:r>
    </w:p>
    <w:p>
      <w:pPr>
        <w:spacing w:after="0" w:line="171" w:lineRule="exact"/>
        <w:rPr>
          <w:sz w:val="20"/>
          <w:szCs w:val="20"/>
          <w:color w:val="auto"/>
        </w:rPr>
      </w:pPr>
    </w:p>
    <w:p>
      <w:pPr>
        <w:ind w:left="740" w:right="220" w:hanging="223"/>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variable third-party data expenses of $42.7 million as a direct result of increased revenues, increases in the prices of certain third-party data usage, variation in customer ordering mix, and acquisitions having a larger mix of third-party data expenses;</w:t>
      </w:r>
    </w:p>
    <w:p>
      <w:pPr>
        <w:spacing w:after="0" w:line="53" w:lineRule="exact"/>
        <w:rPr>
          <w:rFonts w:ascii="Times New Roman" w:cs="Times New Roman" w:eastAsia="Times New Roman" w:hAnsi="Times New Roman"/>
          <w:sz w:val="18"/>
          <w:szCs w:val="18"/>
          <w:color w:val="auto"/>
        </w:rPr>
      </w:pPr>
    </w:p>
    <w:p>
      <w:pPr>
        <w:ind w:left="740" w:right="180" w:hanging="223"/>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$12.5 million increase in personnel related expenses in our operations and customer care functions as a result of additional operational support headcount to process and fulfill the Company’s order volume growth;</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liability insurance related expenses; and</w:t>
      </w:r>
    </w:p>
    <w:p>
      <w:pPr>
        <w:spacing w:after="0" w:line="117" w:lineRule="exact"/>
        <w:rPr>
          <w:rFonts w:ascii="Times New Roman" w:cs="Times New Roman" w:eastAsia="Times New Roman" w:hAnsi="Times New Roman"/>
          <w:sz w:val="18"/>
          <w:szCs w:val="18"/>
          <w:color w:val="auto"/>
        </w:rPr>
      </w:pPr>
    </w:p>
    <w:p>
      <w:pPr>
        <w:ind w:left="740" w:right="680" w:hanging="223"/>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cost of services related operating expense increases attributable to travel, software licenses, and other expenses related to the increased revenue volumes experienced in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cost of services was partially offset by foreign currency exchange gains of $1.8 million due to the impact of foreign exchange rate volatility.</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Cost of services as a percentage of revenues was 50.5% for the year ended December 31, 2022, compared to 49.4% for the year ended December 31, 2021. The cost of services percentage of revenues for the year ended December 31, 2022 was impacted by increases in certain third-party data costs, variation in customer ordering mix to lower margin products, and acquisitions having a larger mix of third-party data expenses. This increase was partially offset by cost savings from the Company’s continued implementation of automation and other process efficiencies, as well as certain cost savings actions taken by the Company in 2022.</w:t>
      </w:r>
    </w:p>
    <w:p>
      <w:pPr>
        <w:spacing w:after="0" w:line="1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5" w:right="2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Product and Technology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49,263</w:t>
            </w: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51,931</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45,507</w:t>
            </w:r>
          </w:p>
        </w:tc>
      </w:tr>
    </w:tbl>
    <w:p>
      <w:pPr>
        <w:spacing w:after="0" w:line="14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$49.3 million for the year ended December 31, 2023, compared to $51.9 million for the year ended December 31, 2022. Product and technology expense for the year ended December 31, 2023 decreased by $2.7 million, or 5.1%, compared to the year ended December 31, 2022.</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decrease in product and technology expense was primarily due to a $2.9 million decrease in personnel expenses, primarily due to cost savings actions taken by the Company and decreases in incentive compensation, partially offset by increased share-based compensation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product and technology expense was partially offset by a $1.1 million increase in software licensing related expenses.</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$51.9 million for the year ended December 31, 2022, compared to $45.5 million for the year ended December 31, 2021. Product and technology expense for the year ended December 31, 2022 increased by $6.4 million, or 14.1%, compared to the year ended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product and technology expense was primarily due to a $5.9 million increase in software licensing related expenses.</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116,732</w:t>
            </w: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116,640</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107,980</w:t>
            </w:r>
          </w:p>
        </w:tc>
      </w:tr>
    </w:tbl>
    <w:p>
      <w:pPr>
        <w:spacing w:after="0" w:line="14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$116.7 million for the year ended December 31, 2023, compared to $116.6 million for the year ended December 31, 2022. Selling, general, and administrative expense for the year ended December 31, 2023 increased by $0.1 million, or 0.1%, compared to the year ended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increased primarily due to:</w:t>
      </w:r>
    </w:p>
    <w:p>
      <w:pPr>
        <w:spacing w:after="0" w:line="171" w:lineRule="exact"/>
        <w:rPr>
          <w:sz w:val="20"/>
          <w:szCs w:val="20"/>
          <w:color w:val="auto"/>
        </w:rPr>
      </w:pPr>
    </w:p>
    <w:p>
      <w:pPr>
        <w:ind w:left="740" w:right="120" w:hanging="223"/>
        <w:spacing w:after="0" w:line="282"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$6.3 million increase in share-based compensation expense primarily as a result of a modification to the vesting terms of outstanding unvested and unearned performance-based equity awards in May 2023;</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 million increase in expenses related to litigation in the ordinary course of business;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losses of $0.7 million due to the impact of foreign exchange rate volatility.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 was partially offset by:</w:t>
      </w:r>
    </w:p>
    <w:p>
      <w:pPr>
        <w:spacing w:after="0" w:line="171" w:lineRule="exact"/>
        <w:rPr>
          <w:sz w:val="20"/>
          <w:szCs w:val="20"/>
          <w:color w:val="auto"/>
        </w:rPr>
      </w:pPr>
    </w:p>
    <w:p>
      <w:pPr>
        <w:ind w:left="720" w:hanging="203"/>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million decrease in commission and bonus expenses due to lower performance against internal targets;</w:t>
      </w:r>
    </w:p>
    <w:p>
      <w:pPr>
        <w:spacing w:after="0" w:line="11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decrease in personnel expenses due to certain cost savings actions taken by the Company;</w:t>
      </w:r>
    </w:p>
    <w:p>
      <w:pPr>
        <w:spacing w:after="0" w:line="117" w:lineRule="exact"/>
        <w:rPr>
          <w:rFonts w:ascii="Times New Roman" w:cs="Times New Roman" w:eastAsia="Times New Roman" w:hAnsi="Times New Roman"/>
          <w:sz w:val="18"/>
          <w:szCs w:val="18"/>
          <w:color w:val="auto"/>
        </w:rPr>
      </w:pPr>
    </w:p>
    <w:p>
      <w:pPr>
        <w:ind w:left="720" w:right="440" w:hanging="203"/>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in professional service fees incurred related to the Company’s initial public company compliance efforts that did not reoccur in 2023;</w:t>
      </w:r>
    </w:p>
    <w:p>
      <w:pPr>
        <w:spacing w:after="0" w:line="53"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decrease in marketing expenses; and</w:t>
      </w:r>
    </w:p>
    <w:p>
      <w:pPr>
        <w:spacing w:after="0" w:line="11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other corporate expenses that decreased primarily as a result of cost savings actions taken by the Company.</w:t>
      </w:r>
    </w:p>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$116.6 million for the year ended December 31, 2022, compared to $108.0 million for the year ended December 31, 2021. Selling, general, and administrative expense for the year ended December 31, 2022 increased by $8.7 million, or 8.0%, compared to the year ended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increased primarily due to:</w:t>
      </w:r>
    </w:p>
    <w:p>
      <w:pPr>
        <w:spacing w:after="0" w:line="171" w:lineRule="exact"/>
        <w:rPr>
          <w:sz w:val="20"/>
          <w:szCs w:val="20"/>
          <w:color w:val="auto"/>
        </w:rPr>
      </w:pPr>
    </w:p>
    <w:p>
      <w:pPr>
        <w:ind w:left="740" w:right="600" w:hanging="223"/>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$6.7 million increase in personnel related expenses primarily due to additional investments made in the Company’s Sales and Customer Success functions and additional headcount related to the Company’s growth and operating as a public company;</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liability insurance expenses;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 million increase in expenses related to litigation activities in the ordinary course of business;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marketing expenses;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increase in travel expenses; and</w:t>
      </w:r>
    </w:p>
    <w:p>
      <w:pPr>
        <w:spacing w:after="0" w:line="117" w:lineRule="exact"/>
        <w:rPr>
          <w:rFonts w:ascii="Times New Roman" w:cs="Times New Roman" w:eastAsia="Times New Roman" w:hAnsi="Times New Roman"/>
          <w:sz w:val="18"/>
          <w:szCs w:val="18"/>
          <w:color w:val="auto"/>
        </w:rPr>
      </w:pPr>
    </w:p>
    <w:p>
      <w:pPr>
        <w:ind w:left="740" w:right="740" w:hanging="223"/>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other corporate expenses that increased primarily as a result of the Company now being a publicly traded company and the Company’s acquisition activity.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 was partially offset by:</w:t>
      </w:r>
    </w:p>
    <w:p>
      <w:pPr>
        <w:spacing w:after="0" w:line="171" w:lineRule="exact"/>
        <w:rPr>
          <w:sz w:val="20"/>
          <w:szCs w:val="20"/>
          <w:color w:val="auto"/>
        </w:rPr>
      </w:pPr>
    </w:p>
    <w:p>
      <w:pPr>
        <w:ind w:left="740" w:right="240" w:hanging="223"/>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 million decrease in professional service fees incurred related to the Company’s preparation for its 2021 IPO and secondary offering that did not reoccur in 2022;</w:t>
      </w:r>
    </w:p>
    <w:p>
      <w:pPr>
        <w:spacing w:after="0" w:line="53" w:lineRule="exact"/>
        <w:rPr>
          <w:rFonts w:ascii="Times New Roman" w:cs="Times New Roman" w:eastAsia="Times New Roman" w:hAnsi="Times New Roman"/>
          <w:sz w:val="18"/>
          <w:szCs w:val="18"/>
          <w:color w:val="auto"/>
        </w:rPr>
      </w:pPr>
    </w:p>
    <w:p>
      <w:pPr>
        <w:ind w:left="740" w:right="740" w:hanging="223"/>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decrease in share-based compensation expenses as a result of performance related vesting due to the Company’s IPO and incremental awards granted in conjunction with the IPO in 2021 which did not reoccur in 2022; and</w:t>
      </w:r>
    </w:p>
    <w:p>
      <w:pPr>
        <w:spacing w:after="0" w:line="53" w:lineRule="exact"/>
        <w:rPr>
          <w:rFonts w:ascii="Times New Roman" w:cs="Times New Roman" w:eastAsia="Times New Roman" w:hAnsi="Times New Roman"/>
          <w:sz w:val="18"/>
          <w:szCs w:val="18"/>
          <w:color w:val="auto"/>
        </w:rPr>
      </w:pPr>
    </w:p>
    <w:p>
      <w:pPr>
        <w:ind w:left="740" w:right="280" w:hanging="223"/>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million decrease in commissions and bonus related expenses due to lower variable commissions based on actual results against internal performance targets.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129,473</w:t>
            </w: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138,246</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142,815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was $129.5 million for the year ended December 31, 2023, compared to $138.2 million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Depreciation and amortization for the year ended December 31, 2023 decreased by $8.8 million, or 6.3% compared to the year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This decrease was partially offset by increases in depreciation related to assets placed in service during the year ended December 31, 2023.</w:t>
      </w:r>
    </w:p>
    <w:p>
      <w:pPr>
        <w:spacing w:after="0" w:line="153"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7"/>
          <w:szCs w:val="17"/>
          <w:color w:val="auto"/>
        </w:rPr>
        <w:t>Depreciation and amortization was $138.2 million for the year ended December 31, 2022, compared to $142.8 million for the year ended December 31, 2021. Depreciation and amortization for the year ended December 31, 2022 decreased by $4.6 million, or 3.2% compared to the year ended December 31,</w:t>
      </w:r>
    </w:p>
    <w:p>
      <w:pPr>
        <w:spacing w:after="0" w:line="1" w:lineRule="exact"/>
        <w:rPr>
          <w:sz w:val="20"/>
          <w:szCs w:val="20"/>
          <w:color w:val="auto"/>
        </w:rPr>
      </w:pPr>
    </w:p>
    <w:p>
      <w:pPr>
        <w:ind w:right="780"/>
        <w:spacing w:after="0" w:line="431" w:lineRule="auto"/>
        <w:rPr>
          <w:sz w:val="20"/>
          <w:szCs w:val="20"/>
          <w:color w:val="auto"/>
        </w:rPr>
      </w:pPr>
      <w:r>
        <w:rPr>
          <w:rFonts w:ascii="Times New Roman" w:cs="Times New Roman" w:eastAsia="Times New Roman" w:hAnsi="Times New Roman"/>
          <w:sz w:val="18"/>
          <w:szCs w:val="18"/>
          <w:color w:val="auto"/>
        </w:rPr>
        <w:t xml:space="preserve">2021. This decrease was partially offset by increases in depreciation related to assets placed in service during the year ended December 31, 2022. </w:t>
      </w:r>
      <w:r>
        <w:rPr>
          <w:rFonts w:ascii="Times New Roman" w:cs="Times New Roman" w:eastAsia="Times New Roman" w:hAnsi="Times New Roman"/>
          <w:sz w:val="18"/>
          <w:szCs w:val="18"/>
          <w:i w:val="1"/>
          <w:iCs w:val="1"/>
          <w:color w:val="auto"/>
        </w:rPr>
        <w:t>Interest Expense,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33,040</w:t>
            </w: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9,199</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24,972</w:t>
            </w:r>
          </w:p>
        </w:tc>
      </w:tr>
    </w:tbl>
    <w:p>
      <w:pPr>
        <w:spacing w:after="0" w:line="1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net was $33.0 million for the year ended December 31, 2023, compared to $9.2 million for the year ended December 31, 2022. Interest expense, net for the year ended December 31, 2023 increased by $23.8 million, or 259.2%, compared to the year ended December 31, 2022.</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was primarily attributable to higher interest expense on the First Lien Credit Facility as a result of increasing interest rates and fluctuations in unrealized gains and losses on the Company’s interest swaps resulting from interest rate volatility. Increases in interest expense were offset by interest income of $13.4 million earned on cash held within interest bearing accounts.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net was $9.2 million for the year ended December 31, 2022, compared to $25.0 million for the year ended December 31, 2021. Interest expense, net for the year ended December 31, 2022 decreased by $15.8 million, or 63.2%, compared to the year ended December 31, 2021.</w:t>
      </w:r>
    </w:p>
    <w:p>
      <w:pPr>
        <w:spacing w:after="0" w:line="10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decrease in interest expense, net was primarily attributable to $12.4 million of unrealized gains on the interest rate swap as a result of the increased interest rate volatility observed in 2022. This decrease was further impacted by the Company’s February 2021 refinancing of the First Lien Credit Facility, early repayment of the Second Lien Credit Facility, and the prepayment of $200.0 million of the First Lien Credit Facility in June 2021, resulting in interest rate savings due to lower principal and more favorable interest rate margins, and $5.0 million of interest income earned on cash held within interest bearing accounts. These decreases were partially offset by higher interest expense on the First Lien Credit Facility as a result of rising interest rates in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13,938</w:t>
            </w:r>
          </w:p>
        </w:tc>
      </w:tr>
    </w:tbl>
    <w:p>
      <w:pPr>
        <w:spacing w:after="0" w:line="14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Loss on extinguishment of debt for the year ended December 31, 2021 relates to expenses stemming from the write-off of debt issuance costs associated with the February 2021 refinancing of the First Lien Credit Facility.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11,183</w:t>
            </w:r>
          </w:p>
        </w:tc>
        <w:tc>
          <w:tcPr>
            <w:tcW w:w="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20,475</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8,862</w:t>
            </w:r>
          </w:p>
        </w:tc>
      </w:tr>
    </w:tbl>
    <w:p>
      <w:pPr>
        <w:spacing w:after="0" w:line="1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provision for income taxes was $11.2 million for the year ended December 31, 2023, compared to $20.5 million for the year ended December 31, 2022. Our provision for income taxes for the year ended December 31, 2023 decreased by $9.3 million, compared to the year ended December 31, 2022.</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decrease in our provision for income taxes was primarily due to the decrease of income before income taxes during the year ended December 31, 2023, as compared to the year ended December 31, 2022, and the decrease of GILTI inclusion.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provision for income taxes was $20.5 million for the year ended December 31, 2022, compared to $8.9 million for the year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provision for income taxes for the year ended December 31, 2022 increased by $11.6 million, compared to the year ended December 31, 2021.</w:t>
      </w:r>
    </w:p>
    <w:p>
      <w:pPr>
        <w:spacing w:after="0" w:line="15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increase in our provision for income taxes was primarily due to the increase of income before income taxes during the year ended December 31, 2022, as compared to the year ended December 31, 2021, due to higher levels of pre-tax income as well as increases due to increased GILTI inclusion and lower research and development credits.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and Net Income Margin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37,293</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64,604</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16,051</w:t>
            </w:r>
          </w:p>
        </w:tc>
        <w:tc>
          <w:tcPr>
            <w:tcW w:w="6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4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4.9 %</w:t>
            </w:r>
          </w:p>
        </w:tc>
        <w:tc>
          <w:tcPr>
            <w:tcW w:w="4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4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1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income was $37.3 million for the year ended December 31, 2023, compared to $64.6 million for the year ended December 31, 2022. Net income for the year ended December 31, 2023 decreased by $27.3 million, or 42.3%, compared to the year ended December 31, 2022.</w:t>
      </w:r>
    </w:p>
    <w:p>
      <w:pPr>
        <w:spacing w:after="0" w:line="10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Net income margin was 4.9% for the year ended December 31, 2023, compared to 8.0% the year ended December 31, 2022, as reduced demand from customers more impacted by macroeconomic events contributed to lower revenues and increasing interest rates resulting from interest rate volatility resulted in lower profitability.</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income was $64.6 million for the year ended December 31, 2022, compared to $16.1 million for the year ended December 31, 2021. Net income for the year ended December 31, 2022 increased by $48.6 million, or 302.5%, compared to the year ended December 31, 2021.</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income margin was 8.0% for the year ended December 31, 2022, compared to 2.3% the year ended December 31, 2021. The improvement in our net income margin is attributable to our ability to leverage operating efficiencies to control our overall expenses while increasing revenues as well as reducing interest and other debt related expenses incurred as a result of the February 2021 refinancing.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7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5" w:right="2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Adjusted EBITDA was $237.6 million, $248.9 million, and $226.3 million for the years ended December 31, 2023, 2022, and 2021, respectively. This represented an Adjusted EBITDA Margin of 31.1%, 30.7%, and 31.8% for the years ended December 31, 2023, 2022, and 2021, respectively.</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Adjusted EBITDA for the year ended December 31, 2023 decreased by $11.4 million, or 4.6%, compared to the year ended December 31, 2022, as macroeconomic events impacted our revenues attributed to existing customers. Decreases were further impacted by the effects of changes in foreign currencies.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 in late 2022 and into 2023.</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Adjusted EBITDA for the year ended December 31, 2022 increased by $22.6 million, or 10.0%, compared to the year ended December 31, 2021. For the year ended December 31, 2022, Adjusted EBITDA increased due to revenues growth attributed to new and existing customers, primarily driven by strength across our business during the first half of the year and further supported by certain cost reductions implemented primarily in the second half of the year. These positive factors were partially offset by increases in insurance premiums and third-party data verification costs, additional investments in technology and sales, the effects of changes in foreign currencies, and lower margin revenues from our acquisitions.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37,293</w:t>
            </w:r>
          </w:p>
        </w:tc>
        <w:tc>
          <w:tcPr>
            <w:tcW w:w="5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64,604</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16,051</w:t>
            </w: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24,972</w:t>
            </w: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11,183</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20,475</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8,862</w:t>
            </w: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129,473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138,246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142,815</w:t>
            </w: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13,938</w:t>
            </w:r>
          </w:p>
        </w:tc>
      </w:tr>
      <w:tr>
        <w:trPr>
          <w:trHeight w:val="243"/>
        </w:trPr>
        <w:tc>
          <w:tcPr>
            <w:tcW w:w="5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(a)</w:t>
            </w:r>
          </w:p>
        </w:tc>
        <w:tc>
          <w:tcPr>
            <w:tcW w:w="42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9,530</w:t>
            </w:r>
          </w:p>
        </w:tc>
      </w:tr>
      <w:tr>
        <w:trPr>
          <w:trHeight w:val="243"/>
        </w:trPr>
        <w:tc>
          <w:tcPr>
            <w:tcW w:w="55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(b)</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9,314</w:t>
            </w:r>
          </w:p>
        </w:tc>
      </w:tr>
      <w:tr>
        <w:trPr>
          <w:trHeight w:val="243"/>
        </w:trPr>
        <w:tc>
          <w:tcPr>
            <w:tcW w:w="5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(c)</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6,938</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812</w:t>
            </w:r>
          </w:p>
        </w:tc>
      </w:tr>
      <w:tr>
        <w:trPr>
          <w:trHeight w:val="274"/>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237,556</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248,910</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226,294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240" w:right="800" w:hanging="232"/>
        <w:spacing w:after="0" w:line="233" w:lineRule="auto"/>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year ended December 31, 2023, includes approximately $6.6 million of incrementally recognized expense associated with the May 2023 vesting modification. See Note 10 to the audited consolidated financial statements included elsewhere in this Annual Report for further information.</w:t>
      </w:r>
    </w:p>
    <w:p>
      <w:pPr>
        <w:ind w:left="240" w:right="180" w:hanging="232"/>
        <w:spacing w:after="0" w:line="221" w:lineRule="auto"/>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Also includes incremental professional service fees incurred related to the initial public offering, subsequent one-time compliance efforts, and the registered common stock offering by certain selling stockholders in November 2021. The years ended December 31, 2022 and 2021 include a transaction bonus expense related to one of the Company’s 2021 acquisitions.</w:t>
      </w:r>
    </w:p>
    <w:p>
      <w:pPr>
        <w:ind w:left="240" w:right="180" w:hanging="232"/>
        <w:spacing w:after="0" w:line="239" w:lineRule="auto"/>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and (gains) losses on the sale of assets.</w:t>
      </w:r>
    </w:p>
    <w:p>
      <w:pPr>
        <w:spacing w:after="0" w:line="1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define Adjusted EBITDA Margin as Adjusted EBITDA divided by total revenues. The following table presents the calculation of Adjusted EBITDA Margin for the periods presented.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237,556</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248,910</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226,294</w:t>
            </w:r>
          </w:p>
        </w:tc>
        <w:tc>
          <w:tcPr>
            <w:tcW w:w="80" w:type="dxa"/>
            <w:vAlign w:val="bottom"/>
          </w:tcPr>
          <w:p>
            <w:pPr>
              <w:spacing w:after="0"/>
              <w:rPr>
                <w:sz w:val="20"/>
                <w:szCs w:val="20"/>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763,761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810,023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712,295</w:t>
            </w:r>
          </w:p>
        </w:tc>
        <w:tc>
          <w:tcPr>
            <w:tcW w:w="80" w:type="dxa"/>
            <w:vAlign w:val="bottom"/>
          </w:tcPr>
          <w:p>
            <w:pPr>
              <w:spacing w:after="0"/>
              <w:rPr>
                <w:sz w:val="20"/>
                <w:szCs w:val="20"/>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48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31.1 %</w:t>
            </w:r>
          </w:p>
        </w:tc>
        <w:tc>
          <w:tcPr>
            <w:tcW w:w="40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30.7 %</w:t>
            </w:r>
          </w:p>
        </w:tc>
        <w:tc>
          <w:tcPr>
            <w:tcW w:w="4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r>
      <w:tr>
        <w:trPr>
          <w:trHeight w:val="445"/>
        </w:trPr>
        <w:tc>
          <w:tcPr>
            <w:tcW w:w="550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5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981" w:right="259" w:bottom="1440" w:gutter="0" w:footer="0" w:header="0"/>
        </w:sectPr>
      </w:pPr>
    </w:p>
    <w:bookmarkStart w:id="54" w:name="page55"/>
    <w:bookmarkEnd w:id="54"/>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presents a calculation of Adjusted EBITDA and Adjusted EBITDA Margin by segment for the periods presented. Refer to Note 17 to the consolidated financial statements included elsewhere in this Annual Report for a reconciliation of Adjusted EBITDA for the periods presented by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5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221,645</w:t>
            </w:r>
          </w:p>
        </w:tc>
        <w:tc>
          <w:tcPr>
            <w:tcW w:w="12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221,655</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198,473</w:t>
            </w:r>
          </w:p>
        </w:tc>
        <w:tc>
          <w:tcPr>
            <w:tcW w:w="80" w:type="dxa"/>
            <w:vAlign w:val="bottom"/>
          </w:tcPr>
          <w:p>
            <w:pPr>
              <w:spacing w:after="0"/>
              <w:rPr>
                <w:sz w:val="20"/>
                <w:szCs w:val="20"/>
                <w:color w:val="auto"/>
              </w:rPr>
            </w:pPr>
          </w:p>
        </w:tc>
      </w:tr>
      <w:tr>
        <w:trPr>
          <w:trHeight w:val="24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15,911</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27,255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27,821</w:t>
            </w:r>
          </w:p>
        </w:tc>
        <w:tc>
          <w:tcPr>
            <w:tcW w:w="80" w:type="dxa"/>
            <w:vAlign w:val="bottom"/>
          </w:tcPr>
          <w:p>
            <w:pPr>
              <w:spacing w:after="0"/>
              <w:rPr>
                <w:sz w:val="21"/>
                <w:szCs w:val="2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237,556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248,910</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226,294</w:t>
            </w:r>
          </w:p>
        </w:tc>
        <w:tc>
          <w:tcPr>
            <w:tcW w:w="8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5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673,075</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694,865</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604,413</w:t>
            </w:r>
          </w:p>
        </w:tc>
        <w:tc>
          <w:tcPr>
            <w:tcW w:w="80" w:type="dxa"/>
            <w:vAlign w:val="bottom"/>
          </w:tcPr>
          <w:p>
            <w:pPr>
              <w:spacing w:after="0"/>
              <w:rPr>
                <w:sz w:val="21"/>
                <w:szCs w:val="21"/>
                <w:color w:val="auto"/>
              </w:rPr>
            </w:pPr>
          </w:p>
        </w:tc>
      </w:tr>
      <w:tr>
        <w:trPr>
          <w:trHeight w:val="23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96,832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122,599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114,009</w:t>
            </w:r>
          </w:p>
        </w:tc>
        <w:tc>
          <w:tcPr>
            <w:tcW w:w="80" w:type="dxa"/>
            <w:vAlign w:val="bottom"/>
          </w:tcPr>
          <w:p>
            <w:pPr>
              <w:spacing w:after="0"/>
              <w:rPr>
                <w:sz w:val="20"/>
                <w:szCs w:val="20"/>
                <w:color w:val="auto"/>
              </w:rPr>
            </w:pPr>
          </w:p>
        </w:tc>
      </w:tr>
      <w:tr>
        <w:trPr>
          <w:trHeight w:val="243"/>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intersegment eliminations</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(6,146 )</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(7,441 )</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(6,127 )</w:t>
            </w:r>
          </w:p>
        </w:tc>
        <w:tc>
          <w:tcPr>
            <w:tcW w:w="80" w:type="dxa"/>
            <w:vAlign w:val="bottom"/>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763,761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810,023</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712,295</w:t>
            </w:r>
          </w:p>
        </w:tc>
        <w:tc>
          <w:tcPr>
            <w:tcW w:w="8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5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32.9 %</w:t>
            </w:r>
          </w:p>
        </w:tc>
        <w:tc>
          <w:tcPr>
            <w:tcW w:w="4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31.9 %</w:t>
            </w: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32.8 %</w:t>
            </w:r>
          </w:p>
        </w:tc>
      </w:tr>
      <w:tr>
        <w:trPr>
          <w:trHeight w:val="243"/>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16.4 %</w:t>
            </w:r>
          </w:p>
        </w:tc>
        <w:tc>
          <w:tcPr>
            <w:tcW w:w="40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c>
          <w:tcPr>
            <w:tcW w:w="42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24.4 %</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4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31.1 %</w:t>
            </w:r>
          </w:p>
        </w:tc>
        <w:tc>
          <w:tcPr>
            <w:tcW w:w="4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30.7 %</w:t>
            </w:r>
          </w:p>
        </w:tc>
        <w:tc>
          <w:tcPr>
            <w:tcW w:w="4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-1910715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-1910715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-950595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-950595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240" w:right="680" w:hanging="232"/>
        <w:spacing w:after="0" w:line="261" w:lineRule="auto"/>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reconciliation of net income to Adjusted EBITDA above. Segment Adjusted EBITDA margins are calculated using segment gross revenues and segment Adjusted EBITDA. Consolidated Adjusted EBITDA margin is calculated using consolidated revenues and consolidated Adjusted EBITDA.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was $145.8 million, $156.5 million, and $142.4 million for the years ended December 31, 2023,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Diluted Earnings Per Share was $1.00, $1.03, and $1.01 for the years ended December 31, 2023, 2022, and 2021, respectively.</w:t>
      </w:r>
    </w:p>
    <w:p>
      <w:pPr>
        <w:spacing w:after="0" w:line="15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Adjusted Net Income for the year ended December 31, 2023 decreased by $10.7 million, or 6.8%, compared to the year ended December 31, 2022. Adjusted Diluted Earnings Per Share for the year ended December 31, 2023 decreased by $0.03, or 2.9%, compared to the year ended December 31, 2022. Adjusted Net Income and Adjusted Diluted Earnings Per Share declined during the year ended December 31, 2023, as reduced demand from customers more impacted by macroeconomic events contributed to lower revenues and profitability. Adjusted Net Income and Adjusted Diluted Earnings Per Share were further impacted by changes in acquisition-related depreciation and amortization and changes in our capital structure that are captured in interest expense. Gains or losses and actual cash payments and receipts on the Company’s interest rate swaps impact the comparability of Adjusted Net Income and Adjusted Diluted Earnings Per Share across historical periods. Adjusted Diluted Earnings Per Share is further impacted by shares repurchased under the Company’s Repurchase Program.</w:t>
      </w:r>
    </w:p>
    <w:p>
      <w:pPr>
        <w:spacing w:after="0" w:line="1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Adjusted Net Income for the year ended December 31, 2022 increased by $14.1 million, or 9.9%, compared to the year ended December 31, 2021. Adjusted Diluted Earnings Per Share for the year ended December 31, 2022 increased by $0.02, or 2.0%, compared to the year ended December 31, 2021. Adjusted Net Income and Adjusted Diluted Earnings Per Share were impacted by changes in acquisition-related depreciation and amortization and changes in our capital structure that are captured in interest expense across all periods, the impacts of which were offset by the factors contributing to Adjusted EBITDA growth year over year. The prepayment of the Company’s First Lien and Second Lien debt and gains or losses and actual cash payments and receipts on the Company’s interest rate swaps impact the comparability of Adjusted Net Income and Adjusted Diluted Earnings Per Share across historical periods.</w:t>
      </w:r>
    </w:p>
    <w:p>
      <w:pPr>
        <w:spacing w:after="0" w:line="1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47" w:right="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37,293</w:t>
            </w:r>
          </w:p>
        </w:tc>
        <w:tc>
          <w:tcPr>
            <w:tcW w:w="700" w:type="dxa"/>
            <w:vAlign w:val="bottom"/>
            <w:gridSpan w:val="2"/>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64,604</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16,051</w:t>
            </w: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11,183</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20,475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8,862</w:t>
            </w:r>
          </w:p>
        </w:tc>
      </w:tr>
      <w:tr>
        <w:trPr>
          <w:trHeight w:val="241"/>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48,476</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85,079</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24,913</w:t>
            </w:r>
          </w:p>
        </w:tc>
      </w:tr>
      <w:tr>
        <w:trPr>
          <w:trHeight w:val="243"/>
        </w:trPr>
        <w:tc>
          <w:tcPr>
            <w:tcW w:w="5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42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12,845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20,143</w:t>
            </w:r>
          </w:p>
        </w:tc>
      </w:tr>
      <w:tr>
        <w:trPr>
          <w:trHeight w:val="243"/>
        </w:trPr>
        <w:tc>
          <w:tcPr>
            <w:tcW w:w="55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102,659</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115,944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126,865</w:t>
            </w:r>
          </w:p>
        </w:tc>
      </w:tr>
      <w:tr>
        <w:trPr>
          <w:trHeight w:val="243"/>
        </w:trPr>
        <w:tc>
          <w:tcPr>
            <w:tcW w:w="5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42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15,265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9,530</w:t>
            </w:r>
          </w:p>
        </w:tc>
      </w:tr>
      <w:tr>
        <w:trPr>
          <w:trHeight w:val="243"/>
        </w:trPr>
        <w:tc>
          <w:tcPr>
            <w:tcW w:w="55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9,314</w:t>
            </w:r>
          </w:p>
        </w:tc>
      </w:tr>
      <w:tr>
        <w:trPr>
          <w:trHeight w:val="243"/>
        </w:trPr>
        <w:tc>
          <w:tcPr>
            <w:tcW w:w="5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6,938</w:t>
            </w:r>
          </w:p>
        </w:tc>
        <w:tc>
          <w:tcPr>
            <w:tcW w:w="1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812</w:t>
            </w: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 effect</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190,547</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207,840</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191,577</w:t>
            </w:r>
          </w:p>
        </w:tc>
      </w:tr>
      <w:tr>
        <w:trPr>
          <w:trHeight w:val="243"/>
        </w:trPr>
        <w:tc>
          <w:tcPr>
            <w:tcW w:w="5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Less: Adjusted income taxes</w:t>
            </w:r>
            <w:r>
              <w:rPr>
                <w:rFonts w:ascii="Times New Roman" w:cs="Times New Roman" w:eastAsia="Times New Roman" w:hAnsi="Times New Roman"/>
                <w:sz w:val="24"/>
                <w:szCs w:val="24"/>
                <w:color w:val="auto"/>
                <w:vertAlign w:val="superscript"/>
              </w:rPr>
              <w:t>(f)</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44,759</w:t>
            </w:r>
          </w:p>
        </w:tc>
        <w:tc>
          <w:tcPr>
            <w:tcW w:w="1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51,378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49,178</w:t>
            </w:r>
          </w:p>
        </w:tc>
      </w:tr>
      <w:tr>
        <w:trPr>
          <w:trHeight w:val="274"/>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145,788</w:t>
            </w: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156,462</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142,399</w:t>
            </w:r>
          </w:p>
        </w:tc>
      </w:tr>
      <w:tr>
        <w:trPr>
          <w:trHeight w:val="361"/>
        </w:trPr>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Adjusted Diluted Earnings Per Share for the periods presented.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8"/>
        </w:trPr>
        <w:tc>
          <w:tcPr>
            <w:tcW w:w="55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69"/>
        </w:trPr>
        <w:tc>
          <w:tcPr>
            <w:tcW w:w="5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(GAAP)</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0.26</w:t>
            </w:r>
          </w:p>
        </w:tc>
        <w:tc>
          <w:tcPr>
            <w:tcW w:w="700" w:type="dxa"/>
            <w:vAlign w:val="bottom"/>
            <w:gridSpan w:val="2"/>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0.43</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r>
      <w:tr>
        <w:trPr>
          <w:trHeight w:val="24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Net Income adjustments per share</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6"/>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550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42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5500" w:type="dxa"/>
            <w:vAlign w:val="bottom"/>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0.90</w:t>
            </w:r>
          </w:p>
        </w:tc>
      </w:tr>
      <w:tr>
        <w:trPr>
          <w:trHeight w:val="243"/>
        </w:trPr>
        <w:tc>
          <w:tcPr>
            <w:tcW w:w="550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42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5500" w:type="dxa"/>
            <w:vAlign w:val="bottom"/>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550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42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5500" w:type="dxa"/>
            <w:vAlign w:val="bottom"/>
            <w:tcBorders>
              <w:bottom w:val="single" w:sz="8" w:color="CFF0FC"/>
            </w:tcBorders>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24"/>
                <w:szCs w:val="24"/>
                <w:color w:val="auto"/>
                <w:vertAlign w:val="superscript"/>
              </w:rPr>
              <w:t>(f)</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(0.35 )</w:t>
            </w:r>
          </w:p>
        </w:tc>
      </w:tr>
      <w:tr>
        <w:trPr>
          <w:trHeight w:val="234"/>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(Non-GAAP)</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5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5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1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in computation of</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8"/>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outstanding—diluted (GAAP and</w:t>
            </w: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48"/>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Non-GAAP)</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146,226,096</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151,807,139</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141,687,384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-2922270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-2905125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-2922270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-2905125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-925195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-925195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240" w:right="100" w:hanging="232"/>
        <w:spacing w:after="0" w:line="226" w:lineRule="auto"/>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loss on extinguishment of debt and non-cash interest expense related to the amortization of debt issuance costs for the 2021 February refinancing and repayment of the Company’s First Lien Credit Facility (as defined below) and Second Lien Credit Facility (as defined below), respectively. Beginning in 2022, this adjustment also includes the impact of the change in fair value of interest rate swaps. This adjustment, which represents the difference between the fair value gains or losses and actual cash payments and receipts on the interest rate swaps, was added as a result of the increased interest rate volatility observed in 2022. The Company determined that the impact to the year ended December 31, 2021 was not significant and therefore, the previously reported amount will not be recast.</w:t>
      </w:r>
    </w:p>
    <w:p>
      <w:pPr>
        <w:ind w:left="240" w:right="140" w:hanging="232"/>
        <w:spacing w:after="0" w:line="221" w:lineRule="auto"/>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depreciation and amortization expense related to intangible assets and developed technology assets recorded due to the application of ASC 805, Business Combinations. As a result, the purchase accounting related depreciation and amortization expense will recur in future periods until the related assets are fully depreciated or amortized, and the related purchase accounting assets may contribute to revenue generation.</w:t>
      </w:r>
    </w:p>
    <w:p>
      <w:pPr>
        <w:ind w:left="240" w:right="720" w:hanging="232"/>
        <w:spacing w:after="0" w:line="221" w:lineRule="auto"/>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year ended December 31, 2023, includes approximately $6.6 million of incrementally recognized expense associated with the May 2023 vesting modification. See Note 10 to the audited consolidated financial statements included elsewhere in this Annual Report for further information.</w:t>
      </w:r>
    </w:p>
    <w:p>
      <w:pPr>
        <w:ind w:left="240" w:right="100" w:hanging="232"/>
        <w:spacing w:after="0" w:line="221" w:lineRule="auto"/>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Also includes incremental professional service fees incurred related to the initial public offering, subsequent one-time compliance efforts, and the registered common stock offering by certain selling stockholders in November 2021. The years ended December 31, 2022 and 2021 include a transaction bonus expense related to one of the Company’s 2021 acquisitions.</w:t>
      </w:r>
    </w:p>
    <w:p>
      <w:pPr>
        <w:ind w:left="240" w:right="100" w:hanging="232"/>
        <w:spacing w:after="0" w:line="221" w:lineRule="auto"/>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and (gains) losses on the sale of assets.</w:t>
      </w:r>
    </w:p>
    <w:p>
      <w:pPr>
        <w:ind w:left="240" w:right="160" w:hanging="232"/>
        <w:spacing w:after="0" w:line="227" w:lineRule="auto"/>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rates of approximately 23.5%, 24.7%, and 25.7% have been used to compute Adjusted Net Income and Adjusted Diluted Earnings Per Share for the years ended December 31, 2023, 2022, and 2021,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primary liquidity requirements are for working capital, continued investments in software development and other capital expenditures, and other strategic investments, including the Acquisition. In 2023, the Company fully utilized its remaining U.S. Federal income tax net operating loss carryforwards. As a result, income taxes will become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including incremental term loan borrowings expected to be incurred to fund the Acquisition pursuant to a commitment letter entered into with certain financial institutions. Our cash flows from operations include cash received from customers, less cash costs to provide services to our customers, which includes general and administrative costs and interest payments.</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of December 31, 2023, we had $213.8 million in cash and cash equivalents and $100.0 million available under our revolving credit facility. As of December 31, 2023,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“Risk Factors.”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August 2, 2022, the Company’s Board of Directors authorized the repurchase of up to $50.0 million of the Company’s common stock over the 12-month period ending August 2, 2023.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and plans to use its existing cash to fund repurchases made under the share repurchase program.</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February 23, 2023, the Company repurchased approximately $119.5 million of shares under the Repurchase Program. In connection with the execution of the Merger Agreement, the Company will be suspending purchases under its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An aggregate cash dividend of $217.7 million was paid on August 31, 2023 with cash from the balance sheet.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2020, a new financing structure was established consisting of a new First Lien Credit Agreement (“First Lien Agreement”) and a new Second Lien Credit Agreement (“Second Lien Agreement”) (collectively, the “Credit Agreements”). The First Lien Agreement provided financing in the form of a $670.0 million term loan due January 31, 2027 (“First Lien Credit Facility”) and a $75.0 million new revolving credit facility due January 31, 2025 (“Revolver”). The Second Lien Agreement provided financing in the form of a $145.0 million term loan due January 31, 2028 (“Second Lien Credit Facility”).</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1, 2021, we amended the First Lien Agreement to fund $100.0 million of additional first lien term loans and reduce the applicable margins by 0.25%. The refinancing resulted in a loss on extinguishment of debt of $5.1 million, composed of the write-off of $4.5 million of unamortized deferred financing costs and $0.6 million of accrued interest and miscellaneous fees. In addition, we fully repaid the outstanding Second Lien Agreement and recorded a loss on extinguishment of debt of $8.9 million, composed of the write-off of $7.3 million of unamortized deferred financing costs plus a $1.5 million prepayment premium, and $0.1 million of accrued interest and other miscellaneous fees.</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entered into an amendment to increase the borrowing capacity under the Revolver from $75.0 million to $100.0 million and extend the maturity date from January 31, 2025 to July 31, 2026.</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Borrowings under the First Lien Agreement bear interest at a rate per annum equal to an applicable margin plus, at our option, either (a) a base rate or (b) LIBOR, which is subject to a floor of 0.00% per annum. In June 2023, the Credit Agreement was amended to transition the reference rate from LIBOR to SOFR (the Secured Overnight Financing Rate as administered by the Federal Reserve Bank of New York), with the addition of an applicable margin. The applicable margins under the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First Lien Credit Facility amortizes in equal quarterly installments in aggregate annual amounts equal to 1.00% of the principal amount. The Revolver has no amortization.</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2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IPO, on June 30, 2021 the Company repaid $200.0 million of the First Lien Credit Facility outstanding, of which $44.3 million was applied to all of the remaining quarterly amortizing principal payments due under the First Lien Agreement.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First Lien Agreement is unconditionally guaranteed by Fastball Parent, Inc., a wholly-owned subsidiary of the Company and the direct parent of the borrower, and material wholly owned domestic restricted subsidiaries of Fastball Parent, Inc. The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3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First Lien Agreement contains customary affirmative covenants, negative covenants and events of default (including upon a change of control). The First Lien Agreement also includes a “springing” first lien net leverage ratio test, applicable only to the Revolver, that requires such ratio to be no greater than 7.75:1.00 on the last day of any fiscal quarter if more than 35.0% of the Revolver is utilized on such date.</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Year Ended December 31, 2023 compared to the Year Ended December 31, 2022 and for the Year Ended December 31, 2022 compared to the Year Ended December 31,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cash flow activity for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3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162,820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212,770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148,677</w:t>
            </w: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(72,427 )</w:t>
            </w: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(273,556 )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(59,154 )</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63,848</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net cash provided by operating activities was $162.8 million, $212.8 million, and $148.7 million, respectively.</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for the year ended December 31, 2023 were impacted by the continuation of more modest hiring activity from our customers in the Americas and softness internationally, resulting from the ongoing uncertainty from the economic environment that began to impact hiring demand in late 2022. Additionally, cash flows from operating activities in 2023 were impacted by a $9.7 million outflow due to working capital.</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for the year ended December 31, 2022 were positively impacted by the Company’s revenue growth from existing customers, new customer go-lives, recent acquisitions and lower accounts receivable driven by cash collections from customers. These were partially offset with other changes in working capital, primarily accrued compensation.</w:t>
      </w:r>
    </w:p>
    <w:p>
      <w:pPr>
        <w:spacing w:after="0" w:line="12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for the year ended December 31, 2021 were positively impacted by increased profitability related to the Company’s revenue growth from existing customers, new customer go-lives, and the 2021 acquisitions. This was offset in part by the use of cash for working capital primarily due to the high level of revenue growth acceleration that remained in receivables at December 31, 2021, consistent with normal payment terms offered to our customers.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net cash used in investing activities was $66.8 million, $48.6 million, and $72.4 million, respectively.</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cash flows used in investing activities for the year ended December 31, 2023 were primarily impacted by the $41.1 million Infinite ID acquisition, net of cash acquired and other transaction adjustments. The remaining investing cash flows are driven primarily by capitalized software development costs and purchases of property and equipment as the Company continued to make incremental investments in its technology platform.</w:t>
      </w:r>
    </w:p>
    <w:p>
      <w:pPr>
        <w:spacing w:after="0" w:line="1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cash flows used in investing activities for the year ended December 31, 2022 included the $19.1 million acquisition of Form I-9 Compliance, net of cash acquired. The remaining investing cash flows were driven primarily by capitalized software development costs and purchases of property and equipment, which increased in 2022 as the Company continued to make incremental investments in its technology platform.</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cash flows used in investing activities for the year ended December 31, 2021 included an aggregate of $48.9 million in purchase price for the three 2021 acquisitions. The remaining use of investing cash flows were driven primarily by capitalized software development costs and purchases of property and equipment, which increased in 2021 as we continued to make incremental investments in our technology and operations.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net cash (used in) provided by financing activities was $(273.6) million, $(59.2) million, and $63.8 million, respectively.</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were impacted by the Company’s one-time special cash dividend of $1.50 per share and shares repurchased under the Company’s Repurchase Program. An aggregate cash dividend of $217.7 million was paid on August 31, 2023. During the year ended December 31, 2023, the Company repurchased 4.4 million shares for a total cost of $59.0 million. These outflows were offset partially by cash inflows related to share-based compensation activity.</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were primarily driven by shares repurchased under the Company’s Repurchase Program. During the year ended December 31, 2022, 4.7 million shares were repurchased under the program at a total cost of $60.5 million. Additionally, the Company had additional outflows related to payments on capital lease obligations and deferred purchase of a software platform. These outflows were partially offset by share-based compensation activity.</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primarily driven by the Company’s completion of its IPO on June 25, 2021. Cash inflows related to the IPO were $320.6 million, partially offset by the use of proceeds which consisted of a $200.0 million repayment of the Company’s First Lien Credit Facility and $4.0 million of offering costs.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incrementally driven by the Company’s February 2021 debt refinancing which consisted of a refinancing of the First Lien Credit Facility and the full repayment of the Second Lien Credit Facility. Cash outflows related to this refinancing were $308.5 million, partially offset by cash inflows of $261.4 million. As part of the refinancing, the Company paid $1.3 million related to new debt issuance costs. The remaining outflows primarily consisted of principal payments due under the First Lien Credit Facility, payments on capital lease obligations, a deferred purchase of a software platform, and share-based compensation activity.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Contractual obligations for the Company are comprised of debt, leases, and purchase obligations. The following sections provide details of material cash requirements from known contractual and other obligations as of December 31,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$564.7 million outstanding under its First Lien Credit Facility due January 31, 2027. No principal payments are due within the next twelve months, as detailed further in Note 6 to the audited consolidated financial statements included elsewhere in this Annual Report. Future interest payments associated with the First Lien Credit Facility total $127.6 million, with $40.0 million payable within the next twelve months. Estimated future interest payments are based on the actual interest rates on individual debt, interest rate collar, and swap agreements outstanding at December 31, 2023. Actual interest rates on our variable rate debt, interest rate collar and swap agreements, and the actual amount of our variable indebtedness could vary from the amounts used to compute the amounts.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no borrowings outstanding under our Revolver.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December 31, 2023, total contractual obligations for operating leases were $11.0 million. This includes operating leases with original maturities of less than one year, which are not recorded in our consolidated balance sheet. As of December 31, 2023, no outstanding amounts were due under finance lease agreements.</w:t>
      </w:r>
    </w:p>
    <w:p>
      <w:pPr>
        <w:spacing w:after="0" w:line="122" w:lineRule="exact"/>
        <w:rPr>
          <w:sz w:val="20"/>
          <w:szCs w:val="20"/>
          <w:color w:val="auto"/>
        </w:rPr>
      </w:pPr>
    </w:p>
    <w:p>
      <w:pPr>
        <w:ind w:right="2080"/>
        <w:spacing w:after="0" w:line="438" w:lineRule="auto"/>
        <w:rPr>
          <w:sz w:val="20"/>
          <w:szCs w:val="20"/>
          <w:color w:val="auto"/>
        </w:rPr>
      </w:pPr>
      <w:r>
        <w:rPr>
          <w:rFonts w:ascii="Times New Roman" w:cs="Times New Roman" w:eastAsia="Times New Roman" w:hAnsi="Times New Roman"/>
          <w:sz w:val="18"/>
          <w:szCs w:val="18"/>
          <w:color w:val="auto"/>
        </w:rPr>
        <w:t xml:space="preserve">For further information, see Note 14 to the audited consolidated financial statements included elsewhere in this Annual Report. </w:t>
      </w:r>
      <w:r>
        <w:rPr>
          <w:rFonts w:ascii="Times New Roman" w:cs="Times New Roman" w:eastAsia="Times New Roman" w:hAnsi="Times New Roman"/>
          <w:sz w:val="18"/>
          <w:szCs w:val="18"/>
          <w:i w:val="1"/>
          <w:iCs w:val="1"/>
          <w:color w:val="auto"/>
        </w:rPr>
        <w:t>Purchase Obligations</w:t>
      </w:r>
    </w:p>
    <w:p>
      <w:pPr>
        <w:spacing w:after="0" w:line="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entered into a one-year contract with a third-party service provider which contains a minimum volume commitment. The Company expects to exceed the stipulated minimum volume of purchases required in 2024 through the ordinary course of business.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accrued approximately $1.0 million for uncertain tax positions and accrued interest and penalties of $0.5 million related to the uncertain tax positions as of December 31, 2023. See Note 8 to the audited consolidated financial statements included elsewhere in this Annual Report for further information.</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accrued $5.2 million relating to legal proceedings in which the Company believes a loss is both probable and estimable. See Note 13 to the audited consolidated financial statements included elsewhere in this Annual Report for further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See Note 2 to the audited consolidated financial statements included elsewhere in this Annual Report for a full description of recent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audited consolidated financial statements and the related notes thereto included elsewhere in this Annual Report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to the audited consolidated financial statements included elsewhere in this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primary source of revenues is derived from pre-onboarding background screening and related products provided to our customers on a transactional basis, in which a background screening package or selection of products is ordered by a customer related to a single applicant. Substantially all of the Company’s customers are employers, staffing companies, and other businesses or organizations. The Company’s revenues are mostly comprised of a significant volume of low-dollar services fulfilled by multiple highly automated, proprietary systems and applications. The processing of transactions and recording of revenue is based on contractual terms with the Company’s customers. The Company satisfies its performance obligations and recognizes revenues for its products as the orders are completed and the completed results or reports are transmitted, or otherwise made available. The Company’s remaining products, substantially consisting of post-onboarding monitoring, tax consulting, fleet management, and driver qualification services, are delivered over time as the customer simultaneously receives and consumes the benefits of the products and solutions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 The Company records third-party pass- through fees incurred as part of screening related products on a gross revenue basis, with the related expense recorded as a cost of service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record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recorded in the period in which they occur.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We review long-lived assets held and used by us—including property and equipment primarily consisting of capitalized internal use software, and finite-lived intangible assets—for impairment whenever events or changes in business circumstances indicate that the carrying amount of an asset or asset group may not be fully recoverable. If an impairment is determined to exist, we calculate any related impairment loss based on the difference between the fair value and carrying values of the respective assets or asset groups.</w:t>
      </w:r>
    </w:p>
    <w:p>
      <w:pPr>
        <w:spacing w:after="0" w:line="11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Internal use software development costs are capitalized during the application development stage of initial development or during development of new features and enhancements. The Company amortizes these costs using the straight-line method over the estimated useful life of the software, generally three years. Software costs not meeting the criteria for capitalization are expensed as incurred.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assess goodwill for impairment annually or more frequently if events or changes in business circumstances indicate that it is more likely than not that the carrying value of a reporting unit exceeds its fair value. In performing these assessments, management relies on various factors, including operating results, business plans, economic projections, anticipated future cash flows and other market data. There are inherent uncertainties related to these factors and judgment is required in applying them to the goodwill impairment test. Our annual goodwill impairment test is performed on October 31. We perform additional tests throughout the year when required.</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quantitative goodwill impairment tests, the fair value for each reporting unit is determined using a discounted cash flow method. Key assumptions for computing fair value include discount rate, long term growth rate, foreign currency exchange rate, and cash flow projections for each reporting unit. No goodwill impairment was recognized for 2023. See Note 2 to the audited consolidated financial statements included elsewhere in this Annual Report for more information on our goodwill impairment testing.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determining taxable income for our consolidated financial statements,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revenues and expenses.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our underlying businesses.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income tax assets recorded if, based on the weight of the evidence, it is more likely than not, that some or all of the deferred income tax assets will not be realized. The Company evaluates all of the positive and negative evidence annually to determine the need for a valuation allowance. After consideration of all of the evidence, the Company has determined that a valuation allowance of $1.9 million and $1.5 million is necessary at December 31, 2023 and 2022, respectively.</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Changes in tax laws and rates could also affect recorded deferred tax assets and liabilities in the future. We record the effect of a tax rate or law change on our deferred tax assets and liabilities in the period of enactment. Future tax rate or law changes could have a material effect on our results of operations, financial condition, or cash flows.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calculation of our tax liabilities involves dealing with uncertainties in the application of complex tax regulations in the United States and elsewhere. We recognize potential liabilities and record tax liabilities for anticipated tax audit issues in the U.S. and other tax jurisdictions based on estimates of whether, and the extent to which, additional taxes will be due in accordance with the authoritative guidance regarding the accounting for uncertain tax positions. These tax liabilities are reflected net of related tax loss carryforwards. We adjust these reserves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 The Company classifies interest and penalties associated with its unrecognized tax benefits as a component of income tax expense (see Note 8 to the audited consolidated financial statements included elsewhere in this Annual Report).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global company, we are exposed to a variety of market risks, including the effects of changes in interest rates and foreign currency exchange rates. We monitor and manage these financial exposures as an integral part of our overall risk management program. We use derivative financial instruments for hedging purposes only. We do not use derivatives for speculation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$213.8 million and $391.7 million as of December 31, 2023 and 2022, respectively. We also had short-term investments of $2.0 million at December 31, 2022. Our cash and cash equivalents consist primarily of bank demand deposits. Our short-term investments consist of fixed time deposits having a maturity date within twelve months. We hold cash, cash equivalents, and short-term investments for working capital purposes. We do not enter into investments for trading or speculative purposes.</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our cash, cash equivalents, or short-term investments as these consist primarily of highly liquid investments purchased with original maturities of twelve months or less at December 31, 2023 and 2022.</w:t>
      </w:r>
    </w:p>
    <w:p>
      <w:pPr>
        <w:spacing w:after="0" w:line="108"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Our debt includes variable-rate debt and a revolving credit facility that bear interest based on SOFR. As a result, we are exposed to fluctuations in interest rates on our long-term debt. The carrying value of our long-term debt, excluding capital lease and other long-term obligations, was $558.5 million as of December 31, 2023. The fair value of our long-term debt, excluding finance lease and other long-term obligations, was approximately the same as its carrying value of $558.5 million as of December 31, 2023. As of December 31, 2023, a hypothetical 100 basis point increase or decrease in interest rates would change the fair value of our debt by less than $0.1 million. The exposure associated with our variable-rate borrowings to a hypothetical 100 basis point increase or decrease in interest rates would, therefore, not be material to earnings, fair values, or cash flows. See Note 6 to the audited consolidated financial statements included elsewhere in this Annual Report for more information on our debt offerings and any outstanding debt.</w:t>
      </w:r>
    </w:p>
    <w:p>
      <w:pPr>
        <w:spacing w:after="0" w:line="11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To help manage borrowing costs, we may from time to time enter into interest rate derivative transactions with financial institutions acting as principal counterparties. In 2020, the Company entered into an interest rate collar agreement with a notional amount of $405.0 million through February 2022 that was reduced to $300.0 million from March 2022 through February 2024, with a maturity date of February 29, 2024. In the agreement, we and the counterparty bank agreed to a one-month LIBOR floor of 0.48% and cap of 1.50% on a portion of our term loan facility. In June 2023, the Company transitioned the reference rate from one-month LIBOR to one-month SOFR and reduced the cap to 1.47%.</w:t>
      </w:r>
    </w:p>
    <w:p>
      <w:pPr>
        <w:spacing w:after="0" w:line="1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interest rate swap agreement with a notional amount of $100.0 million that matures on February 28, 2026. The interest rate swap hedged our floating LIBOR rate outstanding debt with a fixed rate of 4.36%. In June 2023, the Company transitioned the reference rate from one-month LIBOR to one-month SOFR and reduced the fixed rate to 4.32%.</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2023, the Company entered into two interest rate swap agreements, each with a notional amount of $150.0 million. Effective December 29, 2023, the first interest rate swap agreement hedged our floating SOFR rate outstanding debt with a fixed rate of 3.86%. Effective March 1, 2024, the second interest rate swap agreement will hedge our floating SOFR rate outstanding debt with a fixed rate of 3.76%. Both interest rate swap agreements mature on December 31, 2026.</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Refer to Note 7 to the consolidated financial statements included elsewhere in this Annual Report for more information about our interest rate collar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exposure to the effects of foreign currency exchange rate fluctuations due to our global operations. The functional currency of all of the Company’s foreign subsidiaries is the applicable local currency. Principal foreign currency exposures relate primarily to the Indian Rupee, British Pound Sterling, and to a lesser extent the Hong Kong Dollar, Australian Dollar, and Chinese Renminbi.</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Balance sheet adjustments resulting from the translation of foreign currency-denominated subsidiary financial statements are accumulated in a separate component of equity. Gains or losses resulting from foreign currency transactions are included in the Company’s consolidated statements of operations and comprehensive income, except for gains or losses relating to intercompany transactions of a long-term investment nature, which are presented in a separate component of equity as accumulated other comprehensive loss.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historically have not hedged our investments in foreign subsidiaries or our exposure to transaction gains or losses resulting from fluctuations in foreign currency exchange rates. Currency translation income (loss) included in other comprehensive income (loss) were approximately $1.2 million, $(20.7) million, and $(4.1) million, for the years ended December 31, 2023, 2022, and 2021, respectively.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 of Part IV of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Exchange Act, as amended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35" w:lineRule="exact"/>
        <w:rPr>
          <w:sz w:val="20"/>
          <w:szCs w:val="20"/>
          <w:color w:val="auto"/>
        </w:rPr>
      </w:pPr>
    </w:p>
    <w:p>
      <w:pPr>
        <w:ind w:left="60" w:right="1520" w:hanging="44"/>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that occurred during the quarter ended December 31, 2023 that materially affected, or are reasonably likely to materially affect, our internal control over financial reporting.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Chief Executive Officer (principal executive officer) and Chief Financial Officer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9" w:lineRule="exact"/>
        <w:rPr>
          <w:sz w:val="20"/>
          <w:szCs w:val="20"/>
          <w:color w:val="auto"/>
        </w:rPr>
      </w:pPr>
    </w:p>
    <w:p>
      <w:pPr>
        <w:ind w:left="740" w:hanging="223"/>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transactions and dispositions of our assets;</w:t>
      </w:r>
    </w:p>
    <w:p>
      <w:pPr>
        <w:spacing w:after="0" w:line="117" w:lineRule="exact"/>
        <w:rPr>
          <w:rFonts w:ascii="Times New Roman" w:cs="Times New Roman" w:eastAsia="Times New Roman" w:hAnsi="Times New Roman"/>
          <w:sz w:val="18"/>
          <w:szCs w:val="18"/>
          <w:color w:val="auto"/>
        </w:rPr>
      </w:pPr>
    </w:p>
    <w:p>
      <w:pPr>
        <w:ind w:left="740" w:right="240" w:hanging="223"/>
        <w:spacing w:after="0" w:line="266"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and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740" w:right="340" w:hanging="223"/>
        <w:spacing w:after="0" w:line="282"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the Company’s internal control over financial reporting as of December 31, 2023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using those criteria, our management concluded that, as of December 31, 2023, the Company’s internal control over financial reporting was effective. Management reviewed the results of its assessment with the Audit Committee of its Board of Directors. The effectiveness of the Company’s internal control over financial reporting as of December 31, 2023 has been audited by Deloitte &amp; Touche LLP, the Company’s independent registered public accounting firm, as stated in their report, which appears in “Item 8. Financial Statements and Supplementary Data” of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(as defined in Rule 16a-1(f) of the Exchange Act) adopted, terminated, or modified a Rule 10b5-1 trading arrangement or non-Rule 10b5-1 trading arrangement (as such terms are defined in Item 408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committed to promoting high standards of ethical business conduct and compliance with applicable laws, rules and regulations. As part of this commitment, we have adopted a written Global Code of Conduct and Ethics that applies to all of our directors, officers, and employees, including our Chief Executive Officer, Chief Financial Officer, and Chief Accounting Officer. Our Global Code of Conduct and Ethics is posted under the “Governance” section on our website, https://investors.fadv.com/. Our Global Code of Conduct and Ethics is a “code of ethics,” as defined in Item 406(b) of Regulation S-K. We will make any legally required disclosures regarding amendments to, or waivers of, provisions of our code of ethics on our website.</w:t>
      </w:r>
    </w:p>
    <w:p>
      <w:pPr>
        <w:spacing w:after="0" w:line="1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definitive Proxy Statement for our 2024 Annual Meeting of Stockholders, which will be filed with the SEC no later than 120 days after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6" w:name="page67"/>
    <w:bookmarkEnd w:id="66"/>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Our consolidated financial statements are included in this Annual Report beginning on page F-1.</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75" w:lineRule="exact"/>
        <w:rPr>
          <w:sz w:val="20"/>
          <w:szCs w:val="20"/>
          <w:color w:val="auto"/>
        </w:rPr>
      </w:pPr>
    </w:p>
    <w:p>
      <w:pPr>
        <w:ind w:left="1180"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or are incorporated herein by reference, in each case as indicated below.</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43" w:right="5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20" w:type="dxa"/>
            <w:vAlign w:val="bottom"/>
            <w:gridSpan w:val="37"/>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900" w:type="dxa"/>
            <w:vAlign w:val="bottom"/>
            <w:tcBorders>
              <w:bottom w:val="single" w:sz="8" w:color="auto"/>
            </w:tcBorders>
            <w:gridSpan w:val="3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Certificate of Incorporation of First Advantage Corporation (incorporated by reference to Exhibit 3.1 of First</w:t>
              </w:r>
            </w:hyperlink>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2"/>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Advantage’s Current Report on Form 8-K filed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Bylaws of First Advantage Corporation (incorporated by reference to Exhibit 3.2 of First Advantage’s Current</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2"/>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Report on Form 8-K filed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Description of Securities Registered Pursuant to Section 12 of the Securities Exchange Act of 1934 (incorporated by reference to</w:t>
              </w:r>
            </w:hyperlink>
          </w:p>
        </w:tc>
        <w:tc>
          <w:tcPr>
            <w:tcW w:w="4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Exhibit 4.1 to First Advantage’s Annual Report on Form 10-K filed on March 23, 2022).</w:t>
              </w:r>
            </w:hyperlink>
          </w:p>
        </w:tc>
        <w:tc>
          <w:tcPr>
            <w:tcW w:w="33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First Advantage Corporation 2021 Employee Stock Purchase Plan (incorporated by reference to Exhibit 10.3 of First Advantage’s</w:t>
              </w:r>
            </w:hyperlink>
          </w:p>
        </w:tc>
        <w:tc>
          <w:tcPr>
            <w:tcW w:w="3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Current Report on Form 8-K filed on June 25, 2021).</w:t>
              </w:r>
            </w:hyperlink>
          </w:p>
        </w:tc>
        <w:tc>
          <w:tcPr>
            <w:tcW w:w="20" w:type="dxa"/>
            <w:vAlign w:val="bottom"/>
            <w:tcBorders>
              <w:bottom w:val="single" w:sz="8" w:color="0000EE"/>
            </w:tcBorders>
          </w:tcPr>
          <w:p>
            <w:pPr>
              <w:spacing w:after="0"/>
              <w:rPr>
                <w:sz w:val="17"/>
                <w:szCs w:val="17"/>
                <w:color w:val="auto"/>
              </w:rPr>
            </w:pPr>
          </w:p>
        </w:tc>
        <w:tc>
          <w:tcPr>
            <w:tcW w:w="59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Advantage Corporation 2021 Omnibus Incentive Plan (incorporated by reference to Exhibit 10.2 of First Advantage’s Quarterly</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2"/>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Report on Form 10-Q filed on August 12,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First Amendment to First Advantage Corporation 2021 Omnibus Incentive Plan (incorporated by reference to Exhibit 10.1 to First</w:t>
              </w:r>
            </w:hyperlink>
          </w:p>
        </w:tc>
        <w:tc>
          <w:tcPr>
            <w:tcW w:w="3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Advantage’s Quarterly Report on Form 10-Q filed on August 9, 2023).</w:t>
              </w:r>
            </w:hyperlink>
          </w:p>
        </w:tc>
        <w:tc>
          <w:tcPr>
            <w:tcW w:w="464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Standard Option Award Agreement under the First Advantage Corporation 2021 Omnibus Incentive Program (incorporated</w:t>
              </w:r>
            </w:hyperlink>
          </w:p>
        </w:tc>
        <w:tc>
          <w:tcPr>
            <w:tcW w:w="1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by reference to Exhibit 4.5 to First Advantage’s Registration Statement on Form S-8 filed on June 25, 2021).</w:t>
              </w:r>
            </w:hyperlink>
          </w:p>
        </w:tc>
        <w:tc>
          <w:tcPr>
            <w:tcW w:w="20" w:type="dxa"/>
            <w:vAlign w:val="bottom"/>
            <w:tcBorders>
              <w:bottom w:val="single" w:sz="8" w:color="0000EE"/>
            </w:tcBorders>
          </w:tcPr>
          <w:p>
            <w:pPr>
              <w:spacing w:after="0"/>
              <w:rPr>
                <w:sz w:val="17"/>
                <w:szCs w:val="17"/>
                <w:color w:val="auto"/>
              </w:rPr>
            </w:pPr>
          </w:p>
        </w:tc>
        <w:tc>
          <w:tcPr>
            <w:tcW w:w="19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Form of Standard Option Award Grant Notice and Agreement under the First Advantage Corporation 2021 Omnibus Incentive Plan</w:t>
              </w:r>
            </w:hyperlink>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2"/>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(incorporated by reference to Exhibit 10.3 to First Advantage’s Quarterly Report on Form 10-Q filed on August 4,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Form of Non-Employee Director Restricted Stock Unit Initial Award Grant Notice and Agreement under the First Advantage</w:t>
              </w:r>
            </w:hyperlink>
          </w:p>
        </w:tc>
        <w:tc>
          <w:tcPr>
            <w:tcW w:w="70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Corporation 2021 Omnibus Incentive Plan (incorporated by reference to Exhibit 10.1 to First Advantage’s Quarterly Report on Form</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10-Q filed on August 4, 2022).</w:t>
              </w:r>
            </w:hyperlink>
          </w:p>
        </w:tc>
        <w:tc>
          <w:tcPr>
            <w:tcW w:w="20" w:type="dxa"/>
            <w:vAlign w:val="bottom"/>
            <w:tcBorders>
              <w:bottom w:val="single" w:sz="8" w:color="0000EE"/>
            </w:tcBorders>
          </w:tcPr>
          <w:p>
            <w:pPr>
              <w:spacing w:after="0"/>
              <w:rPr>
                <w:sz w:val="17"/>
                <w:szCs w:val="17"/>
                <w:color w:val="auto"/>
              </w:rPr>
            </w:pPr>
          </w:p>
        </w:tc>
        <w:tc>
          <w:tcPr>
            <w:tcW w:w="7500" w:type="dxa"/>
            <w:vAlign w:val="bottom"/>
            <w:gridSpan w:val="3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Form of Non-Employee Director Restricted Stock Unit Annual Award Grant Notice and Agreement under the First Advantage</w:t>
              </w:r>
            </w:hyperlink>
          </w:p>
        </w:tc>
        <w:tc>
          <w:tcPr>
            <w:tcW w:w="60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Corporation 2021 Omnibus Incentive Plan (incorporated by reference to Exhibit 10.2 to First Advantage’s Quarterly Report on Form</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10-Q filed on August 4, 2022).</w:t>
              </w:r>
            </w:hyperlink>
          </w:p>
        </w:tc>
        <w:tc>
          <w:tcPr>
            <w:tcW w:w="20" w:type="dxa"/>
            <w:vAlign w:val="bottom"/>
            <w:tcBorders>
              <w:bottom w:val="single" w:sz="8" w:color="0000EE"/>
            </w:tcBorders>
          </w:tcPr>
          <w:p>
            <w:pPr>
              <w:spacing w:after="0"/>
              <w:rPr>
                <w:sz w:val="17"/>
                <w:szCs w:val="17"/>
                <w:color w:val="auto"/>
              </w:rPr>
            </w:pPr>
          </w:p>
        </w:tc>
        <w:tc>
          <w:tcPr>
            <w:tcW w:w="7500" w:type="dxa"/>
            <w:vAlign w:val="bottom"/>
            <w:gridSpan w:val="3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Non-Employee Director RSU Award Agreement under the First Advantage Corporation 2021 Omnibus Incentive Plan</w:t>
              </w:r>
            </w:hyperlink>
          </w:p>
        </w:tc>
        <w:tc>
          <w:tcPr>
            <w:tcW w:w="5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(incorporated by reference to Exhibit 4.6 to First Advantage’s Registration Statement on Form S-8 filed on June 25, 2021).</w:t>
              </w:r>
            </w:hyperlink>
          </w:p>
        </w:tc>
        <w:tc>
          <w:tcPr>
            <w:tcW w:w="20" w:type="dxa"/>
            <w:vAlign w:val="bottom"/>
            <w:tcBorders>
              <w:bottom w:val="single" w:sz="8" w:color="0000EE"/>
            </w:tcBorders>
          </w:tcPr>
          <w:p>
            <w:pPr>
              <w:spacing w:after="0"/>
              <w:rPr>
                <w:sz w:val="17"/>
                <w:szCs w:val="17"/>
                <w:color w:val="auto"/>
              </w:rPr>
            </w:pPr>
          </w:p>
        </w:tc>
        <w:tc>
          <w:tcPr>
            <w:tcW w:w="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Form of Restricted Stock Unit Award Grant Notice and Agreement under the First Advantage Corporation 2021 Omnibus Incentive</w:t>
              </w:r>
            </w:hyperlink>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2"/>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Plan (incorporated by reference to Exhibit 10.4 to First Advantage’s Quarterly Report on Form 10-Q filed on August 4,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Restricted Stock Award Agreement under the First Advantage Corporation 2021 Omnibus Incentive Plan (incorporated by</w:t>
              </w:r>
            </w:hyperlink>
          </w:p>
        </w:tc>
        <w:tc>
          <w:tcPr>
            <w:tcW w:w="2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reference to Exhibit 10.6 to First Advantage’s Quarterly Report on Form 10-Q filed on August 12, 2021).</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Form of Top-Up Option Award Agreement under the First Advantage Corporation 2021 Omnibus Incentive Plan (incorporated by</w:t>
              </w:r>
            </w:hyperlink>
          </w:p>
        </w:tc>
        <w:tc>
          <w:tcPr>
            <w:tcW w:w="3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reference to Exhibit 10.7 to First Advantage’s Quarterly Report on Form 10-Q filed on August 12, 2021).</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Restrictive Covenant Agreement under the First Advantage Corporation 2021 Omnibus Incentive Plan (incorporated by</w:t>
              </w:r>
            </w:hyperlink>
          </w:p>
        </w:tc>
        <w:tc>
          <w:tcPr>
            <w:tcW w:w="4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2"/>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reference to Exhibit 10.7 to First Advantage’s Registration Statement on Form S-1 filed on June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3"/>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Restrictive Covenant Agreement for Named Executive Officers (incorporated by reference to Exhibit 10.3 to First</w:t>
              </w:r>
            </w:hyperlink>
          </w:p>
        </w:tc>
        <w:tc>
          <w:tcPr>
            <w:tcW w:w="86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Advantage’s Quarterly Report on Form 10-Q filed on May 10,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Non-Employee Director Compensation Policy (incorporated by reference to Exhibit 10.12 to First Advantage’s Annual</w:t>
              </w:r>
            </w:hyperlink>
          </w:p>
        </w:tc>
        <w:tc>
          <w:tcPr>
            <w:tcW w:w="5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Report on Form 10-K filed on February 28, 2023).</w:t>
              </w:r>
            </w:hyperlink>
          </w:p>
        </w:tc>
        <w:tc>
          <w:tcPr>
            <w:tcW w:w="606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Form of IPO Director RSU Award Agreement under the First Advantage Corporation 2021 Omnibus Incentive Plan (incorporated by</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reference to Exhibit 10.9 to First Advantage’s Quarterly Report on Form 10-Q filed on August 12, 2021).</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of Option Conversion Notice (incorporated by reference to Exhibit 4.12 to First Advantage’s Registration Statement on Form S-</w:t>
              </w:r>
            </w:hyperlink>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8 filed on June 25, 2021).</w:t>
              </w:r>
            </w:hyperlink>
          </w:p>
        </w:tc>
        <w:tc>
          <w:tcPr>
            <w:tcW w:w="7900" w:type="dxa"/>
            <w:vAlign w:val="bottom"/>
            <w:gridSpan w:val="4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Form of Notice re Amendment to Performance Award Vesting for previously issued grants, dated May 10, 2023 (incorporated by</w:t>
              </w:r>
            </w:hyperlink>
          </w:p>
        </w:tc>
        <w:tc>
          <w:tcPr>
            <w:tcW w:w="4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reference to Exhibit 10.2 to First Advantage’s Quarterly Report on Form 10-Q filed on August 9, 2023).</w:t>
              </w:r>
            </w:hyperlink>
          </w:p>
        </w:tc>
        <w:tc>
          <w:tcPr>
            <w:tcW w:w="22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Employment Offer Letter, dated March 1, 2017, between First Advantage Corporation and Scott Staples (incorporated by reference to</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2"/>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Exhibit 10.3 to First Advantage’s Registration Statement on Form S-1 filed on May 28, 2021).</w:t>
              </w:r>
            </w:hyperlink>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4780" w:type="dxa"/>
            <w:vAlign w:val="bottom"/>
            <w:tcBorders>
              <w:top w:val="single" w:sz="8" w:color="0000FF"/>
            </w:tcBorders>
            <w:gridSpan w:val="9"/>
          </w:tcPr>
          <w:p>
            <w:pPr>
              <w:ind w:left="404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32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340" w:type="dxa"/>
            <w:vAlign w:val="bottom"/>
            <w:gridSpan w:val="29"/>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10.19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Employment Offer Letter, dated August 14, 2015, between First Advantage Corporation and Joseph Jaeger (incorporated by reference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to Exhibit 10.4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Amendment to Employment Offer Letter, dated May 19, 2016, between First Advantage Corporation and Joseph Jaeger (incorporated</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by reference to Exhibit 10.5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Employment Offer Letter, dated December 17, 2015, between First Advantage Corporation and David L. Gamsey (incorporated by</w:t>
              </w:r>
            </w:hyperlink>
          </w:p>
        </w:tc>
        <w:tc>
          <w:tcPr>
            <w:tcW w:w="2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10.6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Employment Offer Letter, dated March 30, 2011, between STG-Fairway Holdings, Inc. (a predecessor to First Advantage Corporation)</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and Bret Jardine (incorporated by reference to Exhibit 10.1 to First Advantage’s Quarterly Report on Form 10-Q filed on May 10,</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740" w:type="dxa"/>
            <w:vAlign w:val="bottom"/>
            <w:gridSpan w:val="3"/>
          </w:tcPr>
          <w:p>
            <w:pPr>
              <w:ind w:left="260"/>
              <w:spacing w:after="0" w:line="196" w:lineRule="exact"/>
              <w:rPr>
                <w:rFonts w:ascii="Times New Roman" w:cs="Times New Roman" w:eastAsia="Times New Roman" w:hAnsi="Times New Roman"/>
                <w:sz w:val="18"/>
                <w:szCs w:val="18"/>
                <w:color w:val="0000FF"/>
                <w:w w:val="94"/>
              </w:rPr>
            </w:pPr>
            <w:hyperlink r:id="rId147">
              <w:r>
                <w:rPr>
                  <w:rFonts w:ascii="Times New Roman" w:cs="Times New Roman" w:eastAsia="Times New Roman" w:hAnsi="Times New Roman"/>
                  <w:sz w:val="18"/>
                  <w:szCs w:val="18"/>
                  <w:color w:val="0000FF"/>
                  <w:w w:val="94"/>
                </w:rPr>
                <w:t>2023).</w:t>
              </w:r>
            </w:hyperlink>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Employment Offer Letter, dated May 31, 2017, between First Advantage Corporation and Joelle Smith (incorporated by reference to</w:t>
              </w:r>
            </w:hyperlink>
          </w:p>
        </w:tc>
        <w:tc>
          <w:tcPr>
            <w:tcW w:w="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Exhibit 10.2 to First Advantage’s Quarterly Report on Form 10-Q filed on May 10,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Class C LP Unit Grant Agreement, dated February 9, 2020, between Fastball Holdco, L.P. and Scott Staples (incorporated by reference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to Exhibit 10.7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Class C LP Unit Grant Agreement, dated February 9, 2020, between Fastball Holdco, L.P. and Joseph Jaeger (incorporated by</w:t>
              </w:r>
            </w:hyperlink>
          </w:p>
        </w:tc>
        <w:tc>
          <w:tcPr>
            <w:tcW w:w="6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reference to Exhibit 10.8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Class C LP Unit Grant Agreement, dated February 9, 2020, between Fastball Holdco, L.P. and David L. Gamsey (incorporated by</w:t>
              </w:r>
            </w:hyperlink>
          </w:p>
        </w:tc>
        <w:tc>
          <w:tcPr>
            <w:tcW w:w="3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reference to Exhibit 10.9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Option Grant Agreement (Class B LP Units), dated February 9, 2020, among Fastball Holdco, L.P., Bret Jardine and First Advantage</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Background Services Corp (incorporated by reference to Exhibit 10.16 to First Advantage’s Registration Statement on Form S-1/A</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filed on June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Restricted Stock Unit Grant Agreement, dated December 22, 2021, between First Advantage Corporation and Joseph Jaeger</w:t>
              </w:r>
            </w:hyperlink>
          </w:p>
        </w:tc>
        <w:tc>
          <w:tcPr>
            <w:tcW w:w="7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(incorporated by reference to Exhibit 10.19 to First Advantage’s Annual Report on Form 10-K filed on March 23, 2022).</w:t>
              </w:r>
            </w:hyperlink>
          </w:p>
        </w:tc>
        <w:tc>
          <w:tcPr>
            <w:tcW w:w="20" w:type="dxa"/>
            <w:vAlign w:val="bottom"/>
            <w:tcBorders>
              <w:bottom w:val="single" w:sz="8" w:color="0000EE"/>
            </w:tcBorders>
          </w:tcPr>
          <w:p>
            <w:pPr>
              <w:spacing w:after="0"/>
              <w:rPr>
                <w:sz w:val="17"/>
                <w:szCs w:val="17"/>
                <w:color w:val="auto"/>
              </w:rPr>
            </w:pPr>
          </w:p>
        </w:tc>
        <w:tc>
          <w:tcPr>
            <w:tcW w:w="1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Lien Credit Agreement, dated January 31, 2020, among Fastball Parent, Inc., Fastball MergerSub, LLC the lenders from time to</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time party thereto, and Bank of America, N.A., as administrative agent (incorporated by reference to Exhibit 10.10 to First</w:t>
              </w:r>
            </w:hyperlink>
          </w:p>
        </w:tc>
        <w:tc>
          <w:tcPr>
            <w:tcW w:w="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Advantage’s Registration Statement on Form S-1 filed on May 28, 2021).</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Amendment No. 1 to First Lien Credit Agreement, dated February 1, 2021, among Fastball Parent, Inc., First Advantage Holdings,</w:t>
              </w:r>
            </w:hyperlink>
          </w:p>
        </w:tc>
        <w:tc>
          <w:tcPr>
            <w:tcW w:w="2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LLC, the lenders from time to time party thereto, and Bank of America, N.A., as administrative agent (incorporated by reference to</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4"/>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Exhibit 10.11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Amendment No. 2 to First Lien Credit Agreement, dated May 28, 2021, among Fastball Parent, Inc., First Advantage Holdings, LLC,</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the lenders form time to time party thereto, and Bank of America, N.A. as administrative agent (incorporated by reference to Exhibit</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12</w:t>
              </w:r>
              <w:r>
                <w:rPr>
                  <w:rFonts w:ascii="Times New Roman" w:cs="Times New Roman" w:eastAsia="Times New Roman" w:hAnsi="Times New Roman"/>
                  <w:sz w:val="18"/>
                  <w:szCs w:val="18"/>
                  <w:color w:val="0000FF"/>
                  <w:w w:val="99"/>
                </w:rPr>
                <w:t xml:space="preserve"> filed to First Advantage’s Registration Statement on Form S-1 filed on May 28, 2021).</w:t>
              </w:r>
            </w:hyperlink>
          </w:p>
        </w:tc>
        <w:tc>
          <w:tcPr>
            <w:tcW w:w="20" w:type="dxa"/>
            <w:vAlign w:val="bottom"/>
            <w:tcBorders>
              <w:bottom w:val="single" w:sz="8" w:color="0000EE"/>
            </w:tcBorders>
          </w:tcPr>
          <w:p>
            <w:pPr>
              <w:spacing w:after="0"/>
              <w:rPr>
                <w:sz w:val="17"/>
                <w:szCs w:val="17"/>
                <w:color w:val="auto"/>
              </w:rPr>
            </w:pPr>
          </w:p>
        </w:tc>
        <w:tc>
          <w:tcPr>
            <w:tcW w:w="30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Amendment No. 3 to First Lien Credit Agreement, dated as of June 23, 2023, among First Advantage Holdings, LLC, the revolving</w:t>
              </w:r>
            </w:hyperlink>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lenders party thereto, and Bank of America, N.A. as administrative agent (incorporated by reference to Exhibit 10.3 to First</w:t>
              </w:r>
            </w:hyperlink>
          </w:p>
        </w:tc>
        <w:tc>
          <w:tcPr>
            <w:tcW w:w="8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Advantage’s Quarterly Report on Form 10-Q filed on August 9, 2023).</w:t>
              </w:r>
            </w:hyperlink>
          </w:p>
        </w:tc>
        <w:tc>
          <w:tcPr>
            <w:tcW w:w="20" w:type="dxa"/>
            <w:vAlign w:val="bottom"/>
            <w:tcBorders>
              <w:bottom w:val="single" w:sz="8" w:color="0000EE"/>
            </w:tcBorders>
          </w:tcPr>
          <w:p>
            <w:pPr>
              <w:spacing w:after="0"/>
              <w:rPr>
                <w:sz w:val="17"/>
                <w:szCs w:val="17"/>
                <w:color w:val="auto"/>
              </w:rPr>
            </w:pPr>
          </w:p>
        </w:tc>
        <w:tc>
          <w:tcPr>
            <w:tcW w:w="46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Stockholders’ Agreement, dated as of June 25, 2021, by and among the Company and the stockholders listed on the signature pages</w:t>
              </w:r>
            </w:hyperlink>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thereto (incorporated by reference to Exhibit 10.1 to First Advantage’s Current Report on Form 8-K filed on June 25, 2021).</w:t>
              </w:r>
            </w:hyperlink>
          </w:p>
        </w:tc>
        <w:tc>
          <w:tcPr>
            <w:tcW w:w="8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Form of Indemnification Agreement (for directors).</w:t>
            </w:r>
          </w:p>
        </w:tc>
        <w:tc>
          <w:tcPr>
            <w:tcW w:w="602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right w:val="single" w:sz="8" w:color="0000EE"/>
            </w:tcBorders>
            <w:gridSpan w:val="3"/>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34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534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466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340" w:type="dxa"/>
            <w:vAlign w:val="bottom"/>
            <w:gridSpan w:val="8"/>
            <w:vMerge w:val="restart"/>
          </w:tcPr>
          <w:p>
            <w:pPr>
              <w:ind w:left="3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34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First Advantage Corporation Incentive Compensation Clawback Policy.</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tcBorders>
              <w:right w:val="single" w:sz="8" w:color="0000EE"/>
            </w:tcBorders>
            <w:gridSpan w:val="4"/>
            <w:shd w:val="clear" w:color="auto" w:fill="0000FF"/>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500" w:hanging="1479"/>
        <w:spacing w:after="0"/>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82"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arrangements for director(s) and/or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4230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FIRST ADVANTAGE CORPORATION</w:t>
            </w:r>
          </w:p>
        </w:tc>
      </w:tr>
      <w:tr>
        <w:trPr>
          <w:trHeight w:val="47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24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L. Gamsey</w:t>
            </w:r>
          </w:p>
        </w:tc>
      </w:tr>
      <w:tr>
        <w:trPr>
          <w:trHeight w:val="225"/>
        </w:trPr>
        <w:tc>
          <w:tcPr>
            <w:tcW w:w="3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L. Gamsey</w:t>
            </w:r>
          </w:p>
        </w:tc>
      </w:tr>
    </w:tbl>
    <w:p>
      <w:pPr>
        <w:ind w:left="668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981" w:right="339"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1"/>
                <w:szCs w:val="21"/>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5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Staples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Scott Staples</w:t>
            </w:r>
          </w:p>
        </w:tc>
        <w:tc>
          <w:tcPr>
            <w:tcW w:w="1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L. Gamsey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&amp; Chief Financial Officer</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L. Gamsey</w:t>
            </w:r>
          </w:p>
        </w:tc>
        <w:tc>
          <w:tcPr>
            <w:tcW w:w="1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5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Marks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Marks</w:t>
            </w:r>
          </w:p>
        </w:tc>
        <w:tc>
          <w:tcPr>
            <w:tcW w:w="1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44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Osnoss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Osnoss</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R. Bell</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Susan R. Bell</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L. Clark</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L. Clark</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5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Bridgett R. Price</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Bridgett R. Price</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Rudella</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Rudella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Judith Sim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Judith Sim</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Bianca Stoica</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Bianca Stoica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28575</wp:posOffset>
            </wp:positionV>
            <wp:extent cx="15430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479" w:lineRule="exact"/>
        <w:rPr>
          <w:sz w:val="20"/>
          <w:szCs w:val="20"/>
          <w:color w:val="auto"/>
        </w:rPr>
      </w:pPr>
    </w:p>
    <w:p>
      <w:pPr>
        <w:sectPr>
          <w:pgSz w:w="11900" w:h="16838" w:orient="portrait"/>
          <w:cols w:equalWidth="0" w:num="2">
            <w:col w:w="8700" w:space="660"/>
            <w:col w:w="1880"/>
          </w:cols>
          <w:pgMar w:left="320" w:top="981" w:right="339" w:bottom="1440" w:gutter="0" w:footer="0" w:header="0"/>
          <w:type w:val="continuous"/>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1" w:name="page72"/>
    <w:bookmarkEnd w:id="71"/>
    <w:tbl>
      <w:tblPr>
        <w:tblLayout w:type="fixed"/>
        <w:tblInd w:w="1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20" w:type="dxa"/>
            <w:vAlign w:val="bottom"/>
            <w:gridSpan w:val="4"/>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760" w:type="dxa"/>
            <w:vAlign w:val="bottom"/>
          </w:tcPr>
          <w:p>
            <w:pPr>
              <w:spacing w:after="0"/>
              <w:rPr>
                <w:sz w:val="20"/>
                <w:szCs w:val="20"/>
                <w:color w:val="auto"/>
              </w:rPr>
            </w:pPr>
          </w:p>
        </w:tc>
      </w:tr>
      <w:tr>
        <w:trPr>
          <w:trHeight w:val="432"/>
        </w:trPr>
        <w:tc>
          <w:tcPr>
            <w:tcW w:w="9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34)</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10"/>
        </w:trPr>
        <w:tc>
          <w:tcPr>
            <w:tcW w:w="436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120" w:type="dxa"/>
            <w:vAlign w:val="bottom"/>
            <w:gridSpan w:val="3"/>
          </w:tcPr>
          <w:p>
            <w:pPr>
              <w:spacing w:after="0"/>
              <w:rPr>
                <w:sz w:val="18"/>
                <w:szCs w:val="18"/>
                <w:color w:val="auto"/>
              </w:rPr>
            </w:pP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9"/>
        </w:trPr>
        <w:tc>
          <w:tcPr>
            <w:tcW w:w="4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w:t>
            </w:r>
          </w:p>
        </w:tc>
        <w:tc>
          <w:tcPr>
            <w:tcW w:w="4580" w:type="dxa"/>
            <w:vAlign w:val="bottom"/>
          </w:tcPr>
          <w:p>
            <w:pPr>
              <w:spacing w:after="0"/>
              <w:rPr>
                <w:sz w:val="18"/>
                <w:szCs w:val="18"/>
                <w:color w:val="auto"/>
              </w:rPr>
            </w:pP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10"/>
        </w:trPr>
        <w:tc>
          <w:tcPr>
            <w:tcW w:w="29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bottom w:val="single" w:sz="8" w:color="0000EE"/>
            </w:tcBorders>
          </w:tcPr>
          <w:p>
            <w:pPr>
              <w:spacing w:after="0"/>
              <w:rPr>
                <w:sz w:val="18"/>
                <w:szCs w:val="18"/>
                <w:color w:val="auto"/>
              </w:rPr>
            </w:pPr>
          </w:p>
        </w:tc>
        <w:tc>
          <w:tcPr>
            <w:tcW w:w="6540" w:type="dxa"/>
            <w:vAlign w:val="bottom"/>
            <w:gridSpan w:val="5"/>
          </w:tcPr>
          <w:p>
            <w:pPr>
              <w:spacing w:after="0"/>
              <w:rPr>
                <w:sz w:val="18"/>
                <w:szCs w:val="18"/>
                <w:color w:val="auto"/>
              </w:rPr>
            </w:pP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9"/>
        </w:trPr>
        <w:tc>
          <w:tcPr>
            <w:tcW w:w="446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5020" w:type="dxa"/>
            <w:vAlign w:val="bottom"/>
            <w:gridSpan w:val="2"/>
          </w:tcPr>
          <w:p>
            <w:pPr>
              <w:spacing w:after="0"/>
              <w:rPr>
                <w:sz w:val="18"/>
                <w:szCs w:val="18"/>
                <w:color w:val="auto"/>
              </w:rPr>
            </w:pP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9"/>
        </w:trPr>
        <w:tc>
          <w:tcPr>
            <w:tcW w:w="94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F-9</w:t>
            </w:r>
          </w:p>
        </w:tc>
      </w:tr>
      <w:tr>
        <w:trPr>
          <w:trHeight w:val="466"/>
        </w:trPr>
        <w:tc>
          <w:tcPr>
            <w:tcW w:w="2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80" w:type="dxa"/>
            <w:vAlign w:val="bottom"/>
          </w:tcPr>
          <w:p>
            <w:pPr>
              <w:jc w:val="center"/>
              <w:ind w:right="3050"/>
              <w:spacing w:after="0"/>
              <w:rPr>
                <w:sz w:val="20"/>
                <w:szCs w:val="20"/>
                <w:color w:val="auto"/>
              </w:rPr>
            </w:pPr>
            <w:r>
              <w:rPr>
                <w:rFonts w:ascii="Times New Roman" w:cs="Times New Roman" w:eastAsia="Times New Roman" w:hAnsi="Times New Roman"/>
                <w:sz w:val="18"/>
                <w:szCs w:val="18"/>
                <w:color w:val="auto"/>
                <w:w w:val="95"/>
              </w:rPr>
              <w:t>F-1</w:t>
            </w:r>
          </w:p>
        </w:tc>
        <w:tc>
          <w:tcPr>
            <w:tcW w:w="1760" w:type="dxa"/>
            <w:vAlign w:val="bottom"/>
          </w:tcPr>
          <w:p>
            <w:pPr>
              <w:spacing w:after="0"/>
              <w:rPr>
                <w:sz w:val="24"/>
                <w:szCs w:val="24"/>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right="5520"/>
        <w:spacing w:after="0" w:line="438" w:lineRule="auto"/>
        <w:rPr>
          <w:sz w:val="20"/>
          <w:szCs w:val="20"/>
          <w:color w:val="auto"/>
        </w:rPr>
      </w:pPr>
      <w:r>
        <w:rPr>
          <w:rFonts w:ascii="Times New Roman" w:cs="Times New Roman" w:eastAsia="Times New Roman" w:hAnsi="Times New Roman"/>
          <w:sz w:val="18"/>
          <w:szCs w:val="18"/>
          <w:color w:val="auto"/>
        </w:rPr>
        <w:t xml:space="preserve">To the stockholders and the Board of Directors of First Advantage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First Advantage Corporation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29, 2024,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3" w:name="page74"/>
    <w:bookmarkEnd w:id="7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right="5540"/>
        <w:spacing w:after="0" w:line="438" w:lineRule="auto"/>
        <w:rPr>
          <w:sz w:val="20"/>
          <w:szCs w:val="20"/>
          <w:color w:val="auto"/>
        </w:rPr>
      </w:pPr>
      <w:r>
        <w:rPr>
          <w:rFonts w:ascii="Times New Roman" w:cs="Times New Roman" w:eastAsia="Times New Roman" w:hAnsi="Times New Roman"/>
          <w:sz w:val="18"/>
          <w:szCs w:val="18"/>
          <w:color w:val="auto"/>
        </w:rPr>
        <w:t xml:space="preserve">To the stockholders and the Board of Directors of First Advantage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First Advantage Corporation and subsidiaries (the "Company") as of December 31, 2023 and 2022, the related consolidated statements of operations and comprehensive income, cash flows, and changes in stockholders’ equity for years ended December 31, 2023, 2022 and 2021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ended December 31, 2023, 2022, and 2021, in conformity with accounting principles generally accepted in the United States of America.</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29, 2024,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 </w:t>
      </w:r>
      <w:r>
        <w:rPr>
          <w:rFonts w:ascii="Times New Roman" w:cs="Times New Roman" w:eastAsia="Times New Roman" w:hAnsi="Times New Roman"/>
          <w:sz w:val="18"/>
          <w:szCs w:val="18"/>
          <w:b w:val="1"/>
          <w:bCs w:val="1"/>
          <w:i w:val="1"/>
          <w:iCs w:val="1"/>
          <w:color w:val="auto"/>
        </w:rPr>
        <w:t>Refer to Notes 2 and 9 to the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 substantial majority of the Company’s revenues are derived from pre-onboarding background screening and related services provided to the Company’s customers on a transactional basis, in which an individual background screening package or selection of services is ordered by a customer related to a single individual. The Company’s revenues are mostly comprised of a significant volume of low-dollar services fulfilled by multiple highly automated, proprietary systems and applications. The processing of transactions and recording of revenue is based on contractual terms with the Company’s customers.</w:t>
      </w:r>
    </w:p>
    <w:p>
      <w:pPr>
        <w:spacing w:after="0" w:line="1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identified revenue as a critical audit matter because the Company’s systems to process and record revenue are highly automated. This required an increased extent of effort including the need for us to involve professionals with expertise in information technology (IT) to identify, test, and evaluate the Company’s systems, software applications, and automated controls.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audit procedures related to the Company’s systems to process revenue transactions included the following, among others:</w:t>
      </w:r>
    </w:p>
    <w:p>
      <w:pPr>
        <w:spacing w:after="0" w:line="171" w:lineRule="exact"/>
        <w:rPr>
          <w:sz w:val="20"/>
          <w:szCs w:val="20"/>
          <w:color w:val="auto"/>
        </w:rPr>
      </w:pPr>
    </w:p>
    <w:p>
      <w:pPr>
        <w:ind w:left="520"/>
        <w:spacing w:after="0"/>
        <w:tabs>
          <w:tab w:leader="none" w:pos="720" w:val="left"/>
        </w:tabs>
        <w:rPr>
          <w:sz w:val="20"/>
          <w:szCs w:val="20"/>
          <w:color w:val="auto"/>
        </w:rPr>
      </w:pPr>
      <w:r>
        <w:rPr>
          <w:rFonts w:ascii="Times New Roman" w:cs="Times New Roman" w:eastAsia="Times New Roman" w:hAnsi="Times New Roman"/>
          <w:sz w:val="18"/>
          <w:szCs w:val="18"/>
          <w:color w:val="auto"/>
        </w:rPr>
        <w:t>•</w:t>
        <w:tab/>
        <w:t>With the assistance of our IT specialists, we:</w:t>
      </w:r>
    </w:p>
    <w:p>
      <w:pPr>
        <w:spacing w:after="0" w:line="117" w:lineRule="exact"/>
        <w:rPr>
          <w:sz w:val="20"/>
          <w:szCs w:val="20"/>
          <w:color w:val="auto"/>
        </w:rPr>
      </w:pPr>
    </w:p>
    <w:p>
      <w:pPr>
        <w:ind w:left="1260" w:right="640" w:hanging="234"/>
        <w:spacing w:after="0" w:line="282"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relevant systems used to process revenue transactions and tested the general IT controls over each of these systems, including testing of user access controls, change management controls, and IT operations controls.</w:t>
      </w:r>
    </w:p>
    <w:p>
      <w:pPr>
        <w:spacing w:after="0" w:line="53" w:lineRule="exact"/>
        <w:rPr>
          <w:rFonts w:ascii="Times New Roman" w:cs="Times New Roman" w:eastAsia="Times New Roman" w:hAnsi="Times New Roman"/>
          <w:sz w:val="18"/>
          <w:szCs w:val="18"/>
          <w:color w:val="auto"/>
        </w:rPr>
      </w:pPr>
    </w:p>
    <w:p>
      <w:pPr>
        <w:ind w:left="1260" w:right="120" w:hanging="234"/>
        <w:spacing w:after="0" w:line="282"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testing of monitoring controls, system interface controls, automated controls, and data monitoring controls within the relevant revenue streams.</w:t>
      </w:r>
    </w:p>
    <w:p>
      <w:pPr>
        <w:spacing w:after="0" w:line="53" w:lineRule="exact"/>
        <w:rPr>
          <w:rFonts w:ascii="Times New Roman" w:cs="Times New Roman" w:eastAsia="Times New Roman" w:hAnsi="Times New Roman"/>
          <w:sz w:val="18"/>
          <w:szCs w:val="18"/>
          <w:color w:val="auto"/>
        </w:rPr>
      </w:pPr>
    </w:p>
    <w:p>
      <w:pPr>
        <w:ind w:left="1260" w:right="400" w:hanging="234"/>
        <w:spacing w:after="0" w:line="282"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within the relevant revenue business processes, including those in place to reconcile the information from various systems to the Company’s general ledger.</w:t>
      </w:r>
    </w:p>
    <w:p>
      <w:pPr>
        <w:spacing w:after="0" w:line="53" w:lineRule="exact"/>
        <w:rPr>
          <w:rFonts w:ascii="Times New Roman" w:cs="Times New Roman" w:eastAsia="Times New Roman" w:hAnsi="Times New Roman"/>
          <w:sz w:val="18"/>
          <w:szCs w:val="18"/>
          <w:color w:val="auto"/>
        </w:rPr>
      </w:pPr>
    </w:p>
    <w:p>
      <w:pPr>
        <w:ind w:left="1260" w:hanging="234"/>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analytical procedures to substantively test the Company’s recorded revenue and evaluate trends.</w:t>
      </w:r>
    </w:p>
    <w:p>
      <w:pPr>
        <w:spacing w:after="0" w:line="117" w:lineRule="exact"/>
        <w:rPr>
          <w:rFonts w:ascii="Times New Roman" w:cs="Times New Roman" w:eastAsia="Times New Roman" w:hAnsi="Times New Roman"/>
          <w:sz w:val="18"/>
          <w:szCs w:val="18"/>
          <w:color w:val="auto"/>
        </w:rPr>
      </w:pPr>
    </w:p>
    <w:p>
      <w:pPr>
        <w:ind w:left="1260" w:right="260" w:hanging="234"/>
        <w:spacing w:after="0" w:line="282"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revenue transactions, we performed detail transaction testing by agreeing the amounts recognized to source documents and testing the mathematical accuracy of the recorded revenue.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5" w:name="page76"/>
    <w:bookmarkEnd w:id="75"/>
    <w:p>
      <w:pPr>
        <w:ind w:left="450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213,774</w:t>
            </w:r>
          </w:p>
        </w:tc>
        <w:tc>
          <w:tcPr>
            <w:tcW w:w="6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391,655</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1,956</w:t>
            </w: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$1,036 and $1,348 at December 31,</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and 2022, respectively)</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142,690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143,811</w:t>
            </w:r>
          </w:p>
        </w:tc>
      </w:tr>
      <w:tr>
        <w:trPr>
          <w:trHeight w:val="250"/>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13,426</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25,407</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3,225</w:t>
            </w:r>
          </w:p>
        </w:tc>
      </w:tr>
      <w:tr>
        <w:trPr>
          <w:trHeight w:val="23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373,738</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566,195</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79,441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113,529</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820,654</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793,080</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names, net</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66,229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71,162</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lists, net</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275,528</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326,014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asset, net</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2,422</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10,021</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13,423</w:t>
            </w:r>
          </w:p>
        </w:tc>
      </w:tr>
      <w:tr>
        <w:trPr>
          <w:trHeight w:val="27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1,630,654</w:t>
            </w:r>
          </w:p>
        </w:tc>
        <w:tc>
          <w:tcPr>
            <w:tcW w:w="6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1,885,825</w:t>
            </w:r>
          </w:p>
        </w:tc>
      </w:tr>
      <w:tr>
        <w:trPr>
          <w:trHeight w:val="221"/>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4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47,024</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54,947</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16,379</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22,702</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16,162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16,400</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4,957</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724</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1,056</w:t>
            </w:r>
          </w:p>
        </w:tc>
      </w:tr>
      <w:tr>
        <w:trPr>
          <w:trHeight w:val="232"/>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85,039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100,786</w:t>
            </w:r>
          </w:p>
        </w:tc>
      </w:tr>
      <w:tr>
        <w:trPr>
          <w:trHeight w:val="21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 of deferred financing costs of $6,268 and $8,075 at December 31, 2023 and 2022,</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558,456</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556,649</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71,274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90,556</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5,931</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7,879</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3,337</w:t>
            </w:r>
          </w:p>
        </w:tc>
      </w:tr>
      <w:tr>
        <w:trPr>
          <w:trHeight w:val="237"/>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723,921</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759,207</w:t>
            </w: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$0.001 par value; 1,000,000,000 shares authorized, 145,074,802 and</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148,732,603 shares issued and outstanding as of December 31, 2023 and 2022, respectively</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r>
      <w:tr>
        <w:trPr>
          <w:trHeight w:val="250"/>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977,290</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1,176,163</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(49,545 )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(27,363 )</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(21,157 )</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(22,331 )</w:t>
            </w:r>
          </w:p>
        </w:tc>
      </w:tr>
      <w:tr>
        <w:trPr>
          <w:trHeight w:val="236"/>
        </w:trPr>
        <w:tc>
          <w:tcPr>
            <w:tcW w:w="7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906,733</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1,126,618</w:t>
            </w:r>
          </w:p>
        </w:tc>
      </w:tr>
      <w:tr>
        <w:trPr>
          <w:trHeight w:val="27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1,630,654</w:t>
            </w:r>
          </w:p>
        </w:tc>
        <w:tc>
          <w:tcPr>
            <w:tcW w:w="1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1,885,825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-3754120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-3736975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-2493645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-351155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6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763,761</w:t>
            </w:r>
          </w:p>
        </w:tc>
        <w:tc>
          <w:tcPr>
            <w:tcW w:w="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810,023</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712,295</w:t>
            </w:r>
          </w:p>
        </w:tc>
      </w:tr>
      <w:tr>
        <w:trPr>
          <w:trHeight w:val="243"/>
        </w:trPr>
        <w:tc>
          <w:tcPr>
            <w:tcW w:w="5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 below)</w:t>
            </w: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386,777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408,928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352,170</w:t>
            </w:r>
          </w:p>
        </w:tc>
      </w:tr>
      <w:tr>
        <w:trPr>
          <w:trHeight w:val="247"/>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49,263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51,931</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45,507</w:t>
            </w:r>
          </w:p>
        </w:tc>
      </w:tr>
      <w:tr>
        <w:trPr>
          <w:trHeight w:val="239"/>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116,732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116,640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107,980</w:t>
            </w:r>
          </w:p>
        </w:tc>
      </w:tr>
      <w:tr>
        <w:trPr>
          <w:trHeight w:val="247"/>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129,473</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138,246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142,815</w:t>
            </w:r>
          </w:p>
        </w:tc>
      </w:tr>
      <w:tr>
        <w:trPr>
          <w:trHeight w:val="237"/>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682,245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715,745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648,472</w:t>
            </w:r>
          </w:p>
        </w:tc>
      </w:tr>
      <w:tr>
        <w:trPr>
          <w:trHeight w:val="237"/>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81,516</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94,278</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63,823</w:t>
            </w:r>
          </w:p>
        </w:tc>
      </w:tr>
      <w:tr>
        <w:trPr>
          <w:trHeight w:val="237"/>
        </w:trPr>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24,972</w:t>
            </w:r>
          </w:p>
        </w:tc>
      </w:tr>
      <w:tr>
        <w:trPr>
          <w:trHeight w:val="247"/>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13,938</w:t>
            </w:r>
          </w:p>
        </w:tc>
      </w:tr>
      <w:tr>
        <w:trPr>
          <w:trHeight w:val="237"/>
        </w:trPr>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33,040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38,910</w:t>
            </w:r>
          </w:p>
        </w:tc>
      </w:tr>
      <w:tr>
        <w:trPr>
          <w:trHeight w:val="23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48,476</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85,079</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24,913</w:t>
            </w:r>
          </w:p>
        </w:tc>
      </w:tr>
      <w:tr>
        <w:trPr>
          <w:trHeight w:val="243"/>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20,475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8,862</w:t>
            </w:r>
          </w:p>
        </w:tc>
      </w:tr>
      <w:tr>
        <w:trPr>
          <w:trHeight w:val="27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37,293</w:t>
            </w:r>
          </w:p>
        </w:tc>
        <w:tc>
          <w:tcPr>
            <w:tcW w:w="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64,604</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16,051</w:t>
            </w:r>
          </w:p>
        </w:tc>
      </w:tr>
      <w:tr>
        <w:trPr>
          <w:trHeight w:val="223"/>
        </w:trPr>
        <w:tc>
          <w:tcPr>
            <w:tcW w:w="568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43"/>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4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(20,694 )</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(4,121 )</w:t>
            </w: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38,467</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43,910</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11,930</w:t>
            </w:r>
          </w:p>
        </w:tc>
      </w:tr>
      <w:tr>
        <w:trPr>
          <w:trHeight w:val="20"/>
        </w:trPr>
        <w:tc>
          <w:tcPr>
            <w:tcW w:w="5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6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41"/>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37,293</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64,604</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16,051</w:t>
            </w:r>
          </w:p>
        </w:tc>
      </w:tr>
      <w:tr>
        <w:trPr>
          <w:trHeight w:val="24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0.11</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0.11</w:t>
            </w: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144,083,808</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150,227,213</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140,480,590</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40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146,226,096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151,807,139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141,687,384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-3037205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-3037205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-2711450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-2711450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-2085340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-2085340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-1442720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-1425575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-1442720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-1425575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-1108075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-1108075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69"/>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37,293</w:t>
            </w:r>
          </w:p>
        </w:tc>
        <w:tc>
          <w:tcPr>
            <w:tcW w:w="480" w:type="dxa"/>
            <w:vAlign w:val="bottom"/>
            <w:gridSpan w:val="2"/>
          </w:tcPr>
          <w:p>
            <w:pPr>
              <w:jc w:val="right"/>
              <w:ind w:right="21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64,604</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16,051</w:t>
            </w:r>
          </w:p>
        </w:tc>
      </w:tr>
      <w:tr>
        <w:trPr>
          <w:trHeight w:val="18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129,473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138,246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142,815</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13,938</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1,807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1,804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5,936</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Bad debt (recovery) expense</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207</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(17 )</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taxes</w:t>
            </w: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4,597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(2,924 )</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15,265</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7,856</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9,530</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Loss (gain) on foreign currency exchange rates</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(575 )</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Loss on disposal of fixed assets and impairment of ROU assets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1,608</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1,263</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76</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fair value of interest rate swaps</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(12,429 )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(2,284 )</w:t>
            </w:r>
          </w:p>
        </w:tc>
      </w:tr>
      <w:tr>
        <w:trPr>
          <w:trHeight w:val="18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9,149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(40,842 )</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13,440</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4,892</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(10,502 )</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(8,503 )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2,983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7,516</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Accrued compensation and accrued liabilities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(9,301 )</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(11,365 )</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8,541</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revenues</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196</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(1,378 )</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(898 )</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liabilities</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4,724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(87 )</w:t>
            </w:r>
          </w:p>
        </w:tc>
      </w:tr>
      <w:tr>
        <w:trPr>
          <w:trHeight w:val="189"/>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taxes receivable and payable, net</w:t>
            </w:r>
          </w:p>
        </w:tc>
        <w:tc>
          <w:tcPr>
            <w:tcW w:w="4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(929 )</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(3,045 )</w:t>
            </w:r>
          </w:p>
        </w:tc>
        <w:tc>
          <w:tcPr>
            <w:tcW w:w="1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1,309</w:t>
            </w:r>
          </w:p>
        </w:tc>
      </w:tr>
      <w:tr>
        <w:trPr>
          <w:trHeight w:val="183"/>
        </w:trPr>
        <w:tc>
          <w:tcPr>
            <w:tcW w:w="57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162,820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212,770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148,677</w:t>
            </w:r>
          </w:p>
        </w:tc>
      </w:tr>
      <w:tr>
        <w:trPr>
          <w:trHeight w:val="18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Acquisitions of businesses, net of cash acquired</w:t>
            </w: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(41,122 )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(19,052 )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(48,934 )</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(2,085 )</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(6,165 )</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(7,313 )</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Capitalized software development costs</w:t>
            </w: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(22,363 )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(16,485 )</w:t>
            </w:r>
          </w:p>
        </w:tc>
      </w:tr>
      <w:tr>
        <w:trPr>
          <w:trHeight w:val="189"/>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4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1,974</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(1,016 )</w:t>
            </w:r>
          </w:p>
        </w:tc>
        <w:tc>
          <w:tcPr>
            <w:tcW w:w="1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305</w:t>
            </w:r>
          </w:p>
        </w:tc>
      </w:tr>
      <w:tr>
        <w:trPr>
          <w:trHeight w:val="183"/>
        </w:trPr>
        <w:tc>
          <w:tcPr>
            <w:tcW w:w="57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(66,847 )</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(48,596 )</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(72,427 )</w:t>
            </w:r>
          </w:p>
        </w:tc>
      </w:tr>
      <w:tr>
        <w:trPr>
          <w:trHeight w:val="182"/>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dividends paid</w:t>
            </w: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(217,739 )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 repurchases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(58,990 )</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(60,530 )</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issuance of common stock under share-based compensation plans</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4,565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3,522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387</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Payments on deferred purchase agreements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(938 )</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(884 )</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(705 )</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settlement of share-based compensation plan awards</w:t>
            </w: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(332 )</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Payments on capital and finance lease obligations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(884 )</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(1,652 )</w:t>
            </w:r>
          </w:p>
        </w:tc>
      </w:tr>
      <w:tr>
        <w:trPr>
          <w:trHeight w:val="158"/>
        </w:trPr>
        <w:tc>
          <w:tcPr>
            <w:tcW w:w="574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Proceeds from issuance of common stock in initial public offering, net of underwriting</w:t>
            </w: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3"/>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discounts and commissions</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320,559</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Borrowings from First Lien Credit Facility</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261,413</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Repayments of First Lien Credit Facility</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(363,875 )</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Repayment of Second Lien Credit Facility</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(146,584 )</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of initial public offering issuance costs</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(4,034 )</w:t>
            </w:r>
          </w:p>
        </w:tc>
      </w:tr>
      <w:tr>
        <w:trPr>
          <w:trHeight w:val="18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(1,257 )</w:t>
            </w: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Shareholder distribution</w:t>
            </w:r>
          </w:p>
        </w:tc>
        <w:tc>
          <w:tcPr>
            <w:tcW w:w="400" w:type="dxa"/>
            <w:vAlign w:val="bottom"/>
          </w:tcPr>
          <w:p>
            <w:pPr>
              <w:spacing w:after="0"/>
              <w:rPr>
                <w:sz w:val="16"/>
                <w:szCs w:val="16"/>
                <w:color w:val="auto"/>
              </w:rPr>
            </w:pP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(313 )</w:t>
            </w:r>
          </w:p>
        </w:tc>
      </w:tr>
      <w:tr>
        <w:trPr>
          <w:trHeight w:val="189"/>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Capital contributions</w:t>
            </w:r>
          </w:p>
        </w:tc>
        <w:tc>
          <w:tcPr>
            <w:tcW w:w="4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241</w:t>
            </w:r>
          </w:p>
        </w:tc>
      </w:tr>
      <w:tr>
        <w:trPr>
          <w:trHeight w:val="183"/>
        </w:trPr>
        <w:tc>
          <w:tcPr>
            <w:tcW w:w="57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(273,556 )</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(59,154 )</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63,848</w:t>
            </w:r>
          </w:p>
        </w:tc>
      </w:tr>
      <w:tr>
        <w:trPr>
          <w:trHeight w:val="18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Effect of exchange rate on cash, cash equivalents, and restricted cash</w:t>
            </w: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(301 )</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(6,014 )</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(278 )</w:t>
            </w: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(Decrease) increase in cash, cash equivalents, and restricted cash</w:t>
            </w: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(177,884 )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99,006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139,820</w:t>
            </w:r>
          </w:p>
        </w:tc>
      </w:tr>
      <w:tr>
        <w:trPr>
          <w:trHeight w:val="18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4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391,796</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292,790</w:t>
            </w:r>
          </w:p>
        </w:tc>
        <w:tc>
          <w:tcPr>
            <w:tcW w:w="1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152,970</w:t>
            </w:r>
          </w:p>
        </w:tc>
      </w:tr>
      <w:tr>
        <w:trPr>
          <w:trHeight w:val="183"/>
        </w:trPr>
        <w:tc>
          <w:tcPr>
            <w:tcW w:w="574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400" w:type="dxa"/>
            <w:vAlign w:val="bottom"/>
          </w:tcPr>
          <w:p>
            <w:pPr>
              <w:jc w:val="right"/>
              <w:ind w:right="2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rPr>
              <w:t>213,912</w:t>
            </w:r>
          </w:p>
        </w:tc>
        <w:tc>
          <w:tcPr>
            <w:tcW w:w="480" w:type="dxa"/>
            <w:vAlign w:val="bottom"/>
            <w:gridSpan w:val="2"/>
          </w:tcPr>
          <w:p>
            <w:pPr>
              <w:jc w:val="right"/>
              <w:ind w:right="21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391,796</w:t>
            </w:r>
          </w:p>
        </w:tc>
        <w:tc>
          <w:tcPr>
            <w:tcW w:w="520" w:type="dxa"/>
            <w:vAlign w:val="bottom"/>
            <w:gridSpan w:val="2"/>
          </w:tcPr>
          <w:p>
            <w:pPr>
              <w:jc w:val="right"/>
              <w:ind w:right="3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292,790</w:t>
            </w:r>
          </w:p>
        </w:tc>
      </w:tr>
      <w:tr>
        <w:trPr>
          <w:trHeight w:val="20"/>
        </w:trPr>
        <w:tc>
          <w:tcPr>
            <w:tcW w:w="5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7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paid for income taxes, net of refunds received</w:t>
            </w:r>
          </w:p>
        </w:tc>
        <w:tc>
          <w:tcPr>
            <w:tcW w:w="40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31,623</w:t>
            </w:r>
          </w:p>
        </w:tc>
        <w:tc>
          <w:tcPr>
            <w:tcW w:w="48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17,475</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10,361</w:t>
            </w: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45,697</w:t>
            </w:r>
          </w:p>
        </w:tc>
        <w:tc>
          <w:tcPr>
            <w:tcW w:w="480" w:type="dxa"/>
            <w:vAlign w:val="bottom"/>
            <w:gridSpan w:val="2"/>
          </w:tcPr>
          <w:p>
            <w:pPr>
              <w:jc w:val="right"/>
              <w:ind w:right="21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27,042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23,029</w:t>
            </w:r>
          </w:p>
        </w:tc>
      </w:tr>
      <w:tr>
        <w:trPr>
          <w:trHeight w:val="18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acquired on account</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118</w:t>
            </w:r>
          </w:p>
        </w:tc>
        <w:tc>
          <w:tcPr>
            <w:tcW w:w="480" w:type="dxa"/>
            <w:vAlign w:val="bottom"/>
            <w:gridSpan w:val="2"/>
          </w:tcPr>
          <w:p>
            <w:pPr>
              <w:jc w:val="right"/>
              <w:ind w:right="21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3,643</w:t>
            </w:r>
          </w:p>
        </w:tc>
      </w:tr>
      <w:tr>
        <w:trPr>
          <w:trHeight w:val="18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Excise taxes on share repurchases incurred but not paid</w:t>
            </w:r>
          </w:p>
        </w:tc>
        <w:tc>
          <w:tcPr>
            <w:tcW w:w="40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490</w:t>
            </w:r>
          </w:p>
        </w:tc>
        <w:tc>
          <w:tcPr>
            <w:tcW w:w="48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5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declared but not paid</w:t>
            </w: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614</w:t>
            </w:r>
          </w:p>
        </w:tc>
        <w:tc>
          <w:tcPr>
            <w:tcW w:w="480" w:type="dxa"/>
            <w:vAlign w:val="bottom"/>
            <w:gridSpan w:val="2"/>
          </w:tcPr>
          <w:p>
            <w:pPr>
              <w:jc w:val="right"/>
              <w:ind w:right="21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-4394200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-4394200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-3656965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-3656965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-1616710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-1616710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-1119505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-1119505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60" w:type="dxa"/>
            <w:vAlign w:val="bottom"/>
            <w:gridSpan w:val="2"/>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839,148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(47,492 )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2,484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794,270</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9,530</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contributions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initial</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offering, net of offering costs, underwriting</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discounts and commissions</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316,502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316,525</w:t>
            </w:r>
          </w:p>
        </w:tc>
        <w:tc>
          <w:tcPr>
            <w:tcW w:w="0" w:type="dxa"/>
            <w:vAlign w:val="bottom"/>
          </w:tcPr>
          <w:p>
            <w:pPr>
              <w:spacing w:after="0"/>
              <w:rPr>
                <w:sz w:val="1"/>
                <w:szCs w:val="1"/>
                <w:color w:val="auto"/>
              </w:rPr>
            </w:pPr>
          </w:p>
        </w:tc>
      </w:tr>
      <w:tr>
        <w:trPr>
          <w:trHeight w:val="21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and net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stock option exercise</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 distribution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(4,121 )</w:t>
            </w:r>
          </w:p>
        </w:tc>
        <w:tc>
          <w:tcPr>
            <w:tcW w:w="0" w:type="dxa"/>
            <w:vAlign w:val="bottom"/>
          </w:tcPr>
          <w:p>
            <w:pPr>
              <w:spacing w:after="0"/>
              <w:rPr>
                <w:sz w:val="1"/>
                <w:szCs w:val="1"/>
                <w:color w:val="auto"/>
              </w:rPr>
            </w:pPr>
          </w:p>
        </w:tc>
      </w:tr>
      <w:tr>
        <w:trPr>
          <w:trHeight w:val="24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16,051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16,051</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1,165,163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(31,441 )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1,132,238</w:t>
            </w:r>
          </w:p>
        </w:tc>
        <w:tc>
          <w:tcPr>
            <w:tcW w:w="0" w:type="dxa"/>
            <w:vAlign w:val="bottom"/>
          </w:tcPr>
          <w:p>
            <w:pPr>
              <w:spacing w:after="0"/>
              <w:rPr>
                <w:sz w:val="1"/>
                <w:szCs w:val="1"/>
                <w:color w:val="auto"/>
              </w:rPr>
            </w:pPr>
          </w:p>
        </w:tc>
      </w:tr>
      <w:tr>
        <w:trPr>
          <w:trHeight w:val="24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7,856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7,856</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(60,526 )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(60,530 )</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(20,694 )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(20,694 )</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64,604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64,604</w:t>
            </w:r>
          </w:p>
        </w:tc>
        <w:tc>
          <w:tcPr>
            <w:tcW w:w="0" w:type="dxa"/>
            <w:vAlign w:val="bottom"/>
          </w:tcPr>
          <w:p>
            <w:pPr>
              <w:spacing w:after="0"/>
              <w:rPr>
                <w:sz w:val="1"/>
                <w:szCs w:val="1"/>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1,176,163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(27,363 )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1,126,618</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(59,475 )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(59,480 )</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$1.50 per share</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(218,353 )</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4,566</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37,293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977,290</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(49,545 )</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(21,157 )</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906,733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-3068320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-3068320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-3068320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-3068320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Nature of Business, and Basis of Presentation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First Advantage Corporation, a Delaware corporation, was formed on November 15, 2019. Hereafter, First Advantage Corporation and its subsidiaries will collectively be referred to as the “Company.”</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Post-onboarding services are comprised of continuous monitoring and re-screening solutions which are important tools to help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spacing w:after="0" w:line="10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have been prepared in accordance with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p>
    <w:p>
      <w:pPr>
        <w:spacing w:after="0" w:line="11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color w:val="auto"/>
        </w:rPr>
        <w:t>— Operating segments are businesses for which separate financial information is available and evaluated regularly by our 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 maker (“CODM”) in deciding how to allocate resources and assess performance.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2022, the Company made organizational changes and modified information provided to its CODM to better align with how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CODM assesses performance and allocates resources. As a result, the Company has two reportable segments, Americas and International:</w:t>
      </w:r>
    </w:p>
    <w:p>
      <w:pPr>
        <w:spacing w:after="0" w:line="153" w:lineRule="exact"/>
        <w:rPr>
          <w:sz w:val="20"/>
          <w:szCs w:val="20"/>
          <w:color w:val="auto"/>
        </w:rPr>
      </w:pPr>
    </w:p>
    <w:p>
      <w:pPr>
        <w:ind w:left="740" w:right="320" w:hanging="223"/>
        <w:spacing w:after="0" w:line="28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provides technology solutions for screening, verifications, safety, and compliance in the United States, Canada, and Latin America markets; and</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provides technology solutions for screening, verifications, safety, and compliance outside of the Americas.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period results were recast to conform to the current presentation of segments.</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segment disclosure is intended to provide the users of its consolidated financial statements with a view of the business that is consistent with management of the Company. Details of segment results are discussed in Note 17, “Reportable Segments.”</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the consolidated financial statements in accordance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consolidated financial statements and accompanying notes.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0" w:name="page81"/>
    <w:bookmarkEnd w:id="80"/>
    <w:p>
      <w:pPr>
        <w:spacing w:after="0" w:line="261" w:lineRule="auto"/>
        <w:rPr>
          <w:sz w:val="20"/>
          <w:szCs w:val="20"/>
          <w:color w:val="auto"/>
        </w:rPr>
      </w:pPr>
      <w:r>
        <w:rPr>
          <w:rFonts w:ascii="Times New Roman" w:cs="Times New Roman" w:eastAsia="Times New Roman" w:hAnsi="Times New Roman"/>
          <w:sz w:val="18"/>
          <w:szCs w:val="18"/>
          <w:color w:val="auto"/>
        </w:rPr>
        <w:t>Significant estimates, judgments, and assumptions, include, but are not limited to, the determination of the fair value and useful lives of assets acquired and liabilities assumed through business combinations, goodwill impairment,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Certain financial assets and liabilities are reported at fair value in the accompanying consolidated balance sheets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accordance with Financial Accounting Standards Board (“FASB”)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 identical instruments in active markets.</w:t>
      </w:r>
    </w:p>
    <w:p>
      <w:pPr>
        <w:spacing w:after="0" w:line="171" w:lineRule="exact"/>
        <w:rPr>
          <w:sz w:val="20"/>
          <w:szCs w:val="20"/>
          <w:color w:val="auto"/>
        </w:rPr>
      </w:pPr>
    </w:p>
    <w:p>
      <w:pPr>
        <w:ind w:left="520"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model-derived valuations whose inputs are observable or whose significant value drivers are observable.</w:t>
      </w:r>
    </w:p>
    <w:p>
      <w:pPr>
        <w:spacing w:after="0" w:line="104" w:lineRule="exact"/>
        <w:rPr>
          <w:sz w:val="20"/>
          <w:szCs w:val="20"/>
          <w:color w:val="auto"/>
        </w:rPr>
      </w:pPr>
    </w:p>
    <w:p>
      <w:pPr>
        <w:ind w:left="520"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inputs to the valuation model are unobservable (supported by little or no market activities). These inputs may be used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internally developed methodologies that reflect the Company’s best estimate of fair value from a market participant.</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receivables, and accounts payable approximate fair value due to the short-term maturities of these financial instruments (Level 1). The fair values and carrying values of the Company’s long-term debt are disclosed in Note 6.</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and their assigned levels within the valuation hierarchy as of December 31, 2023 (in thousands):</w:t>
      </w:r>
    </w:p>
    <w:p>
      <w:pPr>
        <w:spacing w:after="0" w:line="169" w:lineRule="exact"/>
        <w:rPr>
          <w:sz w:val="20"/>
          <w:szCs w:val="20"/>
          <w:color w:val="auto"/>
        </w:rPr>
      </w:pPr>
    </w:p>
    <w:p>
      <w:pPr>
        <w:ind w:left="6580"/>
        <w:spacing w:after="0"/>
        <w:tabs>
          <w:tab w:leader="none" w:pos="7700" w:val="left"/>
          <w:tab w:leader="none" w:pos="880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16510</wp:posOffset>
            </wp:positionV>
            <wp:extent cx="2040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ind w:left="1880"/>
        <w:spacing w:after="0"/>
        <w:tabs>
          <w:tab w:leader="none" w:pos="6340" w:val="left"/>
          <w:tab w:leader="none" w:pos="7060" w:val="left"/>
          <w:tab w:leader="none" w:pos="7460" w:val="left"/>
          <w:tab w:leader="none" w:pos="7960" w:val="left"/>
          <w:tab w:leader="none" w:pos="8580" w:val="left"/>
          <w:tab w:leader="none" w:pos="9280" w:val="left"/>
        </w:tabs>
        <w:rPr>
          <w:sz w:val="20"/>
          <w:szCs w:val="20"/>
          <w:color w:val="auto"/>
        </w:rPr>
      </w:pPr>
      <w:r>
        <w:rPr>
          <w:rFonts w:ascii="Times New Roman" w:cs="Times New Roman" w:eastAsia="Times New Roman" w:hAnsi="Times New Roman"/>
          <w:sz w:val="18"/>
          <w:szCs w:val="18"/>
          <w:color w:val="auto"/>
        </w:rPr>
        <w:t>Interest rate collars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1,986</w:t>
        <w:tab/>
        <w:t>$</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ind w:left="1880"/>
        <w:spacing w:after="0"/>
        <w:tabs>
          <w:tab w:leader="none" w:pos="6340" w:val="left"/>
          <w:tab w:leader="none" w:pos="7060" w:val="left"/>
          <w:tab w:leader="none" w:pos="7460" w:val="left"/>
          <w:tab w:leader="none" w:pos="7960" w:val="left"/>
          <w:tab w:leader="none" w:pos="8580" w:val="left"/>
          <w:tab w:leader="none" w:pos="928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1,576</w:t>
        <w:tab/>
        <w:t>$</w:t>
      </w:r>
      <w:r>
        <w:rPr>
          <w:sz w:val="20"/>
          <w:szCs w:val="20"/>
          <w:color w:val="auto"/>
        </w:rPr>
        <w:tab/>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04"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cash equivalents to be cash and all short-term investments that have an original maturity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ninety days or less. Interest income earned on short-term investments and interest bearing accounts is included in interest expense, net in the accompanying consolidated statements of operations and comprehensive income. The Company recorded $13.4 million, $5.0 million, and $0.1 million of interest income for the years ended December 31, 2023, 2022, and 2021, respectively. Outstanding checks in excess of funds on deposit are classified as current liabilities in the accompanying consolidated balance sheets. As of December 31, 2023 and 2022, the Company had no outstanding checks in excess of funds on deposit.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 Restricted cash represents monies held in trust for a specific purpose as contractually required under the respective arrangement.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Short-term investments represents fixed time deposits having a maturity date within twelve months.</w:t>
      </w:r>
    </w:p>
    <w:p>
      <w:pPr>
        <w:spacing w:after="0" w:line="1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81" w:name="page82"/>
    <w:bookmarkEnd w:id="81"/>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Accounts receivable are due from customers in a broad range of industries located throughout the United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internationally. Credit is extended based on evaluation of the customer’s financial condition, and generally, collateral is not required.</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allowance for all uncollectible receivables is based on a combination of historical data, cash payment trends, specific customer issues, write-off trends, general economic conditions, and other factors. These factors are continuously monitored by management to arrive at the estimate for the amount of accounts receivable that may be ultimately uncollectible. In circumstances where the Company is aware of a specific customer’s inability to meet its financial obligations, the Company records a specific allowance for doubtful accounts against amounts due in order to reduce the net recognized receivable to the amount it reasonably believes will be collected. The Company believes that the allowance for doubtful accounts at December 31, 2023 and 2022 is reasonably stated.</w:t>
      </w:r>
    </w:p>
    <w:p>
      <w:pPr>
        <w:spacing w:after="0" w:line="1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are recorded at cost. Property and equipment include computer software for internal uses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internally, acquired by business combination or otherwise purchased. Software development costs, including internal personnel and third-party professional services, are capitalized during the application development stage of initial development or during development of new features and enhancements. The Company amortizes purchased software using the straight-line method over the estimated useful life of the software and software acquired by business combination on an accelerated basis over its expected useful life of five years. Software development costs not meeting the criteria for capitalization are expensed as incurred.</w:t>
      </w:r>
    </w:p>
    <w:p>
      <w:pPr>
        <w:spacing w:after="0" w:line="13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Depreciation on leasehold improvements is computed on the straight-line method over the shorter of the life of the asset, or the lease term, ranging from one to fifteen years. Depreciation on data processing equipment and furniture and equipment is computed using the straight-line method over their estimated useful lives ranging from three to ten years.</w:t>
      </w:r>
    </w:p>
    <w:p>
      <w:pPr>
        <w:spacing w:after="0" w:line="11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 The Company records business combinations using the acquisition method of accounting in accordance with 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Goodwill, Trade Names, Customer Lists, and Other Intangible Assets </w:t>
      </w:r>
      <w:r>
        <w:rPr>
          <w:rFonts w:ascii="Times New Roman" w:cs="Times New Roman" w:eastAsia="Times New Roman" w:hAnsi="Times New Roman"/>
          <w:sz w:val="18"/>
          <w:szCs w:val="18"/>
          <w:color w:val="auto"/>
        </w:rPr>
        <w:t>— The Company tests goodwill for impairment annually as of October 31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frequently if an event occurs or circumstances change that would more likely than not reduce the fair value of a reporting unit or indefinite-lived intangible asset below its carrying value. During 2023, the Company changed its annual impairment testing date from December 31 to October 31. The Company believes the new date is preferable because it aligns the impairment test with the budgeting processes. The Company applied the change in accounting principle prospectively. The change in the annual impairment testing date did not delay, accelerate, or avoid an impairment charge. Goodwill is tested for impairment at the reporting unit level using a fair value approach. At October 31, 2023, the Company had two reporting units comprised of the Americas and International.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The Company performs a quantitative impairment test every three years, irrespective of the outcome of the Company’s qualitative assessment. No impairment charges have been required.</w:t>
      </w:r>
    </w:p>
    <w:p>
      <w:pPr>
        <w:spacing w:after="0" w:line="140"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Company’s trade names are amortized on an accelerated basis over their expected useful life of twenty years. The Company recorded $7.3 million, $7.6 million, and $7.9 million of amortization expense related to trade names for the years ended December 31, 2023, 2022, and 2021,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lists are amortized on an accelerated basis based upon their estimated useful lives, ranging from thirteen to fourteen years.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recorded $54.6 million, $60.7 million, and $65.5 million of amortization expense related to customer lists for the years ended December 31, 2023, 2022, and 2021, respectively.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Company’s other intangible assets are amortized on a straight-line or accelerated basis over their expected useful life of five years. The Company recorded $0.1 million of amortization expense related to other intangible assets for the year ended December 31, 2023. No amortization expense was recorded for the years ended December 31, 2022 and 2021.</w:t>
      </w:r>
    </w:p>
    <w:p>
      <w:pPr>
        <w:spacing w:after="0" w:line="12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Company regularly evaluates the amortization period assigned to each intangible asset to determine whether there have been any events or circumstances that warrant revised estimates of useful lives. No impairment charges have been required.</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The Company is a U.S. domiciled corporation for tax purposes. Accordingly, the Company has followed ASC 740,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for income taxes using the liability method, which requires an asset and liability based approach in accounting for income taxes for all periods presented. Deferred income taxes reflect the net tax effect on future years of temporary differences in the carrying amount of assets and liabilities between financial statements and income tax purposes. Valuation allowances are established when the Company determines that it is more likely than not that some portion or the entire deferred tax asset will not be realized. The Company evaluates its effective tax rates regularly and adjusts them when appropriate based on currently available information relative to statutory rates, apportionment factors and the applicable taxable income in the jurisdictions in which the Company operates, among other factors.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calculates additional tax provisions, where applicable, related to accounting for uncertainty in income taxes, which prescribe a recognition threshold and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amount recognized is measured as the largest benefit that has a greater than 50% likelihood of being realized upon settlement. The Company adjusts its estimates of uncertain tax positions periodically because of ongoing examinations by, and settlements with, various taxing authorities, as well as changes in tax laws, regulations, and interpretations. The Company classifies interest and penalties associated with its unrecognized tax benefits as a component of income tax expense (see Note 8).</w:t>
      </w:r>
    </w:p>
    <w:p>
      <w:pPr>
        <w:spacing w:after="0" w:line="1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The Company regularly evaluates whether events and circumstances have occurred that indicate the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property and equipment, ROU assets, and finite-life intangible assets may not be recoverable. Conditions that could indicate an impairment assessment is needed include a significant decline in the observable market value of an asset or asset group, a significant change in the extent or manner in which an asset or asset group is used, or a significant adverse change that would indicate that the carrying amount of an asset or asset group is not recoverable. When factors indicate that these long-lived assets or asset groups should be evaluated for possible impairment, the Company assesses the potential impairment by determining whether the carrying value of such long-lived assets or asset groups will be recovered through the future undiscounted cash flows expected from use of the asset or asset group and its eventual disposition. If the carrying amount of the asset or asset group is determined not to be recoverable, an impairment charge is recorded based on the excess, if any, of the carrying amount over fair value. Fair values are determined based on quoted market values or discounted cash flows analyses as applicable. The Company regularly evaluates whether events and circumstances have occurred that indicate the useful lives of property and equipment, right of use (“ROU”) assets, and finite-life intangible assets may warrant revision. The Company determined that triggering events occurred for certain leases exited during the years ended December 31, 2023 and 2022 which required an impairment review of ROU assets. Based on the results of the analysis, the Company recorded non-cash impairment charges of $1.7 million and $0.9 million for the years ended December 31, 2023 and 2022, respectively, primarily related to office space exited during the year. Write down of abandoned property and equipment no longer in use was $0.3 million for the year ended December 31, 2023. The Company determined the carrying values of its finite-life intangible assets were not impaired during the years ended December 31, 2023, 2022, and 2021.</w:t>
      </w:r>
    </w:p>
    <w:p>
      <w:pPr>
        <w:spacing w:after="0" w:line="1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The Company accounts for leases in accordance with 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measures ROU assets and liabilities based on the 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ROU assets are adjusted for any initial direct costs incurred less any lease incentives received, in addition to payments made on or before the commencement date of the lease. The Company recognizes lease expense for leases on a straight-line basis over the lease term.</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the implicit rate is not readily determinable for most of the Company’s lease agreements, the Company uses its estimated incremental borrowing rate to determine the initial present value of lease payments.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determines if a contract is or contains a lease at inception. The Company has operating and finance leases for office space, data centers, and equipment. Leases with an initial term of 12 months or less are not recorded on the balance sheet. The Company enters into lease contracts ranging from 1 to 8 years.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Some leases include one or more options to renew, with renewal terms that can extend the lease term from 1 to 5 years or more. The exercise of these lease renewal options is at the Company’s sole discretion and typically are not reasonably certain to renew at inception. The depreciable life of assets and leasehold improvements are limited by the expected lease term.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 Advertising costs are expensed as incurred and are included in selling, general and administrative expense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statements of operations and comprehensive income. Advertising costs were $1.9 million, $2.9 million, and $1.4 million for the years ended December 31, 2023, 2022, and 2021, respectively.</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 The Company is exposed to certain risks relating to its ongoing business operations and mitigates interest rate risk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of derivative instruments. Interest rate swaps have been entered into to manage a portion of the interest rate risk associated with the Company’s variable-rate borrowings.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derivative instruments are recognized and subsequently measured on the balance sheet at fair value. The Company reviewed its interest rate swaps and determined they do not meet the definition of cash flow hedges. Therefore, the guidance requires that the change in fair value of the interest rate swaps be recognized as a component of income or expense in the consolidated statements of operations and comprehensive income (see Note 7).</w:t>
      </w:r>
    </w:p>
    <w:p>
      <w:pPr>
        <w:spacing w:after="0" w:line="1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w:t>
      </w:r>
      <w:r>
        <w:rPr>
          <w:rFonts w:ascii="Times New Roman" w:cs="Times New Roman" w:eastAsia="Times New Roman" w:hAnsi="Times New Roman"/>
          <w:sz w:val="18"/>
          <w:szCs w:val="18"/>
          <w:color w:val="auto"/>
        </w:rPr>
        <w:t>— Financial instruments which potentially subject the Company to concentrations of credit risk consist principally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had one customer which represented approximately 12%, 10%, and 10% of its consolidated revenues for the years ended December 31, 2023, 2022, and 2021, respectively. No other customer represented 10% or more of its revenue for these periods. The Company had one customer which represented approximately 17%, of its consolidated accounts receivable, net as of December 31, 2023. No other customers represented 10% or more of its consolidated accounts receivable, net for any period presented.</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spacing w:after="0" w:line="11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Revenues are recognized when control of the Company’s services is transferred to customers, in an amount that reflects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consideration the Company expects to be entitled to in exchange for those services.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was adopted as of January 1, 2019 using the modified retrospective method, revenues are recognized based on the following steps:</w:t>
      </w:r>
    </w:p>
    <w:p>
      <w:pPr>
        <w:spacing w:after="0" w:line="121"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companies, and other businesses or organizations. The Company’s revenues are mostly comprised of a significant volume of low-dollar services fulfilled by multiple highly automated, proprietary systems and applications. The processing of transactions and recording of revenue is based on contractual terms with the Company’s customers.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3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considers negotiated and anticipated incentives and estimated adjustments, including historical collections experience, when recording revenues.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4" w:name="page85"/>
    <w:bookmarkEnd w:id="84"/>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less than one year. As a result, the Company uses the practical expedient which allows it to expense incremental costs of obtaining a contract, primarily consisting of sales commissions, as incurred.</w:t>
      </w:r>
    </w:p>
    <w:p>
      <w:pPr>
        <w:spacing w:after="0" w:line="1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records third-party pass-through fees incurred as part of screening related services on a gross revenue basis, with the related expense recorded as a cost of services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1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Contract balances are generated when the revenues recognized in a given period varies from billing. A contract asset is created when the Company performs a service for a customer and recognizes more revenues than what has been billed. Contract assets are included in accounts receivable in the accompanying consolidated balance sheets. 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Contract liabilities are included in deferred revenues in the accompanying consolidated balance sheets.</w:t>
      </w:r>
    </w:p>
    <w:p>
      <w:pPr>
        <w:spacing w:after="0" w:line="1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 The functional currency of all of the Company’s foreign subsidiaries is the applicable local currency. The translation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income (loss) included in accumulated other comprehensive income (loss) were approximately $1.2 million, $(20.7) million, and $(4.1) million, for the years ended December 31, 2023, 2022, and 2021, respectively.</w:t>
      </w:r>
    </w:p>
    <w:p>
      <w:pPr>
        <w:spacing w:after="0" w:line="132"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Gains or losses resulting from foreign currency transactions are included in the accompanying consolidated statements of operations and comprehensive income, except for those relating to intercompany transactions of a long-term investment nature, which are captured in a separate component of equity as accumulated other comprehensive income (loss). Currency transaction (loss) income included in the accompanying consolidated statements of operations and comprehensive income was approximately $(0.1) million, $2.3 million, and $(0.1) million, for the years ended December 31, 2023, 2022, and 2021, respectively.</w:t>
      </w:r>
    </w:p>
    <w:p>
      <w:pPr>
        <w:spacing w:after="0" w:line="1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Prior to the Company’s Initial Public Offering (“IPO”), all share-based awards were issued by a parent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individual grant agreements and the partnership agreement (collectively the “2020 Equity Plan”). Following the IPO, share-based awards are issued to employees and non-employee directors under the 2021 Omnibus Incentive Plan (as amended by the First Amendment, dated as of May 10, 2023, the “2021 Equity Plan”). Both plans were designed with the intention of promoting the long-term success of the Company by attracting, motivating, and retaining key employees of the Company.</w:t>
      </w:r>
    </w:p>
    <w:p>
      <w:pPr>
        <w:spacing w:after="0" w:line="1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awards issued under both plans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Management expects to allow its employees granted awards under the 2020 Equity Plan and 2021 Equity Plan to bear the risks and rewards normally associated with equity ownership for a reasonable period of time when all requisite vesting requirements have been rendered. No outstanding awards are callable, and therefore, the related share-based awards are classified as equity.</w:t>
      </w:r>
    </w:p>
    <w:p>
      <w:pPr>
        <w:spacing w:after="0" w:line="1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calculation of share-based employee compensation expense involves estimates that require management’s judgment. These estimates include the fair value of each of the share-based awards granted, which is estimated on the date of grant using a Black-Scholes option-pricing model. There are four inputs into the Black-Scholes option-pricing model: expected volatility, risk-free interest rates, expected term, and estimated fair value of the underlying unit. The Company estimates expected volatility based on an analysis of guidelines of publicly traded peer companies’ historical volatility. The risk-free interest rate is based on the treasury constant maturities rate based on data published by the U.S. Federal Reserve. The expected term of share-based awards granted is derived from historical exercise experience under the Company’s share-based plans and represents the period of time that awards granted are expected to be outstanding. Because of the limitations on the sale or transfer of our equity as a privately held company and a lack of historical option exercises as a public company, the Company does not believe our historical exercise pattern is indicative of the pattern we will experience in future periods. The Company has consequently used the simplified method to calculate the expected term, which is the average of the contractual term and vesting period, and plans to continue to use the simplified method until we have sufficient exercise and pricing history. Finally, prior to the IPO, the estimated fair value of the underlying equity was determined using either a transaction valuation or a blend of income and market approaches. After the IPO, the estimated fair value of the underlying equity was based on the observable market price of the Company’s equity.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ind w:right="100"/>
        <w:spacing w:after="0" w:line="254" w:lineRule="auto"/>
        <w:rPr>
          <w:sz w:val="20"/>
          <w:szCs w:val="20"/>
          <w:color w:val="auto"/>
        </w:rPr>
      </w:pPr>
      <w:r>
        <w:rPr>
          <w:rFonts w:ascii="Times New Roman" w:cs="Times New Roman" w:eastAsia="Times New Roman" w:hAnsi="Times New Roman"/>
          <w:sz w:val="18"/>
          <w:szCs w:val="18"/>
          <w:color w:val="auto"/>
        </w:rPr>
        <w:t>The assumptions used in calculating the fair value of share-based payment awards represent management’s best estimates, but these estimates involve inherent uncertainties and the application of management’s judgment. As a result, if factors change and the Company uses different assumptions, share-based compensation expenses could be materially different in the future. In addition, for awards with a service condition, the Company has elected to account for forfeitures as they occur. Therefore, the Company will reverse compensation costs previously recognized when an unvested award is forfeited. For awards with a performance condition, the Company is required to estimate the expected forfeiture rate, and only recognize expenses for those shares expected to vest. The Company estimates the expected forfeiture rate based on the Company’s historical data, grant terms, and anticipated plan participant turnover. If the Company’s actual forfeiture rate is materially different from its estimate, the share-based compensation expense could be significantly different from what the Company has recorded in the current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Comprehensive Income </w:t>
      </w:r>
      <w:r>
        <w:rPr>
          <w:rFonts w:ascii="Times New Roman" w:cs="Times New Roman" w:eastAsia="Times New Roman" w:hAnsi="Times New Roman"/>
          <w:sz w:val="18"/>
          <w:szCs w:val="18"/>
          <w:color w:val="auto"/>
        </w:rPr>
        <w:t>— Comprehensive income includes gains and losses from foreign currency translation adjustments, net.</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Net Income Per Share of Equity </w:t>
      </w:r>
      <w:r>
        <w:rPr>
          <w:rFonts w:ascii="Times New Roman" w:cs="Times New Roman" w:eastAsia="Times New Roman" w:hAnsi="Times New Roman"/>
          <w:sz w:val="18"/>
          <w:szCs w:val="18"/>
          <w:color w:val="auto"/>
        </w:rPr>
        <w:t>— Basic net income per share are computed by dividing net income by the weighted average number of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during the period. Basic weighted-average shares outstanding excludes nonvested restricted stock. Diluted net income per share is computed by dividing net income by the weighted average number of shares outstanding during the period after adjusting for the impact of securities that would have a dilutive effect on net income per share.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Company uses the treasury stock method to incorporate potentially dilutive securities in diluted net income per share.</w:t>
      </w:r>
    </w:p>
    <w:p>
      <w:pPr>
        <w:spacing w:after="0" w:line="1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potentially dilutive securities outstanding during the years ended December 31, 2023, 2022, and 2021 had a dilutive effect and were included in the calculation of diluted net income per share for the period.</w:t>
      </w:r>
    </w:p>
    <w:p>
      <w:pPr>
        <w:spacing w:after="0" w:line="10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In October 2023, the Financial Accounting Standards Board (“FASB”)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(“ASU”), </w:t>
      </w:r>
      <w:r>
        <w:rPr>
          <w:rFonts w:ascii="Times New Roman" w:cs="Times New Roman" w:eastAsia="Times New Roman" w:hAnsi="Times New Roman"/>
          <w:sz w:val="18"/>
          <w:szCs w:val="18"/>
          <w:i w:val="1"/>
          <w:iCs w:val="1"/>
          <w:color w:val="auto"/>
        </w:rPr>
        <w:t>Disclosure Improvements - Codification Amendment in Response to the SEC’s Disclosure Update and 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 The amendments are to be applied prospectively and are effective when the SEC removes the related requirements from Regulations S-X or S-K. Any amendments not removed by the SEC by June 30, 2027 will not be effective. The Company does not expect ASU 2023-06 to have a material effect on its consolidated financial statements or related disclosures.</w:t>
      </w:r>
    </w:p>
    <w:p>
      <w:pPr>
        <w:spacing w:after="0" w:line="13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w:t>
      </w:r>
      <w:r>
        <w:rPr>
          <w:rFonts w:ascii="Times New Roman" w:cs="Times New Roman" w:eastAsia="Times New Roman" w:hAnsi="Times New Roman"/>
          <w:sz w:val="18"/>
          <w:szCs w:val="18"/>
          <w:i w:val="1"/>
          <w:iCs w:val="1"/>
          <w:color w:val="auto"/>
        </w:rPr>
        <w:t>Reporting – Improvements to Reportable Segments Disclosures</w:t>
      </w:r>
      <w:r>
        <w:rPr>
          <w:rFonts w:ascii="Times New Roman" w:cs="Times New Roman" w:eastAsia="Times New Roman" w:hAnsi="Times New Roman"/>
          <w:sz w:val="18"/>
          <w:szCs w:val="18"/>
          <w:color w:val="auto"/>
        </w:rPr>
        <w:t>. The amendments improve reportable segment disclosure requirements through enhanced disclosures over significant segment expenses regularly provided to the CODM, extending certain annual disclosures to interim periods, and through permitting more than one measure of segment profit or loss to be reported under certain conditions. This guidance is effective for annual reporting periods beginning after December 15, 2023 and interim reporting periods beginning after December 31, 2024. Early adoption of the amendment is permitted, including adoption in any interim periods for which financial statements have not been issued. The Company is currently evaluating the guidance and its impact to the financial statements.</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a public business entity to disclose specific categories in its annual effective tax rate reconciliation and disaggregated information about significant reconciling items by jurisdiction and by nature. The ASU also requires entities to disclose their income tax payments (net of refunds) to international, federal, and state and local jurisdictions. This guidance is effective for fiscal years beginning after December 15, 2024, and requires prospective application with the option to apply it retrospectively. Early adoption is permitted. The Company is currently evaluating the guidance and its impact to the financial statements.</w:t>
      </w:r>
    </w:p>
    <w:p>
      <w:pPr>
        <w:spacing w:after="0" w:line="1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 In October 2021, the FASB issued ASU 2021-08, Business Combinations (Topic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for Contract Assets and Contract Liabilities from Contracts with Customers</w:t>
      </w:r>
      <w:r>
        <w:rPr>
          <w:rFonts w:ascii="Times New Roman" w:cs="Times New Roman" w:eastAsia="Times New Roman" w:hAnsi="Times New Roman"/>
          <w:sz w:val="18"/>
          <w:szCs w:val="18"/>
          <w:color w:val="auto"/>
        </w:rPr>
        <w:t>, which requires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to be recognized and measured by the acquirer on the acquisition date in accordance with ASC 606, Revenue from Contracts with Customers. Prior to the issuance of this guidance, contract assets and contract liabilities were recognized by the acquirer at fair value on the acquisition date. This guidance is effective for annual reporting periods beginning after December 15, 2022 including interim periods therein. Adoption of this standard on January 1, 2023 did not have a material impact on the consolidated financial statements. However, if the Company acquires material customer contracts in the future, this standard will impact the accounting for those arrangements which may have a material effect on future results.</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and in January 2021 issued ASU No. 2021-01,</w:t>
      </w:r>
      <w:r>
        <w:rPr>
          <w:rFonts w:ascii="Times New Roman" w:cs="Times New Roman" w:eastAsia="Times New Roman" w:hAnsi="Times New Roman"/>
          <w:sz w:val="18"/>
          <w:szCs w:val="18"/>
          <w:i w:val="1"/>
          <w:iCs w:val="1"/>
          <w:color w:val="auto"/>
        </w:rPr>
        <w:t xml:space="preserve"> Reference Rate Reform (Topic 848): Scope</w:t>
      </w:r>
      <w:r>
        <w:rPr>
          <w:rFonts w:ascii="Times New Roman" w:cs="Times New Roman" w:eastAsia="Times New Roman" w:hAnsi="Times New Roman"/>
          <w:sz w:val="18"/>
          <w:szCs w:val="18"/>
          <w:color w:val="auto"/>
        </w:rPr>
        <w:t>. These ASUs provide temporary optional expedients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exceptions to existing guidance on contract modifications and hedge accounting to facilitate the market transition from existing reference rates, such as the London Inter-bank Offered Rate (“LIBOR”), to alternate reference rates, such as the Secured Overnight Financing Rate (“SOFR”). These standards were effective upon issuance and allowed application to contract changes as early as January 1, 2020. Adoption of this standard in June 2023 did not have a material impact on the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1, 2023, the Company acquired 100% of the equity interest of a digital identity and biometrics solutions company headquartered in New York for $41.0 million. The acquired company operates under the trade name Infinite ID. The acquisition expands the Company’s network and portfolio of identity solutions in the United States. The acquired company was determined to constitute a business and the Company was deemed to be the acquirer under ASC 805. As a result, the Company has recorded the related purchase accounting as of September 1, 2023.</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41,000</w:t>
            </w: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transaction adjustments</w:t>
            </w:r>
          </w:p>
        </w:tc>
        <w:tc>
          <w:tcPr>
            <w:tcW w:w="6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fair value of consideration transferred</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41,122</w:t>
            </w:r>
          </w:p>
        </w:tc>
      </w:tr>
      <w:tr>
        <w:trPr>
          <w:trHeight w:val="23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including software developed for internal use</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5,959</w:t>
            </w: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3,800</w:t>
            </w: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2,400</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(1,427 )</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14,603</w:t>
            </w:r>
          </w:p>
        </w:tc>
      </w:tr>
      <w:tr>
        <w:trPr>
          <w:trHeight w:val="277"/>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26,519</w:t>
            </w:r>
          </w:p>
        </w:tc>
      </w:tr>
    </w:tbl>
    <w:p>
      <w:pPr>
        <w:spacing w:after="0" w:line="14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Results of operation have been included in the consolidated financial statements of the Company’s Americas segment since the date of acquisition.</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the date these consolidated financial statements were issued, the purchase accounting related to this acquisition was incomplete as the valuation of certain working capital balances, deferred taxes, and certain customary transaction adjustments were not yet finalized. The Company has reflected the provisional amounts in these consolidated financial statements. As such, the above balances may be adjusted in a future period as the valuation is finalized and these adjustments may be material to the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1, 2022, the Company completed its asset purchase of Form I-9 Compliance, a U.S.-based technology solution and consulting service provider for I-9 and E-Verify compliance, for cash consideration of approximately $19.8 million. The Company recognized $9.1 million of goodwill. Identifiable intangible assets related to this acquisition totaled $8.5 million, of which $6.1 million was attributable to a customer related intangible asset with an estimated useful life of thirteen years and $2.4 million was attributable to developed technology with a useful life of five years. Goodwill recognized is deductible for tax purposes. Results of operations have been included in the consolidated financial statements of the Company’s Americas segment since the date of the acquisition.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31, 2021, the Company completed its acquisition of selected assets and specified liabilities comprising the United Kingdom background screening business unit of a United Kingdom based company for cash consideration of $7.6 million. The Company recognized $3.1 million of goodwill and $3.0 million of intangible assets subject to amortization. Goodwill recognized is primarily attributable to assembled workforce and the expected growth of the Company and is deductible for tax purposes. Results of operations have been included in the consolidated financial statements of the Company’s International segment since the date of the acquisition.</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30, 2021, the Company completed its acquisition of a background screening and verification provider based in Mexico. Goodwill recognized as result of this acquisition was not deductible for tax purposes. Results of operations have been included in the consolidated financial statements of the Company’s Americas segment since the date of the acquisition.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7" w:name="page88"/>
    <w:bookmarkEnd w:id="87"/>
    <w:p>
      <w:pPr>
        <w:spacing w:after="0" w:line="254" w:lineRule="auto"/>
        <w:rPr>
          <w:sz w:val="20"/>
          <w:szCs w:val="20"/>
          <w:color w:val="auto"/>
        </w:rPr>
      </w:pPr>
      <w:r>
        <w:rPr>
          <w:rFonts w:ascii="Times New Roman" w:cs="Times New Roman" w:eastAsia="Times New Roman" w:hAnsi="Times New Roman"/>
          <w:sz w:val="18"/>
          <w:szCs w:val="18"/>
          <w:color w:val="auto"/>
        </w:rPr>
        <w:t>On November 30, 2021, the Company, through one of its wholly-owned subsidiaries in the United States, entered into an agreement to acquire 100% of the outstanding equity of Corporate Screening Services, LLC (“Corporate Screening”), a U.S.-based screening and compliance solutions provider which strengthened the Company’s healthcare and higher education solutions by adding technology and expertise tailored to those customers for cash consideration of $39.4 million. The acquisition was considered an acquisition of assets for tax purposes and, accordingly, a significant portion of the $22.2 million of goodwill recognized was deductible for tax purposes. Identifiable intangible assets related to this acquisition totaled $15.5 million, of which $11.8 million was attributable to a customer related intangible asset with an estimated useful life of thirteen years and $3.6 million was attributable to developed technology with a useful life of five years. In addition, the Company acquired current assets of $2.9 million and assumed liabilities of $1.6 million. Results of operations have been included in the consolidated financial statements of the Company’s Americas segment since the date of the acquisition.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December 31, 2023 and 2022 consisted of the following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26,576</w:t>
            </w:r>
          </w:p>
        </w:tc>
        <w:tc>
          <w:tcPr>
            <w:tcW w:w="5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23,422</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for internal use, acquired by business combination</w:t>
            </w:r>
          </w:p>
        </w:tc>
        <w:tc>
          <w:tcPr>
            <w:tcW w:w="32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232,505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227,405</w:t>
            </w: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for internal use, developed internally or otherwise purchased</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86,704</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60,187</w:t>
            </w: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2,957</w:t>
            </w:r>
          </w:p>
        </w:tc>
      </w:tr>
      <w:tr>
        <w:trPr>
          <w:trHeight w:val="23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348,060</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313,971</w:t>
            </w: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(268,619 )</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(200,442 )</w:t>
            </w:r>
          </w:p>
        </w:tc>
      </w:tr>
      <w:tr>
        <w:trPr>
          <w:trHeight w:val="277"/>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79,441</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approximately $67.4 million, $70.0 million, and $69.4 million, for the years ended December 31, 2023, 2022, and 2021, respectively.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Note 5. Goodwill, Trade Names, Customer Lists,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2023 and 2022 by reportable segment were as follows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668,048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125,844</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793,892</w:t>
            </w: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9,116</w:t>
            </w:r>
          </w:p>
        </w:tc>
      </w:tr>
      <w:tr>
        <w:trPr>
          <w:trHeight w:val="24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initial purchase price allocations</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(9,935 )</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(9,893 )</w:t>
            </w:r>
          </w:p>
        </w:tc>
      </w:tr>
      <w:tr>
        <w:trPr>
          <w:trHeight w:val="23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677,171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115,909</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793,080</w:t>
            </w: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2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26,519</w:t>
            </w:r>
          </w:p>
        </w:tc>
      </w:tr>
      <w:tr>
        <w:trPr>
          <w:trHeight w:val="247"/>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1,055</w:t>
            </w:r>
          </w:p>
        </w:tc>
      </w:tr>
      <w:tr>
        <w:trPr>
          <w:trHeight w:val="23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703,797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116,857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820,654</w:t>
            </w:r>
          </w:p>
        </w:tc>
      </w:tr>
      <w:tr>
        <w:trPr>
          <w:trHeight w:val="20"/>
        </w:trPr>
        <w:tc>
          <w:tcPr>
            <w:tcW w:w="6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summarizes the gross carrying value and accumulated amortization for the Company’s trade names, customer lists, and other intangible assets as of December 31, 2023 and 2022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31"/>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37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100" w:type="dxa"/>
            <w:vAlign w:val="bottom"/>
            <w:gridSpan w:val="2"/>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20" w:type="dxa"/>
            <w:vAlign w:val="bottom"/>
            <w:gridSpan w:val="2"/>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16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528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96,321</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(30,092 )</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66,229</w:t>
            </w: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520,105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275,528</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r>
      <w:tr>
        <w:trPr>
          <w:trHeight w:val="24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618,826</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(274,812 )</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344,014</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31"/>
        </w:trPr>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gridSpan w:val="2"/>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1"/>
                <w:szCs w:val="11"/>
                <w:color w:val="auto"/>
              </w:rPr>
            </w:pPr>
          </w:p>
        </w:tc>
        <w:tc>
          <w:tcPr>
            <w:tcW w:w="112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5220" w:type="dxa"/>
            <w:vAlign w:val="bottom"/>
          </w:tcPr>
          <w:p>
            <w:pPr>
              <w:spacing w:after="0"/>
              <w:rPr>
                <w:sz w:val="16"/>
                <w:szCs w:val="16"/>
                <w:color w:val="auto"/>
              </w:rPr>
            </w:pPr>
          </w:p>
        </w:tc>
        <w:tc>
          <w:tcPr>
            <w:tcW w:w="114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93,959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(22,797 )</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71,162</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515,762</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(189,748 )</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326,014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r>
      <w:tr>
        <w:trPr>
          <w:trHeight w:val="27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609,721</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(212,545 )</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397,176</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2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Amortization expense of trade names, customer lists, and other intangible assets was approximately $62.1 million, $68.3 million, and $73.5 million, for the years ended December 31, 2023, 2022, and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relating to trade names, customer lists, and other intangible assets is expected to be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4"/>
        </w:trPr>
        <w:tc>
          <w:tcPr>
            <w:tcW w:w="580" w:type="dxa"/>
            <w:vAlign w:val="bottom"/>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shd w:val="clear" w:color="auto" w:fill="CFF0FC"/>
          </w:tcPr>
          <w:p>
            <w:pPr>
              <w:spacing w:after="0"/>
              <w:rPr>
                <w:sz w:val="21"/>
                <w:szCs w:val="21"/>
                <w:color w:val="auto"/>
              </w:rPr>
            </w:pPr>
          </w:p>
        </w:tc>
        <w:tc>
          <w:tcPr>
            <w:tcW w:w="540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57,413</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51,031</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shd w:val="clear" w:color="auto" w:fill="CFF0FC"/>
          </w:tcPr>
          <w:p>
            <w:pPr>
              <w:spacing w:after="0"/>
              <w:rPr>
                <w:sz w:val="21"/>
                <w:szCs w:val="21"/>
                <w:color w:val="auto"/>
              </w:rPr>
            </w:pPr>
          </w:p>
        </w:tc>
        <w:tc>
          <w:tcPr>
            <w:tcW w:w="48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44,006</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37,325</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shd w:val="clear" w:color="auto" w:fill="CFF0FC"/>
          </w:tcPr>
          <w:p>
            <w:pPr>
              <w:spacing w:after="0"/>
              <w:rPr>
                <w:sz w:val="21"/>
                <w:szCs w:val="21"/>
                <w:color w:val="auto"/>
              </w:rPr>
            </w:pPr>
          </w:p>
        </w:tc>
        <w:tc>
          <w:tcPr>
            <w:tcW w:w="48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32,697</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121,542</w:t>
            </w:r>
          </w:p>
        </w:tc>
        <w:tc>
          <w:tcPr>
            <w:tcW w:w="560" w:type="dxa"/>
            <w:vAlign w:val="bottom"/>
          </w:tcPr>
          <w:p>
            <w:pPr>
              <w:spacing w:after="0"/>
              <w:rPr>
                <w:sz w:val="21"/>
                <w:szCs w:val="21"/>
                <w:color w:val="auto"/>
              </w:rPr>
            </w:pPr>
          </w:p>
        </w:tc>
      </w:tr>
      <w:tr>
        <w:trPr>
          <w:trHeight w:val="272"/>
        </w:trPr>
        <w:tc>
          <w:tcPr>
            <w:tcW w:w="580" w:type="dxa"/>
            <w:vAlign w:val="bottom"/>
          </w:tcPr>
          <w:p>
            <w:pPr>
              <w:spacing w:after="0"/>
              <w:rPr>
                <w:sz w:val="23"/>
                <w:szCs w:val="23"/>
                <w:color w:val="auto"/>
              </w:rPr>
            </w:pPr>
          </w:p>
        </w:tc>
        <w:tc>
          <w:tcPr>
            <w:tcW w:w="21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spacing w:after="0"/>
              <w:rPr>
                <w:sz w:val="23"/>
                <w:szCs w:val="23"/>
                <w:color w:val="auto"/>
              </w:rPr>
            </w:pPr>
          </w:p>
        </w:tc>
        <w:tc>
          <w:tcPr>
            <w:tcW w:w="48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344,014</w:t>
            </w:r>
          </w:p>
        </w:tc>
        <w:tc>
          <w:tcPr>
            <w:tcW w:w="560" w:type="dxa"/>
            <w:vAlign w:val="bottom"/>
          </w:tcPr>
          <w:p>
            <w:pPr>
              <w:spacing w:after="0"/>
              <w:rPr>
                <w:sz w:val="23"/>
                <w:szCs w:val="23"/>
                <w:color w:val="auto"/>
              </w:rPr>
            </w:pPr>
          </w:p>
        </w:tc>
      </w:tr>
      <w:tr>
        <w:trPr>
          <w:trHeight w:val="417"/>
        </w:trPr>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rPr>
              <w:t>F-18</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obligation approximated its book value as of December 31, 2023 and 2022 and consisted of the following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Credit Facility</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564,724</w:t>
            </w:r>
          </w:p>
        </w:tc>
        <w:tc>
          <w:tcPr>
            <w:tcW w:w="5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564,724</w:t>
            </w: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(6,268 )</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(8,075 )</w:t>
            </w:r>
          </w:p>
        </w:tc>
      </w:tr>
      <w:tr>
        <w:trPr>
          <w:trHeight w:val="277"/>
        </w:trPr>
        <w:tc>
          <w:tcPr>
            <w:tcW w:w="6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558,456</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556,649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February 2020, a new financing structure was established consisting of a new First Lien Credit Agreement (“First Lien Agreement”) and a new Second Lien Credit Agreement (“Second Lien Agreement”) (collectively, the “Credit Agreements”). The First Lien Agreement provided financing in the form of a $670.0 million term loan due January 31, 2027, carrying an interest rate of 3.25% to 3.50%, based on the first lien leverage ratio, plus LIBOR (“First Lien Credit Facility”) and a new $75.0 million revolving credit facility due January 31, 2025 (“Revolver”). The First Lien Credit Facility required mandatory quarterly repayments of 0.25% of the original loan balance commencing September 30, 2020. Beginning with the year ending December 31, 2021, the First Lien Credit Facility required mandatory payments based on calculated excess cash flow, as defined within the First Lien Credit Agreement. The Second Lien Agreement provided financing in the form of a $145.0 million term loan due January 31, 2028, carrying an interest rate of 8.50% plus LIBOR (“Second Lien Credit Facility”). The Credit Agreements are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Revolver exceeds 35% of the aggregate principal amount of the revolving commitments then in effect, it is required to maintain a consolidated first lien leverage ratio no greater than 7.75 to 1.00.</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2021, the Company refinanced its First Lien Credit Facility at an increased principal amount of $766.6 million due January 31, 2027, carrying a reduced interest rate of 3.00% to 3.25%, based on the first lien leverage ratio, plus LIBOR. No changes were made to the associated revolving credit facility due January 31, 2025. In connection with the refinancing of the First Lien Credit Facility, the Company fully repaid its Second Lien Credit Facility. As a result of these transactions the Company recorded a total loss on extinguishment of debt of $13.9 million, composed of the write-off of unamortized deferred financing costs plus a prepayment premium, accrued interest, and other fees.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Company’s IPO, on June 30, 2021, the Company repaid $200.0 million of its First Lien Credit Facility outstanding, of which $44.3 million was applied to the remaining quarterly principal payments due under the First Lien Agreement. As a result of the IPO, the Company’s interest rate under the First Lien Credit Facility was reduced by 0.25% to a range of 2.75% to 3.00%, based on the first lien ratio, plus LIBOR.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in connection with the closing of the IPO, the Company entered into an amendment that increased the borrowing capacity under the Revolver from $75.0 million to $100.0 million and extended the maturity date from January 31, 2025 to July 31, 2026. In June 2023, the Credit Agreement was amended to transition the reference rate from LIBOR to SOFR (the Secured Overnight Financing Rate as administered by the Federal Reserve Bank of New York), with the addition of an applicable margin. As of December 31, 2023, the Company had no outstanding amounts under the Revolver, and therefore, was not subject to the consolidated first lien leverage ratio covenant. The Company was compliant with all other covenants under the agreement as of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maturities of long-term debt as of December 31, 2023,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4"/>
        </w:trPr>
        <w:tc>
          <w:tcPr>
            <w:tcW w:w="580" w:type="dxa"/>
            <w:vAlign w:val="bottom"/>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shd w:val="clear" w:color="auto" w:fill="CFF0FC"/>
          </w:tcPr>
          <w:p>
            <w:pPr>
              <w:spacing w:after="0"/>
              <w:rPr>
                <w:sz w:val="21"/>
                <w:szCs w:val="21"/>
                <w:color w:val="auto"/>
              </w:rPr>
            </w:pPr>
          </w:p>
        </w:tc>
        <w:tc>
          <w:tcPr>
            <w:tcW w:w="540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shd w:val="clear" w:color="auto" w:fill="CFF0FC"/>
          </w:tcPr>
          <w:p>
            <w:pPr>
              <w:spacing w:after="0"/>
              <w:rPr>
                <w:sz w:val="21"/>
                <w:szCs w:val="21"/>
                <w:color w:val="auto"/>
              </w:rPr>
            </w:pPr>
          </w:p>
        </w:tc>
        <w:tc>
          <w:tcPr>
            <w:tcW w:w="48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564,724</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shd w:val="clear" w:color="auto" w:fill="CFF0FC"/>
          </w:tcPr>
          <w:p>
            <w:pPr>
              <w:spacing w:after="0"/>
              <w:rPr>
                <w:sz w:val="21"/>
                <w:szCs w:val="21"/>
                <w:color w:val="auto"/>
              </w:rPr>
            </w:pPr>
          </w:p>
        </w:tc>
        <w:tc>
          <w:tcPr>
            <w:tcW w:w="48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72"/>
        </w:trPr>
        <w:tc>
          <w:tcPr>
            <w:tcW w:w="580" w:type="dxa"/>
            <w:vAlign w:val="bottom"/>
          </w:tcPr>
          <w:p>
            <w:pPr>
              <w:spacing w:after="0"/>
              <w:rPr>
                <w:sz w:val="23"/>
                <w:szCs w:val="23"/>
                <w:color w:val="auto"/>
              </w:rPr>
            </w:pPr>
          </w:p>
        </w:tc>
        <w:tc>
          <w:tcPr>
            <w:tcW w:w="21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spacing w:after="0"/>
              <w:rPr>
                <w:sz w:val="23"/>
                <w:szCs w:val="23"/>
                <w:color w:val="auto"/>
              </w:rPr>
            </w:pPr>
          </w:p>
        </w:tc>
        <w:tc>
          <w:tcPr>
            <w:tcW w:w="48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564,724</w:t>
            </w:r>
          </w:p>
        </w:tc>
        <w:tc>
          <w:tcPr>
            <w:tcW w:w="560" w:type="dxa"/>
            <w:vAlign w:val="bottom"/>
          </w:tcPr>
          <w:p>
            <w:pPr>
              <w:spacing w:after="0"/>
              <w:rPr>
                <w:sz w:val="23"/>
                <w:szCs w:val="23"/>
                <w:color w:val="auto"/>
              </w:rPr>
            </w:pPr>
          </w:p>
        </w:tc>
      </w:tr>
      <w:tr>
        <w:trPr>
          <w:trHeight w:val="417"/>
        </w:trPr>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rPr>
              <w:t>F-19</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 7. Derivatives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 In June 2023, the Company transitioned the reference rate for its interest rate derivative agreements from one-month LIBOR to one-month SOFR.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the following outstanding derivatives that were not designated as a hedge in qualifying hedging relationships: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7"/>
        </w:trPr>
        <w:tc>
          <w:tcPr>
            <w:tcW w:w="2580" w:type="dxa"/>
            <w:vAlign w:val="bottom"/>
            <w:shd w:val="clear" w:color="auto" w:fill="CFF0FC"/>
          </w:tcPr>
          <w:p>
            <w:pPr>
              <w:jc w:val="center"/>
              <w:spacing w:after="0" w:line="236" w:lineRule="exact"/>
              <w:rPr>
                <w:sz w:val="20"/>
                <w:szCs w:val="20"/>
                <w:color w:val="auto"/>
              </w:rPr>
            </w:pPr>
            <w:r>
              <w:rPr>
                <w:rFonts w:ascii="Times New Roman" w:cs="Times New Roman" w:eastAsia="Times New Roman" w:hAnsi="Times New Roman"/>
                <w:sz w:val="18"/>
                <w:szCs w:val="18"/>
                <w:color w:val="auto"/>
                <w:w w:val="96"/>
              </w:rPr>
              <w:t xml:space="preserve">Interest rate collars </w:t>
            </w:r>
            <w:r>
              <w:rPr>
                <w:rFonts w:ascii="Times New Roman" w:cs="Times New Roman" w:eastAsia="Times New Roman" w:hAnsi="Times New Roman"/>
                <w:sz w:val="24"/>
                <w:szCs w:val="24"/>
                <w:color w:val="auto"/>
                <w:w w:val="96"/>
                <w:vertAlign w:val="superscript"/>
              </w:rPr>
              <w:t>(a)</w:t>
            </w: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2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$300.0 million</w:t>
            </w:r>
          </w:p>
        </w:tc>
        <w:tc>
          <w:tcPr>
            <w:tcW w:w="120" w:type="dxa"/>
            <w:vAlign w:val="bottom"/>
            <w:shd w:val="clear" w:color="auto" w:fill="CFF0FC"/>
          </w:tcPr>
          <w:p>
            <w:pPr>
              <w:spacing w:after="0"/>
              <w:rPr>
                <w:sz w:val="20"/>
                <w:szCs w:val="20"/>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0.48% floor/1.47% cap</w:t>
            </w:r>
          </w:p>
        </w:tc>
      </w:tr>
      <w:tr>
        <w:trPr>
          <w:trHeight w:val="243"/>
        </w:trPr>
        <w:tc>
          <w:tcPr>
            <w:tcW w:w="258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7"/>
              </w:rPr>
              <w:t xml:space="preserve">Interest rate swap </w:t>
            </w:r>
            <w:r>
              <w:rPr>
                <w:rFonts w:ascii="Times New Roman" w:cs="Times New Roman" w:eastAsia="Times New Roman" w:hAnsi="Times New Roman"/>
                <w:sz w:val="24"/>
                <w:szCs w:val="24"/>
                <w:color w:val="auto"/>
                <w:w w:val="97"/>
                <w:vertAlign w:val="superscript"/>
              </w:rPr>
              <w:t>(b)</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 million</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4.32%</w:t>
            </w:r>
          </w:p>
        </w:tc>
      </w:tr>
      <w:tr>
        <w:trPr>
          <w:trHeight w:val="243"/>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29, 2023</w:t>
            </w: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22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3.86%</w:t>
            </w: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3.76%</w:t>
            </w:r>
          </w:p>
        </w:tc>
      </w:tr>
    </w:tbl>
    <w:p>
      <w:pPr>
        <w:spacing w:after="0" w:line="94" w:lineRule="exact"/>
        <w:rPr>
          <w:sz w:val="20"/>
          <w:szCs w:val="20"/>
          <w:color w:val="auto"/>
        </w:rPr>
      </w:pPr>
    </w:p>
    <w:p>
      <w:pPr>
        <w:ind w:left="860" w:hanging="253"/>
        <w:spacing w:after="0"/>
        <w:tabs>
          <w:tab w:leader="none" w:pos="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conjunction with the June 2023 transition of the reference rate from LIBOR to SOFR, the fixed cap rate was reduced from 1.50% to 1.47%.</w:t>
      </w:r>
    </w:p>
    <w:p>
      <w:pPr>
        <w:spacing w:after="0" w:line="3" w:lineRule="exact"/>
        <w:rPr>
          <w:rFonts w:ascii="Times New Roman" w:cs="Times New Roman" w:eastAsia="Times New Roman" w:hAnsi="Times New Roman"/>
          <w:sz w:val="14"/>
          <w:szCs w:val="14"/>
          <w:color w:val="auto"/>
        </w:rPr>
      </w:pPr>
    </w:p>
    <w:p>
      <w:pPr>
        <w:ind w:left="860" w:hanging="253"/>
        <w:spacing w:after="0"/>
        <w:tabs>
          <w:tab w:leader="none" w:pos="8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conjunction with the June 2023 transition of the reference rate from LIBOR to SOFR, the fixed rate was reduced from 4.36% to 4.32%.</w:t>
      </w:r>
    </w:p>
    <w:p>
      <w:pPr>
        <w:spacing w:after="0" w:line="13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are used to manage the Company’s exposure to interest rate movements; however, the Company has not elected to apply hedge accounting for these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fair value of the financial positions recorded related to the derivative instruments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vMerge w:val="restart"/>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vMerge w:val="restart"/>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7"/>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00" w:type="dxa"/>
            <w:vAlign w:val="bottom"/>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collars</w:t>
            </w:r>
          </w:p>
        </w:tc>
        <w:tc>
          <w:tcPr>
            <w:tcW w:w="100" w:type="dxa"/>
            <w:vAlign w:val="bottom"/>
            <w:shd w:val="clear" w:color="auto" w:fill="CFF0FC"/>
          </w:tcPr>
          <w:p>
            <w:pPr>
              <w:spacing w:after="0"/>
              <w:rPr>
                <w:sz w:val="20"/>
                <w:szCs w:val="20"/>
                <w:color w:val="auto"/>
              </w:rPr>
            </w:pPr>
          </w:p>
        </w:tc>
        <w:tc>
          <w:tcPr>
            <w:tcW w:w="38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Prepaid expenses and other current assets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1,986</w:t>
            </w:r>
          </w:p>
        </w:tc>
        <w:tc>
          <w:tcPr>
            <w:tcW w:w="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11,570</w:t>
            </w:r>
          </w:p>
        </w:tc>
        <w:tc>
          <w:tcPr>
            <w:tcW w:w="0" w:type="dxa"/>
            <w:vAlign w:val="bottom"/>
          </w:tcPr>
          <w:p>
            <w:pPr>
              <w:spacing w:after="0"/>
              <w:rPr>
                <w:sz w:val="1"/>
                <w:szCs w:val="1"/>
                <w:color w:val="auto"/>
              </w:rPr>
            </w:pPr>
          </w:p>
        </w:tc>
      </w:tr>
      <w:tr>
        <w:trPr>
          <w:trHeight w:val="23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tcPr>
          <w:p>
            <w:pPr>
              <w:spacing w:after="0"/>
              <w:rPr>
                <w:sz w:val="20"/>
                <w:szCs w:val="20"/>
                <w:color w:val="auto"/>
              </w:rPr>
            </w:pPr>
          </w:p>
        </w:tc>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1,576</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amount of gains and (losses) recorded related to the derivative instruments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vMerge w:val="restart"/>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5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20" w:type="dxa"/>
            <w:vAlign w:val="bottom"/>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collars</w:t>
            </w:r>
          </w:p>
        </w:tc>
        <w:tc>
          <w:tcPr>
            <w:tcW w:w="120" w:type="dxa"/>
            <w:vAlign w:val="bottom"/>
            <w:shd w:val="clear" w:color="auto" w:fill="CFF0FC"/>
          </w:tcPr>
          <w:p>
            <w:pPr>
              <w:spacing w:after="0"/>
              <w:rPr>
                <w:sz w:val="20"/>
                <w:szCs w:val="20"/>
                <w:color w:val="auto"/>
              </w:rPr>
            </w:pPr>
          </w:p>
        </w:tc>
        <w:tc>
          <w:tcPr>
            <w:tcW w:w="2580" w:type="dxa"/>
            <w:vAlign w:val="bottom"/>
            <w:shd w:val="clear" w:color="auto" w:fill="CFF0FC"/>
          </w:tcPr>
          <w:p>
            <w:pPr>
              <w:jc w:val="center"/>
              <w:ind w:left="476"/>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1640" w:type="dxa"/>
            <w:vAlign w:val="bottom"/>
            <w:gridSpan w:val="3"/>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12,429</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2,284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20" w:type="dxa"/>
            <w:vAlign w:val="bottom"/>
          </w:tcPr>
          <w:p>
            <w:pPr>
              <w:spacing w:after="0"/>
              <w:rPr>
                <w:sz w:val="20"/>
                <w:szCs w:val="20"/>
                <w:color w:val="auto"/>
              </w:rPr>
            </w:pPr>
          </w:p>
        </w:tc>
        <w:tc>
          <w:tcPr>
            <w:tcW w:w="258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1640" w:type="dxa"/>
            <w:vAlign w:val="bottom"/>
            <w:gridSpan w:val="3"/>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40" w:type="dxa"/>
            <w:vAlign w:val="bottom"/>
            <w:gridSpan w:val="3"/>
          </w:tcPr>
          <w:p>
            <w:pPr>
              <w:jc w:val="right"/>
              <w:ind w:right="1048"/>
              <w:spacing w:after="0"/>
              <w:rPr>
                <w:sz w:val="20"/>
                <w:szCs w:val="20"/>
                <w:color w:val="auto"/>
              </w:rPr>
            </w:pPr>
            <w:r>
              <w:rPr>
                <w:rFonts w:ascii="Times New Roman" w:cs="Times New Roman" w:eastAsia="Times New Roman" w:hAnsi="Times New Roman"/>
                <w:sz w:val="18"/>
                <w:szCs w:val="18"/>
                <w:color w:val="auto"/>
              </w:rPr>
              <w:t>F-20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is a U.S. domiciled corporation for tax purposes. The Company’s income tax expense and balance sheet accounts reflect the results of the Company and its subsidiaries.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domestic and foreign components of income before provision for income taxes for the years ended December 31, 2023, 2022, and 2021, respectively, were as follows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51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Income (loss) before provision for income taxes from United States</w:t>
            </w:r>
          </w:p>
        </w:tc>
        <w:tc>
          <w:tcPr>
            <w:tcW w:w="9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48"/>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25,250</w:t>
            </w: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46,766</w:t>
            </w: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(7,791 )</w:t>
            </w: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 from foreign operations</w:t>
            </w:r>
          </w:p>
        </w:tc>
        <w:tc>
          <w:tcPr>
            <w:tcW w:w="9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38,313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32,704</w:t>
            </w:r>
          </w:p>
        </w:tc>
      </w:tr>
      <w:tr>
        <w:trPr>
          <w:trHeight w:val="277"/>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48,476</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85,079</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domestic and foreign components of the provision for income taxes for the years ended December 31, 2023, 2022, and 2021, respectively, were as follows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18,486</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4,593</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4,003</w:t>
            </w: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9,817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7,618</w:t>
            </w:r>
          </w:p>
        </w:tc>
      </w:tr>
      <w:tr>
        <w:trPr>
          <w:trHeight w:val="23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30,738</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14,589</w:t>
            </w: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11,679</w:t>
            </w:r>
          </w:p>
        </w:tc>
      </w:tr>
      <w:tr>
        <w:trPr>
          <w:trHeight w:val="473"/>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(16,857 )</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1,773</w:t>
            </w: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(4,495 )</w:t>
            </w:r>
          </w:p>
        </w:tc>
      </w:tr>
      <w:tr>
        <w:trPr>
          <w:trHeight w:val="247"/>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1,129</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(19,555 )</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5,886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(2,817 )</w:t>
            </w:r>
          </w:p>
        </w:tc>
      </w:tr>
      <w:tr>
        <w:trPr>
          <w:trHeight w:val="27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11,183</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20,475</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-1130935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-1130935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-350520</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U.S. statutory federal tax rate of 21% to the Company’s effective income tax rate of 23.07%, 24.07%, and 35.57%, for the years ended December 31, 2023, 2022, and 2021, respectively:</w:t>
      </w:r>
    </w:p>
    <w:p>
      <w:pPr>
        <w:spacing w:after="0" w:line="11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28"/>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statutory federal tax rate</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21.00 %</w:t>
            </w:r>
          </w:p>
        </w:tc>
        <w:tc>
          <w:tcPr>
            <w:tcW w:w="9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45"/>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income taxes – net of federal tax benefits</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60" w:type="dxa"/>
            <w:vAlign w:val="bottom"/>
          </w:tcPr>
          <w:p>
            <w:pPr>
              <w:spacing w:after="0"/>
              <w:rPr>
                <w:sz w:val="21"/>
                <w:szCs w:val="21"/>
                <w:color w:val="auto"/>
              </w:rPr>
            </w:pPr>
          </w:p>
        </w:tc>
      </w:tr>
      <w:tr>
        <w:trPr>
          <w:trHeight w:val="250"/>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difference</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Pr>
          <w:p>
            <w:pPr>
              <w:spacing w:after="0"/>
              <w:rPr>
                <w:sz w:val="21"/>
                <w:szCs w:val="21"/>
                <w:color w:val="auto"/>
              </w:rPr>
            </w:pPr>
          </w:p>
        </w:tc>
      </w:tr>
      <w:tr>
        <w:trPr>
          <w:trHeight w:val="23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60" w:type="dxa"/>
            <w:vAlign w:val="bottom"/>
          </w:tcPr>
          <w:p>
            <w:pPr>
              <w:spacing w:after="0"/>
              <w:rPr>
                <w:sz w:val="20"/>
                <w:szCs w:val="20"/>
                <w:color w:val="auto"/>
              </w:rPr>
            </w:pPr>
          </w:p>
        </w:tc>
      </w:tr>
      <w:tr>
        <w:trPr>
          <w:trHeight w:val="247"/>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GILTI inclusion</w:t>
            </w:r>
          </w:p>
        </w:tc>
        <w:tc>
          <w:tcPr>
            <w:tcW w:w="1720" w:type="dxa"/>
            <w:vAlign w:val="bottom"/>
            <w:gridSpan w:val="3"/>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tcPr>
          <w:p>
            <w:pPr>
              <w:spacing w:after="0"/>
              <w:rPr>
                <w:sz w:val="21"/>
                <w:szCs w:val="21"/>
                <w:color w:val="auto"/>
              </w:rPr>
            </w:pPr>
          </w:p>
        </w:tc>
      </w:tr>
      <w:tr>
        <w:trPr>
          <w:trHeight w:val="23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w:t>
            </w:r>
          </w:p>
        </w:tc>
        <w:tc>
          <w:tcPr>
            <w:tcW w:w="60" w:type="dxa"/>
            <w:vAlign w:val="bottom"/>
          </w:tcPr>
          <w:p>
            <w:pPr>
              <w:spacing w:after="0"/>
              <w:rPr>
                <w:sz w:val="20"/>
                <w:szCs w:val="20"/>
                <w:color w:val="auto"/>
              </w:rPr>
            </w:pPr>
          </w:p>
        </w:tc>
      </w:tr>
      <w:tr>
        <w:trPr>
          <w:trHeight w:val="247"/>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5.82</w:t>
            </w:r>
          </w:p>
        </w:tc>
        <w:tc>
          <w:tcPr>
            <w:tcW w:w="60" w:type="dxa"/>
            <w:vAlign w:val="bottom"/>
          </w:tcPr>
          <w:p>
            <w:pPr>
              <w:spacing w:after="0"/>
              <w:rPr>
                <w:sz w:val="21"/>
                <w:szCs w:val="21"/>
                <w:color w:val="auto"/>
              </w:rPr>
            </w:pPr>
          </w:p>
        </w:tc>
      </w:tr>
      <w:tr>
        <w:trPr>
          <w:trHeight w:val="23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change impact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0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Pr>
          <w:p>
            <w:pPr>
              <w:spacing w:after="0"/>
              <w:rPr>
                <w:sz w:val="20"/>
                <w:szCs w:val="20"/>
                <w:color w:val="auto"/>
              </w:rPr>
            </w:pPr>
          </w:p>
        </w:tc>
      </w:tr>
      <w:tr>
        <w:trPr>
          <w:trHeight w:val="247"/>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research and development credit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60" w:type="dxa"/>
            <w:vAlign w:val="bottom"/>
          </w:tcPr>
          <w:p>
            <w:pPr>
              <w:spacing w:after="0"/>
              <w:rPr>
                <w:sz w:val="21"/>
                <w:szCs w:val="21"/>
                <w:color w:val="auto"/>
              </w:rPr>
            </w:pP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tcPr>
          <w:p>
            <w:pPr>
              <w:spacing w:after="0"/>
              <w:rPr>
                <w:sz w:val="20"/>
                <w:szCs w:val="20"/>
                <w:color w:val="auto"/>
              </w:rPr>
            </w:pPr>
          </w:p>
        </w:tc>
      </w:tr>
      <w:tr>
        <w:trPr>
          <w:trHeight w:val="252"/>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Return-to-provision adjustment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60" w:type="dxa"/>
            <w:vAlign w:val="bottom"/>
          </w:tcPr>
          <w:p>
            <w:pPr>
              <w:spacing w:after="0"/>
              <w:rPr>
                <w:sz w:val="21"/>
                <w:szCs w:val="21"/>
                <w:color w:val="auto"/>
              </w:rPr>
            </w:pPr>
          </w:p>
        </w:tc>
      </w:tr>
      <w:tr>
        <w:trPr>
          <w:trHeight w:val="237"/>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23.07 %</w:t>
            </w:r>
          </w:p>
        </w:tc>
        <w:tc>
          <w:tcPr>
            <w:tcW w:w="9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35.57 %</w:t>
            </w:r>
          </w:p>
        </w:tc>
      </w:tr>
      <w:tr>
        <w:trPr>
          <w:trHeight w:val="20"/>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-2039620</wp:posOffset>
            </wp:positionV>
            <wp:extent cx="641223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approximately $56.2 million of accumulated unremitted earnings generated by its foreign subsidiaries. Under the U.S. Tax Cuts and Jobs Act of 2017 (“2017 Tax Act”), a portion of these earnings was subject to U.S. federal taxation with the one-time transition tax. With the exception of certain unremitted earnings in India, the Company asserted indefinite reinvestment on its unremitted earnings as well as any other additional outside basis differences of its foreign subsidiaries at December 31, 2023. Any future reversals could be subject to additional foreign withholding taxes, U.S. state taxes, and certain tax impacts relating to foreign currency exchange effects on any future repatriations of the unremitted earnings.</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92" w:name="page93"/>
    <w:bookmarkEnd w:id="92"/>
    <w:p>
      <w:pPr>
        <w:ind w:right="240"/>
        <w:spacing w:after="0" w:line="282" w:lineRule="auto"/>
        <w:rPr>
          <w:sz w:val="20"/>
          <w:szCs w:val="20"/>
          <w:color w:val="auto"/>
        </w:rPr>
      </w:pPr>
      <w:r>
        <w:rPr>
          <w:rFonts w:ascii="Times New Roman" w:cs="Times New Roman" w:eastAsia="Times New Roman" w:hAnsi="Times New Roman"/>
          <w:sz w:val="18"/>
          <w:szCs w:val="18"/>
          <w:color w:val="auto"/>
        </w:rPr>
        <w:t>The primary components of temporary differences that give rise to the Company’s net deferred tax liability as of December 31, 2023 and 2022 consist of the following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2,304</w:t>
            </w: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6,782</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2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4,888</w:t>
            </w: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Bad debt reserves</w:t>
            </w:r>
          </w:p>
        </w:tc>
        <w:tc>
          <w:tcPr>
            <w:tcW w:w="32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1,563</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546</w:t>
            </w: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loss reserves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1,802</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Section 267 adjustment</w:t>
            </w:r>
          </w:p>
        </w:tc>
        <w:tc>
          <w:tcPr>
            <w:tcW w:w="32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deferred tax assets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5,890</w:t>
            </w: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(1,863 )</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(1,467 )</w:t>
            </w:r>
          </w:p>
        </w:tc>
      </w:tr>
      <w:tr>
        <w:trPr>
          <w:trHeight w:val="23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18,313</w:t>
            </w:r>
          </w:p>
        </w:tc>
        <w:tc>
          <w:tcPr>
            <w:tcW w:w="5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22,810</w:t>
            </w:r>
          </w:p>
        </w:tc>
      </w:tr>
      <w:tr>
        <w:trPr>
          <w:trHeight w:val="234"/>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45"/>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(16,420 )</w:t>
            </w:r>
          </w:p>
        </w:tc>
        <w:tc>
          <w:tcPr>
            <w:tcW w:w="5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(17,632 )</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(11,703 )</w:t>
            </w:r>
          </w:p>
        </w:tc>
      </w:tr>
      <w:tr>
        <w:trPr>
          <w:trHeight w:val="24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Depreciable and other amortizable assets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(55,028 )</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(77,127 )</w:t>
            </w: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liabilities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(2,424 )</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(4,482 )</w:t>
            </w:r>
          </w:p>
        </w:tc>
      </w:tr>
      <w:tr>
        <w:trPr>
          <w:trHeight w:val="237"/>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(86,801 )</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(110,944 )</w:t>
            </w:r>
          </w:p>
        </w:tc>
      </w:t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(68,488 )</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(88,134 )</w:t>
            </w: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-1130935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weight of all available evidence, the Company does not maintain a valuation allowance against its deferred tax assets in the United States.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believes that federal, state, and foreign net operating loss carryforwards will be available to reduce future taxable income after taking into account various federal and foreign limitations on the utilization of such net operating loss carryforwards. The net operating loss carryforward balances as of December 31, 2023 and 2022, are as follows (in thousands):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10,970</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97,659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125,989</w:t>
            </w:r>
          </w:p>
        </w:tc>
      </w:tr>
      <w:tr>
        <w:trPr>
          <w:trHeight w:val="247"/>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24,980</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24,207</w:t>
            </w:r>
          </w:p>
        </w:tc>
      </w:tr>
      <w:tr>
        <w:trPr>
          <w:trHeight w:val="232"/>
        </w:trPr>
        <w:tc>
          <w:tcPr>
            <w:tcW w:w="69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122,639</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161,166</w:t>
            </w: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-187960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not utilized, certain foreign net operating losses will begin to expire in 2024 and certain state net operating loss carryforwards will begin to expire in 2026.</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fully utilized the research and development credit carryforward as of December 31, 2023. The Company had $4.4 million of research and development credit carryforwards as of December 31, 2022.</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After consideration of all of the evidence, the Company has determined that a valuation allowance of approximately $1.9 million and $1.5 million is necessary as of December 31, 2023 and 2022, respectively, for certain foreign net operating loss carryforwards. The increase in the valuation allowance in 2023 is primarily due to the additional loss generated during the year in jurisdictions with full valuation allowance and revaluation of certain net operating loss carryforwards at December 31, 2023.</w:t>
      </w:r>
    </w:p>
    <w:p>
      <w:pPr>
        <w:spacing w:after="0" w:line="12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federal examinations by tax authorities for years before 2012, and state, local, and non-U.S. income tax examinations by tax authorities before 2005.</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3" w:name="page94"/>
    <w:bookmarkEnd w:id="93"/>
    <w:p>
      <w:pPr>
        <w:ind w:right="40"/>
        <w:spacing w:after="0" w:line="282" w:lineRule="auto"/>
        <w:rPr>
          <w:sz w:val="20"/>
          <w:szCs w:val="20"/>
          <w:color w:val="auto"/>
        </w:rPr>
      </w:pPr>
      <w:r>
        <w:rPr>
          <w:rFonts w:ascii="Times New Roman" w:cs="Times New Roman" w:eastAsia="Times New Roman" w:hAnsi="Times New Roman"/>
          <w:sz w:val="18"/>
          <w:szCs w:val="18"/>
          <w:color w:val="auto"/>
        </w:rPr>
        <w:t>The aggregate changes in the balance of our gross unrecognized tax benefits, excluding accrued interest, for the years ended December 31, 2023, 2022, and 2021, were as follows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972</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1,399</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1,341</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 for tax positions related to prior years</w:t>
            </w:r>
          </w:p>
        </w:tc>
        <w:tc>
          <w:tcPr>
            <w:tcW w:w="10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r>
      <w:tr>
        <w:trPr>
          <w:trHeight w:val="247"/>
        </w:trPr>
        <w:tc>
          <w:tcPr>
            <w:tcW w:w="51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1,399</w:t>
            </w:r>
          </w:p>
        </w:tc>
      </w:tr>
      <w:tr>
        <w:trPr>
          <w:trHeight w:val="20"/>
        </w:trPr>
        <w:tc>
          <w:tcPr>
            <w:tcW w:w="5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-187960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income tax benefit of approximately $1.0 million would be recorded if these unrecognized tax benefits are recognized. The Company believes it is reasonably possible that its liability for unrecognized tax benefits will decrease in the next twelve months. The Company recognizes accrued interest related to unrecognized tax benefits in interest expense and penalties in income tax expense.</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in the U.S. Some of the key provisions included in the IRA include implementation of a new alternative minimum tax, an excise tax on stock buybacks, and significant tax incentives for energy and climate initiatives. The Company incurred $0.5 million of excise tax on stock buybacks in 2023 as a result of IRA. The Company has determined that the other provisions in the IRA had no impact on the Company as of and for the year ended December 31, 2023.</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Co-operating and Development (OECD) Pillar Two Framework. The EU effective dates are January 1, 2024, and January 1, 2025, for different aspects of the directive. A significant number of other countries are expected to also implement similar legislation with varying effective dates in the future. While the Company is not currently subject to Pillar Two due to not meeting the revenue threshold, it will continue to evaluate the potential impact on future periods of the Pillar Two Framework, pending legislative adoption by additional individual countries.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Accordingly, in any period, the Company does not recognize a significant amount of revenues from performance obligations satisfied or partially satisfied in prior periods and the amount of such revenues recognized for the years ended December 31, 2023, 2022, and 2021, were immaterial.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contract asset balance was $4.8 million and $6.5 million as of December 31, 2023 and 2022, respectively, and is included in accounts receivable, net in the accompanying consolidated balance sheets. The contract liability balance was $1.9 million and $1.1 million as of December 31, 2023 and 2022, respectively, and is included in deferred revenues in the accompanying consolidated balance sheets. An immaterial amount of revenue was recognized in the current period related to the beginning balance of deferred revenues.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 10. Share-based Compensation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is recognized in cost of services, product and technology expense, and selling, general, and administrative expense, in the accompanying consolidated statements of operations and comprehensive income as follows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163</w:t>
            </w:r>
          </w:p>
        </w:tc>
      </w:tr>
      <w:tr>
        <w:trPr>
          <w:trHeight w:val="247"/>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9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8,908</w:t>
            </w:r>
          </w:p>
        </w:tc>
      </w:tr>
      <w:tr>
        <w:trPr>
          <w:trHeight w:val="27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Prior to the IPO, all share-based awards were issued by Fastball Holdco, L.P., the Company’s previous parent company, under individual grant agreements and the partnership agreement of such parent company under the 2020 Equity Plan. In connection with the IPO, the Company adopted the 2021 Equity Plan.</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May 2023, the Company’s Board of Directors approved a modification of the vesting terms of outstanding unvested and unearned performance-based options, restricted stock units, and restricted stock (collectively, “Performance Awards”) previously issued under its equity plans. The modification, effective May 10, 2023, allowed for unvested and unearned Performance Awards outstanding as of the date of the modification, to vest based on time on the fourth, fifth, and sixth anniversaries of the relevant vesting commencement date, as set forth in each grant agreement (the “Vesting Commencement Date”), while preserving the eligibility to vest upon the Company’s investors receiving a targeted money-on-money return, subject to continued service. As of the modification date, unrecognized pre-tax non-cash compensation expense related to the Performance Awards, after accounting for the modification, was $28.8 million. The Company is recognizing pre-tax non-cash compensation expense related to the modification of Performance Awards prospectively from the date of modification, on a straight-line basis.</w:t>
      </w:r>
    </w:p>
    <w:p>
      <w:pPr>
        <w:spacing w:after="0" w:line="13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fair value of the modified restricted stock units and restricted stock was estimated using the closing stock price on the date of modification. The fair value of the modified stock options was estimated on the date of modification using the Black-Scholes option-pricing model with the following weighted average assumptions: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6"/>
                <w:szCs w:val="16"/>
                <w:color w:val="auto"/>
              </w:rPr>
            </w:pPr>
          </w:p>
        </w:tc>
      </w:tr>
      <w:tr>
        <w:trPr>
          <w:trHeight w:val="228"/>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8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37.43 %</w:t>
            </w:r>
          </w:p>
        </w:tc>
      </w:tr>
      <w:tr>
        <w:trPr>
          <w:trHeight w:val="245"/>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5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21"/>
                <w:szCs w:val="21"/>
                <w:color w:val="auto"/>
              </w:rPr>
            </w:pP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Fair-value of the underlying unit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12.61</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-610870</wp:posOffset>
            </wp:positionV>
            <wp:extent cx="641223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declared one-time special cash dividend in August 2023, the exercise price of outstanding stock option awards and stock purchases under the Company’s employee stock purchase plan (“ESPP”) was reduced by $1.50, in accordance with the non-discretionary anti-dilution provisions of the equity and stock purchase plans. Historical exercise prices noted in the below tables have not been adjusted.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Awards issued under the 2020 Equity Plan consist of options and profits interests and vest based on two criteria: (1) Time — awards vest over five years at a rate of 20% per year; and (2) Performance — awards vest based upon a combination of the five-year time vesting, subject to the Company’s investors receiving a targeted money-on-money return. Options issued under the 2020 Equity Plan generally expire ten years after the grant date. No awards were issued under the plan during the years ended December 31, 2023, 2022, and 2021.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profits interest unit activity under the 2020 Equity Plan for the year ended December 31, 2021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7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Class C Units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63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Grants outstanding</w:t>
            </w:r>
          </w:p>
        </w:tc>
        <w:tc>
          <w:tcPr>
            <w:tcW w:w="1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3,858,048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Exchanged for common stock in the Company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(411,720 )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1980" w:type="dxa"/>
            <w:vAlign w:val="bottom"/>
            <w:tcBorders>
              <w:bottom w:val="single" w:sz="8" w:color="CFF0FC"/>
            </w:tcBorders>
            <w:shd w:val="clear" w:color="auto" w:fill="CFF0FC"/>
          </w:tcPr>
          <w:p>
            <w:pPr>
              <w:spacing w:after="0"/>
              <w:rPr>
                <w:sz w:val="21"/>
                <w:szCs w:val="21"/>
                <w:color w:val="auto"/>
              </w:rPr>
            </w:pPr>
          </w:p>
        </w:tc>
        <w:tc>
          <w:tcPr>
            <w:tcW w:w="63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Exchanged for restricted stock in the Company</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(3,446,328 )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6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Grants outstanding</w:t>
            </w: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34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color w:val="auto"/>
              </w:rPr>
              <w:t>F-24</w:t>
            </w:r>
          </w:p>
        </w:tc>
        <w:tc>
          <w:tcPr>
            <w:tcW w:w="1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A summary of the option unit activity under the 2020 Plan for the year ended December 31, 2021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5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3"/>
                <w:szCs w:val="13"/>
                <w:color w:val="auto"/>
              </w:rPr>
            </w:pPr>
          </w:p>
        </w:tc>
        <w:tc>
          <w:tcPr>
            <w:tcW w:w="146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7"/>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Grants outstanding</w:t>
            </w:r>
          </w:p>
        </w:tc>
        <w:tc>
          <w:tcPr>
            <w:tcW w:w="15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2,733,734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39"/>
        </w:trPr>
        <w:tc>
          <w:tcPr>
            <w:tcW w:w="1760" w:type="dxa"/>
            <w:vAlign w:val="bottom"/>
          </w:tcPr>
          <w:p>
            <w:pPr>
              <w:spacing w:after="0"/>
              <w:rPr>
                <w:sz w:val="20"/>
                <w:szCs w:val="20"/>
                <w:color w:val="auto"/>
              </w:rPr>
            </w:pPr>
          </w:p>
        </w:tc>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7"/>
        </w:trPr>
        <w:tc>
          <w:tcPr>
            <w:tcW w:w="1760" w:type="dxa"/>
            <w:vAlign w:val="bottom"/>
            <w:shd w:val="clear" w:color="auto" w:fill="CFF0FC"/>
          </w:tcPr>
          <w:p>
            <w:pPr>
              <w:spacing w:after="0"/>
              <w:rPr>
                <w:sz w:val="21"/>
                <w:szCs w:val="21"/>
                <w:color w:val="auto"/>
              </w:rPr>
            </w:pPr>
          </w:p>
        </w:tc>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(107,168 )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Exchanged for options in the Company</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(2,602,454 )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77"/>
        </w:trPr>
        <w:tc>
          <w:tcPr>
            <w:tcW w:w="1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Grants outstanding</w:t>
            </w:r>
          </w:p>
        </w:tc>
        <w:tc>
          <w:tcPr>
            <w:tcW w:w="15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946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946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2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IPO, the Company’s parent was dissolved. Awards issued by the Company’s parent were converted in accordance with non-discretionary anti-dilution provisions of the 2020 Equity Plan grants as follows:</w:t>
      </w:r>
    </w:p>
    <w:p>
      <w:pPr>
        <w:spacing w:after="0" w:line="108" w:lineRule="exact"/>
        <w:rPr>
          <w:sz w:val="20"/>
          <w:szCs w:val="20"/>
          <w:color w:val="auto"/>
        </w:rPr>
      </w:pPr>
    </w:p>
    <w:p>
      <w:pPr>
        <w:ind w:left="740" w:right="20" w:hanging="223"/>
        <w:spacing w:after="0" w:line="281" w:lineRule="auto"/>
        <w:tabs>
          <w:tab w:leader="none" w:pos="7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vested outstanding profits interest grants issued by the Company’s parent were converted to common stock in the Company and all unvested outstanding profits interest grants issued by the Company’s parent were converted to restricted stock in the Company under the 2021 Equity Plan. The number of common stock and restricted stock shares issued to each profits interest holder was ratably adjusted to preserve the fair value of the awards. Additionally, the vesting conditions and equity classification of the awards remained unchanged as a result of the conversion.</w:t>
      </w:r>
    </w:p>
    <w:p>
      <w:pPr>
        <w:spacing w:after="0" w:line="56" w:lineRule="exact"/>
        <w:rPr>
          <w:rFonts w:ascii="Times New Roman" w:cs="Times New Roman" w:eastAsia="Times New Roman" w:hAnsi="Times New Roman"/>
          <w:sz w:val="17"/>
          <w:szCs w:val="17"/>
          <w:color w:val="auto"/>
        </w:rPr>
      </w:pPr>
    </w:p>
    <w:p>
      <w:pPr>
        <w:ind w:left="740" w:right="60" w:hanging="223"/>
        <w:spacing w:after="0" w:line="261" w:lineRule="auto"/>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stock option grants issued by the Company’s parent were converted into stock options issued by the Company under the terms of the individual grant agreements. The number of options granted and the strike price of the options was ratably adjusted using an exchange ratio calculated to preserve the fair value of the awards. Additionally, the vesting, vesting conditions, and equity classification of the awards remained unchanged as a result of the conversion.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year ended December 31, 2023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1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3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outstanding</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2,843,342</w:t>
            </w:r>
          </w:p>
        </w:tc>
        <w:tc>
          <w:tcPr>
            <w:tcW w:w="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(394,375 )</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620" w:type="dxa"/>
            <w:vAlign w:val="bottom"/>
            <w:tcBorders>
              <w:bottom w:val="single" w:sz="8" w:color="CFF0FC"/>
            </w:tcBorders>
            <w:shd w:val="clear" w:color="auto" w:fill="CFF0FC"/>
          </w:tcPr>
          <w:p>
            <w:pPr>
              <w:spacing w:after="0"/>
              <w:rPr>
                <w:sz w:val="21"/>
                <w:szCs w:val="21"/>
                <w:color w:val="auto"/>
              </w:rPr>
            </w:pPr>
          </w:p>
        </w:tc>
        <w:tc>
          <w:tcPr>
            <w:tcW w:w="33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(533,715 )</w:t>
            </w:r>
          </w:p>
        </w:tc>
        <w:tc>
          <w:tcPr>
            <w:tcW w:w="8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outstanding</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1,915,252</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20"/>
                <w:szCs w:val="20"/>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6.2 Years</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million</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vested</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518,455</w:t>
            </w:r>
          </w:p>
        </w:tc>
        <w:tc>
          <w:tcPr>
            <w:tcW w:w="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5"/>
              </w:rPr>
              <w:t>6.1 Years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million</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unvested</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1,396,797</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-490855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2023, 2022, and 2021 was $3.0 million, $3.1 million, and $1.1 million,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changes in outstanding options and the related weighted-average exercise price per share for the years ended December 31, 2022 and 2021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4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vMerge w:val="restart"/>
          </w:tcPr>
          <w:p>
            <w:pPr>
              <w:spacing w:after="0"/>
              <w:rPr>
                <w:sz w:val="11"/>
                <w:szCs w:val="11"/>
                <w:color w:val="auto"/>
              </w:rPr>
            </w:pPr>
          </w:p>
        </w:tc>
        <w:tc>
          <w:tcPr>
            <w:tcW w:w="13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1"/>
                <w:szCs w:val="11"/>
                <w:color w:val="auto"/>
              </w:rPr>
            </w:pPr>
          </w:p>
        </w:tc>
        <w:tc>
          <w:tcPr>
            <w:tcW w:w="1380" w:type="dxa"/>
            <w:vAlign w:val="bottom"/>
            <w:gridSpan w:val="2"/>
          </w:tcPr>
          <w:p>
            <w:pPr>
              <w:jc w:val="right"/>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outstanding at the beginning of the year</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3,519,563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issued in exchange for options in the Company’s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3,938,491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exercised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(372,254 )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(58,552 )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(303,967 )</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(360,376 )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outstanding at the end of the year</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2,843,342</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3,519,563</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vested</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648,926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681,227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unvested</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2,194,416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2,838,336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F-25</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-1096645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-1079500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-1096645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-1079500</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December 31, 2023, 16,713,654 shares were available for issuance under the 2021 Equity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Stock options issued immediately prior to the IPO vest based on two criteria: (1) Time — awards vest annually over five years; and (2) Performance — awards vest based upon a combination of the five-year time vesting, subject to the Company’s investors receiving a targeted money-on-money return. Stock options issued after the IPO vest annually, generally over four or five years. Stock options generally expire ten years after the grant date.</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for stock options granted for the years ended December 31, 2023, 2022, and 2021 was estimated at the date of grant using the Black-Scholes option-pricing model with the following weighed average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1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32.99 %</w:t>
            </w:r>
          </w:p>
        </w:tc>
        <w:tc>
          <w:tcPr>
            <w:tcW w:w="3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34.66 %</w:t>
            </w:r>
          </w:p>
        </w:tc>
        <w:tc>
          <w:tcPr>
            <w:tcW w:w="42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38.67 %</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4.00 %</w:t>
            </w:r>
          </w:p>
        </w:tc>
        <w:tc>
          <w:tcPr>
            <w:tcW w:w="3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2.77 %</w:t>
            </w:r>
          </w:p>
        </w:tc>
        <w:tc>
          <w:tcPr>
            <w:tcW w:w="420" w:type="dxa"/>
            <w:vAlign w:val="bottom"/>
          </w:tcPr>
          <w:p>
            <w:pPr>
              <w:spacing w:after="0"/>
              <w:rPr>
                <w:sz w:val="21"/>
                <w:szCs w:val="21"/>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5.91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Fair-value of the underlying unit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tcPr>
          <w:p>
            <w:pPr>
              <w:spacing w:after="0"/>
              <w:rPr>
                <w:sz w:val="20"/>
                <w:szCs w:val="20"/>
                <w:color w:val="auto"/>
              </w:rPr>
            </w:pPr>
          </w:p>
        </w:tc>
        <w:tc>
          <w:tcPr>
            <w:tcW w:w="420" w:type="dxa"/>
            <w:vAlign w:val="bottom"/>
          </w:tcPr>
          <w:p>
            <w:pPr>
              <w:jc w:val="center"/>
              <w:ind w:right="2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15.33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676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color w:val="auto"/>
                <w:w w:val="99"/>
              </w:rPr>
              <w:t>A summary of the option activity for the year ended December 31, 2023 is as follows: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24"/>
                <w:szCs w:val="2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24"/>
                <w:szCs w:val="24"/>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3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outstanding</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4,311,662</w:t>
            </w:r>
          </w:p>
        </w:tc>
        <w:tc>
          <w:tcPr>
            <w:tcW w:w="8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8"/>
              </w:rPr>
              <w:t>15.24</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issued</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579,745</w:t>
            </w:r>
          </w:p>
        </w:tc>
        <w:tc>
          <w:tcPr>
            <w:tcW w:w="8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12.56</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exercised</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(22,402 )</w:t>
            </w:r>
          </w:p>
        </w:tc>
        <w:tc>
          <w:tcPr>
            <w:tcW w:w="8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8"/>
              </w:rPr>
              <w:t>12.55</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(182,346 )</w:t>
            </w:r>
          </w:p>
        </w:tc>
        <w:tc>
          <w:tcPr>
            <w:tcW w:w="8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13.81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1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outstanding</w:t>
            </w:r>
          </w:p>
        </w:tc>
        <w:tc>
          <w:tcPr>
            <w:tcW w:w="13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4,686,659</w:t>
            </w:r>
          </w:p>
        </w:tc>
        <w:tc>
          <w:tcPr>
            <w:tcW w:w="800" w:type="dxa"/>
            <w:vAlign w:val="bottom"/>
            <w:tcBorders>
              <w:bottom w:val="single" w:sz="8" w:color="CFF0FC"/>
            </w:tcBorders>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8"/>
              </w:rPr>
              <w:t>13.61</w:t>
            </w:r>
          </w:p>
        </w:tc>
        <w:tc>
          <w:tcPr>
            <w:tcW w:w="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gridSpan w:val="3"/>
            <w:shd w:val="clear" w:color="auto" w:fill="CFF0FC"/>
          </w:tcPr>
          <w:p>
            <w:pPr>
              <w:jc w:val="center"/>
              <w:ind w:left="401"/>
              <w:spacing w:after="0"/>
              <w:rPr>
                <w:sz w:val="20"/>
                <w:szCs w:val="20"/>
                <w:color w:val="auto"/>
              </w:rPr>
            </w:pPr>
            <w:r>
              <w:rPr>
                <w:rFonts w:ascii="Times New Roman" w:cs="Times New Roman" w:eastAsia="Times New Roman" w:hAnsi="Times New Roman"/>
                <w:sz w:val="18"/>
                <w:szCs w:val="18"/>
                <w:color w:val="auto"/>
                <w:w w:val="95"/>
              </w:rPr>
              <w:t>7.8 Years</w:t>
            </w:r>
          </w:p>
        </w:tc>
        <w:tc>
          <w:tcPr>
            <w:tcW w:w="1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 million</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vested</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1,600,529</w:t>
            </w:r>
          </w:p>
        </w:tc>
        <w:tc>
          <w:tcPr>
            <w:tcW w:w="8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13.76</w:t>
            </w:r>
          </w:p>
        </w:tc>
        <w:tc>
          <w:tcPr>
            <w:tcW w:w="120" w:type="dxa"/>
            <w:vAlign w:val="bottom"/>
          </w:tcPr>
          <w:p>
            <w:pPr>
              <w:spacing w:after="0"/>
              <w:rPr>
                <w:sz w:val="19"/>
                <w:szCs w:val="19"/>
                <w:color w:val="auto"/>
              </w:rPr>
            </w:pPr>
          </w:p>
        </w:tc>
        <w:tc>
          <w:tcPr>
            <w:tcW w:w="1180" w:type="dxa"/>
            <w:vAlign w:val="bottom"/>
            <w:gridSpan w:val="3"/>
          </w:tcPr>
          <w:p>
            <w:pPr>
              <w:jc w:val="center"/>
              <w:ind w:left="401"/>
              <w:spacing w:after="0"/>
              <w:rPr>
                <w:sz w:val="20"/>
                <w:szCs w:val="20"/>
                <w:color w:val="auto"/>
              </w:rPr>
            </w:pPr>
            <w:r>
              <w:rPr>
                <w:rFonts w:ascii="Times New Roman" w:cs="Times New Roman" w:eastAsia="Times New Roman" w:hAnsi="Times New Roman"/>
                <w:sz w:val="18"/>
                <w:szCs w:val="18"/>
                <w:color w:val="auto"/>
                <w:w w:val="95"/>
              </w:rPr>
              <w:t>7.6 Years</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million</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1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unvested</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3,086,130</w:t>
            </w:r>
          </w:p>
        </w:tc>
        <w:tc>
          <w:tcPr>
            <w:tcW w:w="8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8"/>
              </w:rPr>
              <w:t>13.53</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-2382520</wp:posOffset>
            </wp:positionV>
            <wp:extent cx="5700395"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-334010</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-316865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 ended December 31, 2023 was $0.1 million. No options were exercised during the years ended December 31, 2022 and 2021.</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changes in outstanding options and the related weighted-average exercise price per share for the years ended December 31, 2022 and 2021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4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vMerge w:val="restart"/>
          </w:tcPr>
          <w:p>
            <w:pPr>
              <w:spacing w:after="0"/>
              <w:rPr>
                <w:sz w:val="11"/>
                <w:szCs w:val="11"/>
                <w:color w:val="auto"/>
              </w:rPr>
            </w:pPr>
          </w:p>
        </w:tc>
        <w:tc>
          <w:tcPr>
            <w:tcW w:w="13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1"/>
                <w:szCs w:val="11"/>
                <w:color w:val="auto"/>
              </w:rPr>
            </w:pPr>
          </w:p>
        </w:tc>
        <w:tc>
          <w:tcPr>
            <w:tcW w:w="1380" w:type="dxa"/>
            <w:vAlign w:val="bottom"/>
            <w:gridSpan w:val="2"/>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outstanding at the beginning of the year</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3,714,540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issued</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608,122</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3,714,540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(11,000 )</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outstanding at the end of the year</w:t>
            </w: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4,311,662</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3,714,540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vested</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1,054,302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644,556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unvested</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3,257,360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3,069,984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F-26</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-1259205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-1259205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(“RSU”) generally vest annually over three to five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activity for the years ended December 31, 2023, 2022, and 2021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7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18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3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RSUs</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340,875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37"/>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RSUs</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340,875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39"/>
        </w:trPr>
        <w:tc>
          <w:tcPr>
            <w:tcW w:w="1860" w:type="dxa"/>
            <w:vAlign w:val="bottom"/>
          </w:tcPr>
          <w:p>
            <w:pPr>
              <w:spacing w:after="0"/>
              <w:rPr>
                <w:sz w:val="20"/>
                <w:szCs w:val="20"/>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203,032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47"/>
        </w:trPr>
        <w:tc>
          <w:tcPr>
            <w:tcW w:w="1860" w:type="dxa"/>
            <w:vAlign w:val="bottom"/>
            <w:shd w:val="clear" w:color="auto" w:fill="CFF0FC"/>
          </w:tcPr>
          <w:p>
            <w:pPr>
              <w:spacing w:after="0"/>
              <w:rPr>
                <w:sz w:val="21"/>
                <w:szCs w:val="21"/>
                <w:color w:val="auto"/>
              </w:rPr>
            </w:pP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(67,175 )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3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RSUs</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472,332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39"/>
        </w:trPr>
        <w:tc>
          <w:tcPr>
            <w:tcW w:w="1860" w:type="dxa"/>
            <w:vAlign w:val="bottom"/>
          </w:tcPr>
          <w:p>
            <w:pPr>
              <w:spacing w:after="0"/>
              <w:rPr>
                <w:sz w:val="20"/>
                <w:szCs w:val="20"/>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235,903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47"/>
        </w:trPr>
        <w:tc>
          <w:tcPr>
            <w:tcW w:w="1860" w:type="dxa"/>
            <w:vAlign w:val="bottom"/>
            <w:shd w:val="clear" w:color="auto" w:fill="CFF0FC"/>
          </w:tcPr>
          <w:p>
            <w:pPr>
              <w:spacing w:after="0"/>
              <w:rPr>
                <w:sz w:val="21"/>
                <w:szCs w:val="21"/>
                <w:color w:val="auto"/>
              </w:rPr>
            </w:pP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(150,724 )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77"/>
        </w:trPr>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48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RSUs</w:t>
            </w:r>
          </w:p>
        </w:tc>
        <w:tc>
          <w:tcPr>
            <w:tcW w:w="1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507,143</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restricted stock issued by the Company. These include grants of unvested 2020 Equity Plan profits interests grants that were converted into restricted stock as described above, as well as restricted stock issued to new recipients. The restricted stock granted as a result of the conversion of 2020 Equity Plan profits interests retain the vesting attributes (including original service period vesting start date) of the original award.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activity for the years ended December 31, 2023, 2022, and 2021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7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18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37"/>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186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Grants issued in exchange for unvested profits interests in</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Company’s Parent</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2,918,084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50"/>
        </w:trPr>
        <w:tc>
          <w:tcPr>
            <w:tcW w:w="1860" w:type="dxa"/>
            <w:vAlign w:val="bottom"/>
            <w:tcBorders>
              <w:bottom w:val="single" w:sz="8" w:color="CFF0FC"/>
            </w:tcBorders>
            <w:shd w:val="clear" w:color="auto" w:fill="CFF0FC"/>
          </w:tcPr>
          <w:p>
            <w:pPr>
              <w:spacing w:after="0"/>
              <w:rPr>
                <w:sz w:val="21"/>
                <w:szCs w:val="21"/>
                <w:color w:val="auto"/>
              </w:rPr>
            </w:pPr>
          </w:p>
        </w:tc>
        <w:tc>
          <w:tcPr>
            <w:tcW w:w="48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(304,725 )</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2,613,359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52"/>
        </w:trPr>
        <w:tc>
          <w:tcPr>
            <w:tcW w:w="1860" w:type="dxa"/>
            <w:vAlign w:val="bottom"/>
          </w:tcPr>
          <w:p>
            <w:pPr>
              <w:spacing w:after="0"/>
              <w:rPr>
                <w:sz w:val="21"/>
                <w:szCs w:val="21"/>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(332,059 )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7"/>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2,281,300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(326,670 )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76"/>
        </w:trPr>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48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1,954,630</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-822325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approximately $37.6 million of unrecognized pre-tax non-cash compensation expense, comprised of approximately $13.9 million related to restricted stock, $6.3 million related to RSUs, and approximately $17.4 million related to stock options, which the Company expects to recognize over a weighted average period of 1.2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25, 2021, in connection with the IPO, the Company adopted the First Advantage Corporation 2021 Employee Stock Purchase Plan (“ESPP”) that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$0.8 million and $0.4 million for the years ended December 31, 2023 and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Tax Benefits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recognized excess tax benefits of approximately $0.3 million, $0.5 million, and $0.2 million associated with equity award exercises and vesting in its income tax expense for the years ended December 31, 2023, 2022, and 2021, respectively.</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5" w:right="4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11. Defined Contribution Plan</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plan that principally consists of a contributory 401(k) savings plan. The Company makes discretionary matching contributions to the 401(k) savings plan based on a percentage of employee contributions. The expense recognized related to the Company’s contributions to the 401(k) savings plan for the years ended December 31, 2023, 2022, and 2021 was approximately $1.2 million, $1.3 million, and $1.2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25, 2021, the Company completed its IPO of 29,325,000 shares of the Company common stock, $0.001 par value per share at an offering price of $15.00 per share, pursuant to the Company’s IPO Registration Statement. The Company sold 22,856,250 shares, including 2,981,250 shares that were sold pursuant to the full exercise of the underwriters’ option to purchase additional shares. Certain existing stockholders sold an aggregate of 6,468,750 shares, including 843,750 shares that were sold pursuant to the full exercise of the underwriters’ option to purchase additional shares. The Company received aggregate net proceeds of $316.5 million after deducting underwriting discounts and commissions of $22.3 million and other offering costs of $4.0 million.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$0.001 par value per share and 250,000,000 shares of Preferred Stock, par value $0.001 per share. After filing the Amended and Restated Certificate of Incorporation, certain redemptions, exchanges, and conversions were made in connection with the dissolution of Fastball Holdco, L.P., the Company’s parent, which occurred prior to the completion of the IPO.</w:t>
      </w:r>
    </w:p>
    <w:p>
      <w:pPr>
        <w:spacing w:after="0" w:line="12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November 15, 2021, the Company completed a follow-on offering (“November 2021 Follow-On”) where certain existing stockholders sold an aggregate of 15,000,000 shares, plus an additional 2,250,000 shares that were sold pursuant to the full exercise of the underwriters’ option to purchase additional shares. The Company did not sell any shares of its common stock in the November 2021 Follow-On Offering and did not receive any of the proceeds from the sale of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no preferred stock had been issued.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August 2, 2022, the Company’s Board of Directors authorized the repurchase of up to $50.0 million of the Company’s common stock over the 12-month period ending August 2, 2023 (the “Repurchase Program”). 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A summary of the stock repurchase activity under the Repurchase Program, is summarized as follows (in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4,372,879</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4,670,975</w:t>
            </w: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13.49</w:t>
            </w:r>
          </w:p>
        </w:tc>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12.94</w:t>
            </w: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recorded to accumulated deficit</w:t>
            </w:r>
          </w:p>
        </w:tc>
        <w:tc>
          <w:tcPr>
            <w:tcW w:w="1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repurchase costs</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58,903</w:t>
            </w:r>
          </w:p>
        </w:tc>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60,438</w:t>
            </w:r>
          </w:p>
        </w:tc>
      </w:tr>
      <w:tr>
        <w:trPr>
          <w:trHeight w:val="247"/>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associated costs</w:t>
            </w:r>
          </w:p>
        </w:tc>
        <w:tc>
          <w:tcPr>
            <w:tcW w:w="1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recorded to accumulated deficit</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59,475</w:t>
            </w:r>
          </w:p>
        </w:tc>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60,530</w:t>
            </w:r>
          </w:p>
        </w:tc>
      </w:tr>
      <w:tr>
        <w:trPr>
          <w:trHeight w:val="20"/>
        </w:trPr>
        <w:tc>
          <w:tcPr>
            <w:tcW w:w="6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2023, the remaining authorized value of shares available to be repurchased under the Repurchase Program was approximately $80.5 million.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Repurchased shares of common stock are retired. The par value of repurchased shares is deducted from common stock and the excess repurchase price over par value is reflected as a reduction to accumulated deficit. Additional associated costs include the related brokerage commissions and excise taxes on share repurchases.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An aggregate cash dividend of $217.7 million was paid on August 31, 2023. Dividends accrued for unvested RSUs are contingent and payable upon vesting of the underlying award. The Company recorded dividend related liabilities of $0.2 million and $0.4 million in accrued liabilities and other liabilities, respectively, in the accompanying consolidated balance sheets as of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from time to time in the ordinary course of business. At times, the Company, given the nature of its background screening business, could become subject to lawsuits, or potential class action lawsuits, in multiple jurisdictions, related to claims brought primarily by consumers or individuals who were the subject of its screening services.</w:t>
      </w:r>
    </w:p>
    <w:p>
      <w:pPr>
        <w:spacing w:after="0" w:line="12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For all pending matters, the Company believes it has meritorious defenses and intends to defend vigorously or otherwise seek indemnification from other parties as appropriate. However, the Company has recorded a liability of $5.2 million and $4.4 million at December 31, 2023 and 2022, respectively, for matters that it believes a loss is both probable and estimable. This is included in accrued liabilities in the accompanying consolidated balance sheets as of December 31, 2023 and 2022, respectively.</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2014 and September 2015, two separate class action cases were filed against the Company in the State of California. The two cases were coordinated together under a single judge and a single settlement agreement for both cases as coordinated together was approved by the court in December 2021. As a result, the Company recorded a total liability of $5.5 million for this settlement agreement at December 31, 2021. This liability represented the settlement amount and related class action administrative fees, less certain payments made in December 2021. The remaining settlement amount was paid in February 2022.</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Additionally, the Company maintains liability insurance programs to manage its litigation risks and the Company’s insurers had agreed to a single deductible to be applied to the two cases. As a result, the Company recorded a total insurance receivable of $2.1 million for this settlement agreement at December 31, 2021, which represented the portion of the legal settlement and legal fees incurred by the Company which were recovered from the Company’s insurers in March 2022.</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office facilities and equipment. Certain of our leases include rental payments that will adjust periodically for inflation or certain adjustments based on step increases. An insignificant number of our leases contain residual value guarantees and none of our agreements contain material restrictive covenants. Variable rent expenses consist primarily of maintenance, property taxes, and charges based on usage.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rents or subleases certain real estate to third parties. The Company’s sublease portfolio consists of operating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are as follows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1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r>
      <w:tr>
        <w:trPr>
          <w:trHeight w:val="239"/>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Fixed</w:t>
            </w: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5,330</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7,102</w:t>
            </w:r>
          </w:p>
        </w:tc>
      </w:tr>
      <w:tr>
        <w:trPr>
          <w:trHeight w:val="247"/>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r>
      <w:tr>
        <w:trPr>
          <w:trHeight w:val="239"/>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Variable</w:t>
            </w:r>
          </w:p>
        </w:tc>
        <w:tc>
          <w:tcPr>
            <w:tcW w:w="12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r>
      <w:tr>
        <w:trPr>
          <w:trHeight w:val="247"/>
        </w:trPr>
        <w:tc>
          <w:tcPr>
            <w:tcW w:w="5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Sub-leases</w:t>
            </w:r>
          </w:p>
        </w:tc>
        <w:tc>
          <w:tcPr>
            <w:tcW w:w="1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5,648</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7,321</w:t>
            </w:r>
          </w:p>
        </w:tc>
      </w:tr>
      <w:tr>
        <w:trPr>
          <w:trHeight w:val="237"/>
        </w:trPr>
        <w:tc>
          <w:tcPr>
            <w:tcW w:w="570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7"/>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260" w:type="dxa"/>
            <w:vAlign w:val="bottom"/>
            <w:shd w:val="clear" w:color="auto" w:fill="CFF0FC"/>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88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713</w:t>
            </w:r>
          </w:p>
        </w:tc>
      </w:tr>
      <w:tr>
        <w:trPr>
          <w:trHeight w:val="243"/>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1260" w:type="dxa"/>
            <w:vAlign w:val="bottom"/>
            <w:tcBorders>
              <w:bottom w:val="single" w:sz="8" w:color="auto"/>
            </w:tcBorders>
            <w:shd w:val="clear" w:color="auto" w:fill="CFF0FC"/>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r>
      <w:tr>
        <w:trPr>
          <w:trHeight w:val="237"/>
        </w:trPr>
        <w:tc>
          <w:tcPr>
            <w:tcW w:w="5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lease cost</w:t>
            </w: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5,728</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8,063</w:t>
            </w:r>
          </w:p>
        </w:tc>
      </w:tr>
      <w:tr>
        <w:trPr>
          <w:trHeight w:val="20"/>
        </w:trPr>
        <w:tc>
          <w:tcPr>
            <w:tcW w:w="5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-1139190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-187960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3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7,277</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10,674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5,860</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5,094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(5,860 )</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assets</w:t>
            </w: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7,277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10,751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3,354</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4,957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3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5,931</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7,879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liabilities</w:t>
            </w: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9,285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12,836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finance liabilities</w:t>
            </w:r>
          </w:p>
        </w:tc>
        <w:tc>
          <w:tcPr>
            <w:tcW w:w="3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lease liabilities</w:t>
            </w: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9,285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12,940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8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8"/>
                <w:szCs w:val="18"/>
                <w:color w:val="auto"/>
              </w:rPr>
              <w:t>F-30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-2553970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-1593850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-950595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Maturities of lease liabilities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0" w:type="dxa"/>
            <w:vAlign w:val="bottom"/>
          </w:tcPr>
          <w:p>
            <w:pPr>
              <w:spacing w:after="0"/>
              <w:rPr>
                <w:sz w:val="15"/>
                <w:szCs w:val="15"/>
                <w:color w:val="auto"/>
              </w:rPr>
            </w:pPr>
          </w:p>
        </w:tc>
      </w:tr>
      <w:tr>
        <w:trPr>
          <w:trHeight w:val="243"/>
        </w:trPr>
        <w:tc>
          <w:tcPr>
            <w:tcW w:w="580" w:type="dxa"/>
            <w:vAlign w:val="bottom"/>
          </w:tcPr>
          <w:p>
            <w:pPr>
              <w:spacing w:after="0"/>
              <w:rPr>
                <w:sz w:val="21"/>
                <w:szCs w:val="2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3,844</w:t>
            </w:r>
          </w:p>
        </w:tc>
        <w:tc>
          <w:tcPr>
            <w:tcW w:w="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2,659</w:t>
            </w:r>
          </w:p>
        </w:tc>
        <w:tc>
          <w:tcPr>
            <w:tcW w:w="60" w:type="dxa"/>
            <w:vAlign w:val="bottom"/>
          </w:tcPr>
          <w:p>
            <w:pPr>
              <w:spacing w:after="0"/>
              <w:rPr>
                <w:sz w:val="20"/>
                <w:szCs w:val="20"/>
                <w:color w:val="auto"/>
              </w:rPr>
            </w:pPr>
          </w:p>
        </w:tc>
      </w:tr>
      <w:tr>
        <w:trPr>
          <w:trHeight w:val="252"/>
        </w:trPr>
        <w:tc>
          <w:tcPr>
            <w:tcW w:w="580" w:type="dxa"/>
            <w:vAlign w:val="bottom"/>
          </w:tcPr>
          <w:p>
            <w:pPr>
              <w:spacing w:after="0"/>
              <w:rPr>
                <w:sz w:val="21"/>
                <w:szCs w:val="2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1,903</w:t>
            </w:r>
          </w:p>
        </w:tc>
        <w:tc>
          <w:tcPr>
            <w:tcW w:w="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873</w:t>
            </w:r>
          </w:p>
        </w:tc>
        <w:tc>
          <w:tcPr>
            <w:tcW w:w="60" w:type="dxa"/>
            <w:vAlign w:val="bottom"/>
          </w:tcPr>
          <w:p>
            <w:pPr>
              <w:spacing w:after="0"/>
              <w:rPr>
                <w:sz w:val="20"/>
                <w:szCs w:val="20"/>
                <w:color w:val="auto"/>
              </w:rPr>
            </w:pPr>
          </w:p>
        </w:tc>
      </w:tr>
      <w:tr>
        <w:trPr>
          <w:trHeight w:val="252"/>
        </w:trPr>
        <w:tc>
          <w:tcPr>
            <w:tcW w:w="580" w:type="dxa"/>
            <w:vAlign w:val="bottom"/>
          </w:tcPr>
          <w:p>
            <w:pPr>
              <w:spacing w:after="0"/>
              <w:rPr>
                <w:sz w:val="21"/>
                <w:szCs w:val="21"/>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909</w:t>
            </w:r>
          </w:p>
        </w:tc>
        <w:tc>
          <w:tcPr>
            <w:tcW w:w="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6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11,003</w:t>
            </w:r>
          </w:p>
        </w:tc>
        <w:tc>
          <w:tcPr>
            <w:tcW w:w="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(1,473 )</w:t>
            </w:r>
          </w:p>
        </w:tc>
        <w:tc>
          <w:tcPr>
            <w:tcW w:w="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69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9,530</w:t>
            </w:r>
          </w:p>
        </w:tc>
        <w:tc>
          <w:tcPr>
            <w:tcW w:w="60" w:type="dxa"/>
            <w:vAlign w:val="bottom"/>
          </w:tcPr>
          <w:p>
            <w:pPr>
              <w:spacing w:after="0"/>
              <w:rPr>
                <w:sz w:val="24"/>
                <w:szCs w:val="24"/>
                <w:color w:val="auto"/>
              </w:rPr>
            </w:pPr>
          </w:p>
        </w:tc>
      </w:tr>
      <w:tr>
        <w:trPr>
          <w:trHeight w:val="359"/>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term and discount rates are as follows: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 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 Years</w:t>
            </w:r>
          </w:p>
        </w:tc>
        <w:tc>
          <w:tcPr>
            <w:tcW w:w="60" w:type="dxa"/>
            <w:vAlign w:val="bottom"/>
          </w:tcPr>
          <w:p>
            <w:pPr>
              <w:spacing w:after="0"/>
              <w:rPr>
                <w:sz w:val="20"/>
                <w:szCs w:val="20"/>
                <w:color w:val="auto"/>
              </w:rPr>
            </w:pPr>
          </w:p>
        </w:tc>
      </w:tr>
      <w:tr>
        <w:trPr>
          <w:trHeight w:val="252"/>
        </w:trPr>
        <w:tc>
          <w:tcPr>
            <w:tcW w:w="580" w:type="dxa"/>
            <w:vAlign w:val="bottom"/>
          </w:tcPr>
          <w:p>
            <w:pPr>
              <w:spacing w:after="0"/>
              <w:rPr>
                <w:sz w:val="21"/>
                <w:szCs w:val="21"/>
                <w:color w:val="auto"/>
              </w:rPr>
            </w:pPr>
          </w:p>
        </w:tc>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 Years</w:t>
            </w:r>
          </w:p>
        </w:tc>
        <w:tc>
          <w:tcPr>
            <w:tcW w:w="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5.06 %</w:t>
            </w:r>
          </w:p>
        </w:tc>
      </w:tr>
      <w:tr>
        <w:trPr>
          <w:trHeight w:val="238"/>
        </w:trPr>
        <w:tc>
          <w:tcPr>
            <w:tcW w:w="58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5.72 %</w:t>
            </w:r>
          </w:p>
        </w:tc>
      </w:tr>
      <w:tr>
        <w:trPr>
          <w:trHeight w:val="392"/>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6,825</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7,738</w:t>
            </w:r>
          </w:p>
        </w:tc>
        <w:tc>
          <w:tcPr>
            <w:tcW w:w="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884</w:t>
            </w:r>
          </w:p>
        </w:tc>
        <w:tc>
          <w:tcPr>
            <w:tcW w:w="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5,084</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19,972</w:t>
            </w:r>
          </w:p>
        </w:tc>
        <w:tc>
          <w:tcPr>
            <w:tcW w:w="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17"/>
        </w:trPr>
        <w:tc>
          <w:tcPr>
            <w:tcW w:w="580" w:type="dxa"/>
            <w:vAlign w:val="bottom"/>
          </w:tcPr>
          <w:p>
            <w:pPr>
              <w:spacing w:after="0"/>
              <w:rPr>
                <w:sz w:val="24"/>
                <w:szCs w:val="24"/>
                <w:color w:val="auto"/>
              </w:rPr>
            </w:pPr>
          </w:p>
        </w:tc>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Amortization of right-of-use operating lease assets </w:t>
            </w:r>
            <w:r>
              <w:rPr>
                <w:rFonts w:ascii="Times New Roman" w:cs="Times New Roman" w:eastAsia="Times New Roman" w:hAnsi="Times New Roman"/>
                <w:sz w:val="24"/>
                <w:szCs w:val="24"/>
                <w:color w:val="auto"/>
                <w:vertAlign w:val="superscript"/>
              </w:rPr>
              <w:t>(1)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4,766</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6,343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-2069465</wp:posOffset>
            </wp:positionV>
            <wp:extent cx="641223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4"/>
          <w:szCs w:val="14"/>
          <w:color w:val="auto"/>
        </w:rPr>
        <w:t>(1) Amortization of right of use operating lease assets during the period is reflected in operating lease liabilities on the consolidated statements of cash flows.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under fixed operating leases was $6.1 million for the year ended December 31,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related party transactions.</w:t>
      </w:r>
    </w:p>
    <w:p>
      <w:pPr>
        <w:spacing w:after="0" w:line="17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47" w:right="8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16. Net Income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6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0.43</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0.11</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0.11</w:t>
            </w: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37,293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64,604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16,051</w:t>
            </w: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4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144,083,808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150,227,213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140,480,590</w:t>
            </w: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options and restricted stock units to purchase units</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2,142,288</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1,579,927</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1,206,794</w:t>
            </w: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4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146,226,096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151,807,139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141,687,384</w:t>
            </w:r>
          </w:p>
        </w:tc>
      </w:tr>
    </w:tbl>
    <w:p>
      <w:pPr>
        <w:spacing w:after="0" w:line="15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4,725,584, 2,669,162, and 14,488 stock options and RSUs, respectively, were excluded from the calculation of diluted net income per share because their effect was anti-dilutive.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Reportable Segments</w:t>
      </w:r>
    </w:p>
    <w:p>
      <w:pPr>
        <w:spacing w:after="0" w:line="17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have two reportable segments, Americas and International. Our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CODM also uses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The CODM does not review the Company’s assets by segment; therefore, such information is not presented. The accounting policies of the segments are the same as described in Note 2, “Summary of Significant Accounting Policies” and Note 9,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two reportable segments:</w:t>
      </w:r>
    </w:p>
    <w:p>
      <w:pPr>
        <w:spacing w:after="0" w:line="167" w:lineRule="exact"/>
        <w:rPr>
          <w:sz w:val="20"/>
          <w:szCs w:val="20"/>
          <w:color w:val="auto"/>
        </w:rPr>
      </w:pPr>
    </w:p>
    <w:p>
      <w:pPr>
        <w:ind w:left="5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Americas. </w:t>
      </w:r>
      <w:r>
        <w:rPr>
          <w:rFonts w:ascii="Times New Roman" w:cs="Times New Roman" w:eastAsia="Times New Roman" w:hAnsi="Times New Roman"/>
          <w:sz w:val="18"/>
          <w:szCs w:val="18"/>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 markets.</w:t>
      </w:r>
    </w:p>
    <w:p>
      <w:pPr>
        <w:spacing w:after="0" w:line="122" w:lineRule="exact"/>
        <w:rPr>
          <w:sz w:val="20"/>
          <w:szCs w:val="20"/>
          <w:color w:val="auto"/>
        </w:rPr>
      </w:pPr>
    </w:p>
    <w:p>
      <w:pPr>
        <w:ind w:left="5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The International segment provides services similar to our Americas segment in regions outside of the Americas. We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our solutions across multiple industry verticals in the Europe, India, and Asia Pacific markets.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A reconciliation of Segment Adjusted EBITDA to net income for the years ended December 31, 2023, 2022, and 2021 is as follows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221,645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221,655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198,473</w:t>
            </w:r>
          </w:p>
        </w:tc>
      </w:tr>
      <w:tr>
        <w:trPr>
          <w:trHeight w:val="247"/>
        </w:trPr>
        <w:tc>
          <w:tcPr>
            <w:tcW w:w="51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15,911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27,255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27,821</w:t>
            </w:r>
          </w:p>
        </w:tc>
      </w:tr>
      <w:tr>
        <w:trPr>
          <w:trHeight w:val="23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237,556</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248,910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226,294</w:t>
            </w: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to net income:</w:t>
            </w:r>
          </w:p>
        </w:tc>
        <w:tc>
          <w:tcPr>
            <w:tcW w:w="9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24,972</w:t>
            </w:r>
          </w:p>
        </w:tc>
      </w:tr>
      <w:tr>
        <w:trPr>
          <w:trHeight w:val="247"/>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20,475</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8,862</w:t>
            </w:r>
          </w:p>
        </w:tc>
      </w:tr>
      <w:tr>
        <w:trPr>
          <w:trHeight w:val="23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129,473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138,246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142,815</w:t>
            </w:r>
          </w:p>
        </w:tc>
      </w:tr>
      <w:tr>
        <w:trPr>
          <w:trHeight w:val="247"/>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13,938</w:t>
            </w:r>
          </w:p>
        </w:tc>
      </w:tr>
      <w:tr>
        <w:trPr>
          <w:trHeight w:val="23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9,530</w:t>
            </w:r>
          </w:p>
        </w:tc>
      </w:tr>
      <w:tr>
        <w:trPr>
          <w:trHeight w:val="247"/>
        </w:trPr>
        <w:tc>
          <w:tcPr>
            <w:tcW w:w="5100" w:type="dxa"/>
            <w:vAlign w:val="bottom"/>
            <w:shd w:val="clear" w:color="auto" w:fill="CFF0FC"/>
          </w:tcPr>
          <w:p>
            <w:pPr>
              <w:ind w:left="100"/>
              <w:spacing w:after="0" w:line="248" w:lineRule="exact"/>
              <w:rPr>
                <w:sz w:val="20"/>
                <w:szCs w:val="20"/>
                <w:color w:val="auto"/>
              </w:rPr>
            </w:pPr>
            <w:r>
              <w:rPr>
                <w:rFonts w:ascii="Times New Roman" w:cs="Times New Roman" w:eastAsia="Times New Roman" w:hAnsi="Times New Roman"/>
                <w:sz w:val="18"/>
                <w:szCs w:val="18"/>
                <w:color w:val="auto"/>
              </w:rPr>
              <w:t xml:space="preserve">Transaction and acquisition-related charges </w:t>
            </w:r>
            <w:r>
              <w:rPr>
                <w:rFonts w:ascii="Times New Roman" w:cs="Times New Roman" w:eastAsia="Times New Roman" w:hAnsi="Times New Roman"/>
                <w:sz w:val="24"/>
                <w:szCs w:val="24"/>
                <w:color w:val="auto"/>
                <w:vertAlign w:val="superscript"/>
              </w:rPr>
              <w:t>(a)</w:t>
            </w:r>
          </w:p>
        </w:tc>
        <w:tc>
          <w:tcPr>
            <w:tcW w:w="9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9,314</w:t>
            </w:r>
          </w:p>
        </w:tc>
      </w:tr>
      <w:tr>
        <w:trPr>
          <w:trHeight w:val="243"/>
        </w:trPr>
        <w:tc>
          <w:tcPr>
            <w:tcW w:w="510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Integration, restructuring, and other charges </w:t>
            </w:r>
            <w:r>
              <w:rPr>
                <w:rFonts w:ascii="Times New Roman" w:cs="Times New Roman" w:eastAsia="Times New Roman" w:hAnsi="Times New Roman"/>
                <w:sz w:val="24"/>
                <w:szCs w:val="24"/>
                <w:color w:val="auto"/>
                <w:vertAlign w:val="superscript"/>
              </w:rPr>
              <w:t>(b)</w:t>
            </w:r>
          </w:p>
        </w:tc>
        <w:tc>
          <w:tcPr>
            <w:tcW w:w="9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812</w:t>
            </w:r>
          </w:p>
        </w:tc>
      </w:tr>
      <w:tr>
        <w:trPr>
          <w:trHeight w:val="277"/>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37,293</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64,604</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-1585595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-1585595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740" w:right="80" w:hanging="223"/>
        <w:spacing w:after="0"/>
        <w:tabs>
          <w:tab w:leader="none" w:pos="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Also includes incremental professional service fees incurred related to the initial public offering, subsequent one-time compliance efforts, and the registered common stock offering by certain selling stockholders in November 2021. The years ended December 31, 2022 and 2021 include a transaction bonus expense related to one of the Company’s 2021 acquisitions.</w:t>
      </w:r>
    </w:p>
    <w:p>
      <w:pPr>
        <w:spacing w:after="0" w:line="127" w:lineRule="exact"/>
        <w:rPr>
          <w:rFonts w:ascii="Times New Roman" w:cs="Times New Roman" w:eastAsia="Times New Roman" w:hAnsi="Times New Roman"/>
          <w:sz w:val="14"/>
          <w:szCs w:val="14"/>
          <w:color w:val="auto"/>
        </w:rPr>
      </w:pPr>
    </w:p>
    <w:p>
      <w:pPr>
        <w:ind w:left="740" w:hanging="223"/>
        <w:spacing w:after="0" w:line="239" w:lineRule="auto"/>
        <w:tabs>
          <w:tab w:leader="none" w:pos="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and (gains) losses on the sale of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bases revenues by geographic region in which the revenues and invoicing are recorded. Other than the United States, no single country accounted for 10% or more of our total revenues during these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revenues by geographical region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673,075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694,865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604,413</w:t>
            </w:r>
          </w:p>
        </w:tc>
      </w:tr>
      <w:tr>
        <w:trPr>
          <w:trHeight w:val="247"/>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96,832</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122,599</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114,009</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9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(6,127 )</w:t>
            </w:r>
          </w:p>
        </w:tc>
      </w:tr>
      <w:tr>
        <w:trPr>
          <w:trHeight w:val="277"/>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763,761</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810,023</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712,295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long-lived assets by geographic area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assets, net</w:t>
            </w:r>
          </w:p>
        </w:tc>
        <w:tc>
          <w:tcPr>
            <w:tcW w:w="3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country of domicile</w:t>
            </w:r>
          </w:p>
        </w:tc>
        <w:tc>
          <w:tcPr>
            <w:tcW w:w="3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1,083,318</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1,134,201</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All other countries</w:t>
            </w:r>
          </w:p>
        </w:tc>
        <w:tc>
          <w:tcPr>
            <w:tcW w:w="3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168,068</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180,258</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3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1,251,386</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1,314,459</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7"/>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58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F-33</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-959485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 The Merger Agreement provides that, upon the terms and subject to the conditions set forth therein, Merger Sub will be merged with and into Sterling, with Sterling continuing as the surviving corporation in such merger and becoming an indirect, wholly owned subsidiary of First Advantage. The cash-and-stock transaction (the “Acquisition”) values Sterling at approximately $2.2 billion.</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First Advantage Holdings, LLC, a subsidiary of the Company (the “Borrower”), entered into a commitment letter with certain financial institutions that committed to provide, subject to the terms and conditions of the commitment letter, an incremental term loan in an aggregate principal amount of $1.820 billion and incremental revolving commitments in an aggregate principal amount of $150 million, in each case, under the Borrower’s existing credit agreement. Such financial institutions also agreed to extend the maturity date of the Borrower’s revolving credit facility from July 31, 2026 to the date that is the fifth anniversary of the closing date of the Acquisition.</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Acquisition is subject to satisfaction or waiver of customary closing conditions, including, among others, adoption of the Merger Agreement by Sterling stockholders, the expiration or termination of the waiting period under the Hart-Scott-Rodino Antitrust Improvement Act of 1976 (the “HSR Act”) and clearance under the antitrust or foreign direct investment laws of certain other jurisdictions, and the effectiveness of a registration statement on Form S-4 to be filed by First Advantage in connection with the Acquisition.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Note 19. Condensed Financial Information of Registrant</w:t>
      </w:r>
    </w:p>
    <w:p>
      <w:pPr>
        <w:spacing w:after="0" w:line="1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872,206</w:t>
            </w:r>
          </w:p>
        </w:tc>
        <w:tc>
          <w:tcPr>
            <w:tcW w:w="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1,107,356</w:t>
            </w: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spacing w:after="0"/>
              <w:rPr>
                <w:sz w:val="20"/>
                <w:szCs w:val="20"/>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6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$0.001 par value; 1,000,000,000 shares authorized, 145,074,802 and</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148,732,603 shares issued and outstanding as of December 31, 2023 and 2022, respectively</w:t>
            </w:r>
          </w:p>
        </w:tc>
        <w:tc>
          <w:tcPr>
            <w:tcW w:w="9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9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942,763</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1,156,901</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9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(49,545 )</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(27,363 )</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(21,157 )</w:t>
            </w:r>
          </w:p>
        </w:tc>
        <w:tc>
          <w:tcPr>
            <w:tcW w:w="1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(22,331 )</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9"/>
              </w:rPr>
              <w:t>872,206</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1,107,356</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6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872,206</w:t>
            </w:r>
          </w:p>
        </w:tc>
        <w:tc>
          <w:tcPr>
            <w:tcW w:w="1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1,107,356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-1430655</wp:posOffset>
            </wp:positionV>
            <wp:extent cx="111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-350520</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 is an integral part of these condensed financial statements.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2"/>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net income of subsidiaries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37,293</w:t>
            </w:r>
          </w:p>
        </w:tc>
        <w:tc>
          <w:tcPr>
            <w:tcW w:w="6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64,604</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16,051</w:t>
            </w:r>
          </w:p>
        </w:tc>
      </w:tr>
      <w:tr>
        <w:trPr>
          <w:trHeight w:val="239"/>
        </w:trPr>
        <w:tc>
          <w:tcPr>
            <w:tcW w:w="5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37,293</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64,604</w:t>
            </w:r>
          </w:p>
        </w:tc>
        <w:tc>
          <w:tcPr>
            <w:tcW w:w="10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16,051</w:t>
            </w:r>
          </w:p>
        </w:tc>
      </w:tr>
      <w:tr>
        <w:trPr>
          <w:trHeight w:val="234"/>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(20,694 )</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(4,121 )</w:t>
            </w: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38,467</w:t>
            </w: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43,910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11,930</w:t>
            </w:r>
          </w:p>
        </w:tc>
      </w:tr>
      <w:tr>
        <w:trPr>
          <w:trHeight w:val="239"/>
        </w:trPr>
        <w:tc>
          <w:tcPr>
            <w:tcW w:w="55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r>
      <w:tr>
        <w:trPr>
          <w:trHeight w:val="24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37,293</w:t>
            </w: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64,604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16,051</w:t>
            </w:r>
          </w:p>
        </w:tc>
      </w:tr>
      <w:tr>
        <w:trPr>
          <w:trHeight w:val="24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4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144,083,808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150,227,213</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140,480,590</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146,226,096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151,807,139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141,687,384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-1416685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-1416685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-1090930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-1090930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statement of cash flows has not been presented as First Advantage Corporation (parent company) did not have any cash as of, or at any point in time during, the years ended December 31, 2023, 2022 or 2021.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 is an integral part of these condensed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 to Condensed Financial Statements of Registrant (Parent Company Only)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Fastball Intermediate, Inc. was formed on November 15, 2019. In March 2021, Fastball Intermediate, Inc. changed its name to First Advantage Corporation.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condensed parent company-only financial statements have been prepared in accordance with Rule 12-04, Schedule I of Regulation S-X, as the restricted net assets of the subsidiaries of First Advantage Corporation (as defined in Rule 4-08(e)(3) of Regulation S-X) exceed the specified threshold amount of the consolidated net assets of the Company. Because we have a consolidated accumulated deficit, the 25% threshold described in Rule 4-08 does not apply and any restrictions of net assets at our subsidiaries trigger the requirement to present parent company-only financial information. The ability of First Advantage Corporation’s operating subsidiaries to pay dividends may be restricted due to the terms of the subsidiaries’ outstanding term loan and revolving credit facility borrowings under the Credit Agreements, as described in Note 6 to the audited consolidated financial statements.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condensed parent company-only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parent company-only financial statements should be read in conjunction with the consolidated financial statements and related notes thereto included elsewhere in this Annual Report.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5" w:lineRule="exact"/>
        <w:rPr>
          <w:sz w:val="20"/>
          <w:szCs w:val="20"/>
          <w:color w:val="auto"/>
        </w:rPr>
      </w:pPr>
    </w:p>
    <w:p>
      <w:pPr>
        <w:ind w:firstLine="374"/>
        <w:spacing w:after="0" w:line="286" w:lineRule="auto"/>
        <w:rPr>
          <w:sz w:val="20"/>
          <w:szCs w:val="20"/>
          <w:color w:val="auto"/>
        </w:rPr>
      </w:pPr>
      <w:r>
        <w:rPr>
          <w:rFonts w:ascii="Times New Roman" w:cs="Times New Roman" w:eastAsia="Times New Roman" w:hAnsi="Times New Roman"/>
          <w:sz w:val="18"/>
          <w:szCs w:val="18"/>
          <w:color w:val="auto"/>
        </w:rPr>
        <w:t>This Indemnification Agreement is effective as of [●], 202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is between First Advantage Corporation,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undersigned director/officer of the Company (the “</w:t>
      </w:r>
      <w:r>
        <w:rPr>
          <w:rFonts w:ascii="Times New Roman" w:cs="Times New Roman" w:eastAsia="Times New Roman" w:hAnsi="Times New Roman"/>
          <w:sz w:val="18"/>
          <w:szCs w:val="18"/>
          <w:b w:val="1"/>
          <w:bCs w:val="1"/>
          <w:u w:val="single" w:color="auto"/>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76"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 desires and has requested Indemnitee to serve as a director and/or officer of the Company and, in order to induce the Indemnitee to serve in such capacity, the Company is willing to grant the Indemnitee the indemnification provided for herein. Indemnitee is willing to so serve on the basis that such indemnification be provided.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parties by this Agreement desire to set forth their agreement regarding indemnification and the advancement of expenses.</w:t>
      </w:r>
    </w:p>
    <w:p>
      <w:pPr>
        <w:spacing w:after="0" w:line="225" w:lineRule="exact"/>
        <w:rPr>
          <w:sz w:val="20"/>
          <w:szCs w:val="20"/>
          <w:color w:val="auto"/>
        </w:rPr>
      </w:pPr>
    </w:p>
    <w:p>
      <w:pPr>
        <w:ind w:right="460" w:firstLine="749"/>
        <w:spacing w:after="0" w:line="312" w:lineRule="auto"/>
        <w:rPr>
          <w:sz w:val="20"/>
          <w:szCs w:val="20"/>
          <w:color w:val="auto"/>
        </w:rPr>
      </w:pPr>
      <w:r>
        <w:rPr>
          <w:rFonts w:ascii="Times New Roman" w:cs="Times New Roman" w:eastAsia="Times New Roman" w:hAnsi="Times New Roman"/>
          <w:sz w:val="17"/>
          <w:szCs w:val="17"/>
          <w:color w:val="auto"/>
        </w:rPr>
        <w:t>In consideration of Indemnitee’s service to the Company, the covenants and agreements set forth below and for other good and valuable consideration, the receipt and adequacy of which are hereby acknowledged, the parties hereto, intending to be legally bound, hereby agree as follows:</w:t>
      </w:r>
    </w:p>
    <w:p>
      <w:pPr>
        <w:spacing w:after="0" w:line="136"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Section 1.</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the fullest extent permitted by the General Corporation Law of the State of Delaware (the “</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757"/>
        <w:spacing w:after="0" w:line="255" w:lineRule="auto"/>
        <w:tabs>
          <w:tab w:leader="none" w:pos="10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if Indemnitee was or is made or is threatened to be made a party to, or is otherwise involved in, as a witness or otherwise, any threatened, pending or completed action, suit or proceeding (brought in the right of the Company or otherwise), whether civil, criminal, administrative or investigative and whether formal or informal, including appeals, by reason of the fact that Indemnitee is or was or has agreed to serve as a director or officer,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in any such capacity.</w:t>
      </w:r>
    </w:p>
    <w:p>
      <w:pPr>
        <w:spacing w:after="0" w:line="188" w:lineRule="exact"/>
        <w:rPr>
          <w:rFonts w:ascii="Times New Roman" w:cs="Times New Roman" w:eastAsia="Times New Roman" w:hAnsi="Times New Roman"/>
          <w:sz w:val="18"/>
          <w:szCs w:val="18"/>
          <w:color w:val="auto"/>
        </w:rPr>
      </w:pPr>
    </w:p>
    <w:p>
      <w:pPr>
        <w:ind w:right="140" w:firstLine="757"/>
        <w:spacing w:after="0" w:line="266" w:lineRule="auto"/>
        <w:tabs>
          <w:tab w:leader="none" w:pos="10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be from and against all loss and liability suffered and expenses (including attorneys’ fees), judgments, fines and amounts paid in settlement actually and reasonably incurred by or on behalf of Indemnitee in connection with such action, suit or proceeding, including any appeals.</w:t>
      </w:r>
    </w:p>
    <w:p>
      <w:pPr>
        <w:spacing w:after="0" w:line="17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2. Advance Payment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the DGCL, expenses (including attorneys’ fees) incurred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 in appearing at, participating in or defending any action, suit or proceeding or in connection with an enforcement action as contemplated by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shall be paid by the Company in advance of the final disposition of such action, suit or proceeding within 30 days after receipt by the Company of a statement or statements from Indemnitee requesting such advance or advances from time to time. The Indemnitee hereby undertakes to repay any amounts advanced (without interest) to the extent that it is ultimately determined that Indemnitee is not entitled under this Agreement to be indemnified by the Company in respect thereof. No other form of undertaking shall be required of Indemnitee other than the execution of this Agreement.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and shall not apply to any claim made by Indemnitee for which indemnity is excluded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Procedure for Indemnification; Notification and Defense of Claim.</w:t>
      </w:r>
    </w:p>
    <w:p>
      <w:pPr>
        <w:spacing w:after="0" w:line="229" w:lineRule="exact"/>
        <w:rPr>
          <w:sz w:val="20"/>
          <w:szCs w:val="20"/>
          <w:color w:val="auto"/>
        </w:rPr>
      </w:pPr>
    </w:p>
    <w:p>
      <w:pPr>
        <w:ind w:right="60" w:firstLine="757"/>
        <w:spacing w:after="0" w:line="255" w:lineRule="auto"/>
        <w:tabs>
          <w:tab w:leader="none" w:pos="10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Indemnitee of notice of the commencement of any action, suit or proceeding, Indemnitee shall, if a claim in respect thereof is to be made against the Company hereunder, notify the Company in writing of the commencement thereof. The failure to promptly notify the Company of the commencement of the action, suit or proceeding, or of Indemnitee’s request for indemnification, will not relieve the Company from any liability that it may have to Indemnitee hereunder, except to the extent the Company is actually and materially prejudiced in its defense of such action, suit or proceeding as a result of such failure. To obtain indemnification under this Agreement, Indemnitee shall submit to the Company a written request therefor including such documentation and information as is reasonably available to Indemnitee and is reasonably necessary to enable the Company to determine whether and to what extent Indemnitee is entitled to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8" w:name="page109"/>
    <w:bookmarkEnd w:id="108"/>
    <w:p>
      <w:pPr>
        <w:ind w:left="-40" w:firstLine="757"/>
        <w:spacing w:after="0" w:line="253" w:lineRule="auto"/>
        <w:tabs>
          <w:tab w:leader="none" w:pos="9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action, suit or proceeding of which the Company is so notified as provided in this Agreement, the Company shall, subject to the last two sentences of this paragraph,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subsequently-incurred fees of separate counsel engaged by Indemnitee with respect to the same action, suit or proceeding unless the employment of separate counsel by Indemnitee has been previously authorized in writing by the Company. Notwithstanding the foregoing, if Indemnitee, based on the advice of his or her counsel, shall have reasonably concluded (with written notice being given to the Company setting forth the basis for such conclusion) that, in the conduct of any such defense, there is or is reasonably likely to be a conflict of interest or position between the Company and Indemnitee with respect to a significant issue, then the Company will not be entitled, without the written consent of Indemnitee, to assume such defense. In addition, the Company will not be entitled, without the written consent of Indemnitee, to assume the defense of any claim brought by or in the right of the Company.</w:t>
      </w:r>
    </w:p>
    <w:p>
      <w:pPr>
        <w:spacing w:after="0" w:line="194" w:lineRule="exact"/>
        <w:rPr>
          <w:rFonts w:ascii="Times New Roman" w:cs="Times New Roman" w:eastAsia="Times New Roman" w:hAnsi="Times New Roman"/>
          <w:sz w:val="18"/>
          <w:szCs w:val="18"/>
          <w:color w:val="auto"/>
        </w:rPr>
      </w:pPr>
    </w:p>
    <w:p>
      <w:pPr>
        <w:ind w:left="-40" w:right="220" w:firstLine="757"/>
        <w:spacing w:after="0" w:line="261" w:lineRule="auto"/>
        <w:tabs>
          <w:tab w:leader="none" w:pos="9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the DGCL, the Company’s assumption of the defense of an action, suit or proceeding in accordance with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will constitute an irrevocable acknowledgement by the Company that any loss and liability suffered by Indemnitee and expenses (including attorneys’ fees), judgments, fines and amounts paid in settlement by or for the account of Indemnitee incurred in connection therewith are indemnifiable by the Company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w:t>
      </w:r>
    </w:p>
    <w:p>
      <w:pPr>
        <w:spacing w:after="0" w:line="179" w:lineRule="exact"/>
        <w:rPr>
          <w:rFonts w:ascii="Times New Roman" w:cs="Times New Roman" w:eastAsia="Times New Roman" w:hAnsi="Times New Roman"/>
          <w:sz w:val="18"/>
          <w:szCs w:val="18"/>
          <w:color w:val="auto"/>
        </w:rPr>
      </w:pPr>
    </w:p>
    <w:p>
      <w:pPr>
        <w:ind w:left="-40" w:right="100" w:firstLine="757"/>
        <w:spacing w:after="0" w:line="254" w:lineRule="auto"/>
        <w:tabs>
          <w:tab w:leader="none" w:pos="9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determination whether to grant Indemnitee’s indemnification request shall be made promptly and in any event within 30 days following the Company’s receipt of a request for indemnification in accordance with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If the Company determines that Indemnitee is entitled to such indemnification or, as contemplated by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the Company has acknowledged such entitlement, the Company will make payment to Indemnitee of the indemnifiable amount within such 30 day period. If the Company is not deemed to have so acknowledged such entitlement or the Company’s determination of whether to grant Indemnitee’s indemnification request shall not have been made within such 30 day period, the requisite determination of entitlement to indemnification shall,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nonetheless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the DGCL.</w:t>
      </w:r>
    </w:p>
    <w:p>
      <w:pPr>
        <w:spacing w:after="0" w:line="191" w:lineRule="exact"/>
        <w:rPr>
          <w:rFonts w:ascii="Times New Roman" w:cs="Times New Roman" w:eastAsia="Times New Roman" w:hAnsi="Times New Roman"/>
          <w:sz w:val="18"/>
          <w:szCs w:val="18"/>
          <w:color w:val="auto"/>
        </w:rPr>
      </w:pPr>
    </w:p>
    <w:p>
      <w:pPr>
        <w:ind w:left="-40" w:right="20" w:firstLine="757"/>
        <w:spacing w:after="0" w:line="254" w:lineRule="auto"/>
        <w:tabs>
          <w:tab w:leader="none" w:pos="9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the Company determines in accordance with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that Indemnitee is not entitled to indemnification under this Agreement, (ii) the Company denies a request for indemnification, in whole or in part, or fails to respond or make a determination of entitlement to indemnification within 30 days following receipt of a request for indemnification as described above, (iii) payment of indemnification is not made within such 30 day period, (iv) advancement of expenses is not timely made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or (v)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Indemnitee hereunder, Indemnitee shall be entitled to an adjudication in any court of competent jurisdiction of his or her entitlement to such indemnification or advancement of expenses. Indemnitee’s expenses (including attorneys’ fees) incurred in connection with successfully establishing Indemnitee’s right to indemnification or advancement of expenses, in whole or in part, in any such proceeding or otherwise shall also be indemnified by the Company to the fullest extent permitted by the DGCL.</w:t>
      </w:r>
    </w:p>
    <w:p>
      <w:pPr>
        <w:spacing w:after="0" w:line="188" w:lineRule="exact"/>
        <w:rPr>
          <w:rFonts w:ascii="Times New Roman" w:cs="Times New Roman" w:eastAsia="Times New Roman" w:hAnsi="Times New Roman"/>
          <w:sz w:val="18"/>
          <w:szCs w:val="18"/>
          <w:color w:val="auto"/>
        </w:rPr>
      </w:pPr>
    </w:p>
    <w:p>
      <w:pPr>
        <w:ind w:left="-40" w:right="320" w:firstLine="757"/>
        <w:spacing w:after="0" w:line="261" w:lineRule="auto"/>
        <w:tabs>
          <w:tab w:leader="none" w:pos="9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Indemnitee shall be presumed to be entitled to indemnification and advancement of expenses under this Agreement upon submission of a request therefor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as the case may be. The Company shall have the burden of proof in overcoming such presumption, and such presumption shall be used as a basis for a determination of entitlement to indemnification and advancement of expenses unless the Company overcomes such presumption by clear and convincing evidence.</w:t>
      </w:r>
    </w:p>
    <w:p>
      <w:pPr>
        <w:spacing w:after="0" w:line="176" w:lineRule="exact"/>
        <w:rPr>
          <w:sz w:val="20"/>
          <w:szCs w:val="20"/>
          <w:color w:val="auto"/>
        </w:rPr>
      </w:pPr>
    </w:p>
    <w:p>
      <w:pPr>
        <w:ind w:left="340"/>
        <w:spacing w:after="0"/>
        <w:tabs>
          <w:tab w:leader="none" w:pos="1400" w:val="left"/>
        </w:tabs>
        <w:rPr>
          <w:sz w:val="20"/>
          <w:szCs w:val="20"/>
          <w:color w:val="auto"/>
        </w:rPr>
      </w:pPr>
      <w:r>
        <w:rPr>
          <w:rFonts w:ascii="Times New Roman" w:cs="Times New Roman" w:eastAsia="Times New Roman" w:hAnsi="Times New Roman"/>
          <w:sz w:val="18"/>
          <w:szCs w:val="18"/>
          <w:b w:val="1"/>
          <w:bCs w:val="1"/>
          <w:u w:val="single" w:color="auto"/>
          <w:color w:val="auto"/>
        </w:rPr>
        <w:t>Section 4.</w:t>
      </w:r>
      <w:r>
        <w:rPr>
          <w:sz w:val="20"/>
          <w:szCs w:val="20"/>
          <w:color w:val="auto"/>
        </w:rPr>
        <w:tab/>
      </w:r>
      <w:r>
        <w:rPr>
          <w:rFonts w:ascii="Times New Roman" w:cs="Times New Roman" w:eastAsia="Times New Roman" w:hAnsi="Times New Roman"/>
          <w:sz w:val="18"/>
          <w:szCs w:val="18"/>
          <w:b w:val="1"/>
          <w:bCs w:val="1"/>
          <w:u w:val="single" w:color="auto"/>
          <w:color w:val="auto"/>
        </w:rPr>
        <w:t>Change in Control.</w:t>
      </w:r>
    </w:p>
    <w:p>
      <w:pPr>
        <w:spacing w:after="0" w:line="229" w:lineRule="exact"/>
        <w:rPr>
          <w:sz w:val="20"/>
          <w:szCs w:val="20"/>
          <w:color w:val="auto"/>
        </w:rPr>
      </w:pPr>
    </w:p>
    <w:p>
      <w:pPr>
        <w:ind w:left="-40" w:right="160" w:firstLine="757"/>
        <w:spacing w:after="0" w:line="254" w:lineRule="auto"/>
        <w:tabs>
          <w:tab w:leader="none" w:pos="9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there is a Change in Control of the Company, then with respect to all matters thereafter arising concerning the rights of Indemnitee to indemnification and advancement of expenses under this Agreement, any other agreement or the Company’s certificate of incorporation or bylaws now or hereafter in effect, the Company shall seek legal advice only from independent counsel selected by Indemnitee and approved by the Company (which approval shall not be unreasonably withheld). In addition, upon written request by Indemnitee for indemnification pursuant to Section 3(a), a determination, if required by the DGCL, with respect to Indemnitee’s entitlement thereto shall be made by such independent counsel in a written opinion to the board of directors of the Company, a copy of which shall be delivered to Indemnitee. The Company agrees to pay the reasonable fees of the independent counsel referred to above and to indemnify fully such counsel against any and all expenses (including attorney’s fees), claims, liabilities and damages arising out of or relating to this Agreement or its engagement pursuant hereto.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621665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12" w:right="359" w:bottom="1440" w:gutter="0" w:footer="0" w:header="0"/>
        </w:sectPr>
      </w:pPr>
    </w:p>
    <w:bookmarkStart w:id="109" w:name="page110"/>
    <w:bookmarkEnd w:id="109"/>
    <w:p>
      <w:pPr>
        <w:ind w:left="1020" w:hanging="26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4, the following definitions shall apply:</w:t>
      </w:r>
    </w:p>
    <w:p>
      <w:pPr>
        <w:spacing w:after="0" w:line="221" w:lineRule="exact"/>
        <w:rPr>
          <w:rFonts w:ascii="Times New Roman" w:cs="Times New Roman" w:eastAsia="Times New Roman" w:hAnsi="Times New Roman"/>
          <w:sz w:val="18"/>
          <w:szCs w:val="18"/>
          <w:color w:val="auto"/>
        </w:rPr>
      </w:pPr>
    </w:p>
    <w:p>
      <w:pPr>
        <w:ind w:left="1540" w:hanging="484"/>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shall have the meaning ascribed thereto in the First Advantage Corporation 2021 Omnibus Incentive Plan.</w:t>
      </w:r>
    </w:p>
    <w:p>
      <w:pPr>
        <w:spacing w:after="0" w:line="225" w:lineRule="exact"/>
        <w:rPr>
          <w:rFonts w:ascii="Times New Roman" w:cs="Times New Roman" w:eastAsia="Times New Roman" w:hAnsi="Times New Roman"/>
          <w:sz w:val="18"/>
          <w:szCs w:val="18"/>
          <w:color w:val="auto"/>
        </w:rPr>
      </w:pPr>
    </w:p>
    <w:p>
      <w:pPr>
        <w:ind w:left="1060" w:right="60" w:hanging="4"/>
        <w:spacing w:after="0" w:line="257" w:lineRule="auto"/>
        <w:tabs>
          <w:tab w:leader="none" w:pos="153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five years has been, retained to represent: (A) the Company or Indemnitee in any matter material to either such party, or (B) any other party to the action, suit or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2"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Section 5.</w:t>
      </w:r>
      <w:r>
        <w:rPr>
          <w:sz w:val="20"/>
          <w:szCs w:val="20"/>
          <w:color w:val="auto"/>
        </w:rPr>
        <w:tab/>
      </w:r>
      <w:r>
        <w:rPr>
          <w:rFonts w:ascii="Times New Roman" w:cs="Times New Roman" w:eastAsia="Times New Roman" w:hAnsi="Times New Roman"/>
          <w:sz w:val="17"/>
          <w:szCs w:val="17"/>
          <w:b w:val="1"/>
          <w:bCs w:val="1"/>
          <w:u w:val="single" w:color="auto"/>
          <w:color w:val="auto"/>
        </w:rPr>
        <w:t>Insurance and Subrogation.</w:t>
      </w:r>
    </w:p>
    <w:p>
      <w:pPr>
        <w:spacing w:after="0" w:line="229" w:lineRule="exact"/>
        <w:rPr>
          <w:sz w:val="20"/>
          <w:szCs w:val="20"/>
          <w:color w:val="auto"/>
        </w:rPr>
      </w:pPr>
    </w:p>
    <w:p>
      <w:pPr>
        <w:ind w:firstLine="757"/>
        <w:spacing w:after="0" w:line="253"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purchase and maintain a policy or policies of insurance with reputable insurance companies with A.M. Best ratings of “A-” or better (or, if A.M. Best does not rate the insurance company, an equivalent rating by an equivalent licensed insurance rating organization or agency), providing Indemnitee with coverage for any liability asserted against, and incurred by, Indemnitee or on Indemnitee’s behalf by reason of the fact that Indemnitee is or was or has agreed to serve as a director or officer,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arising out of Indemnitee’s status as such, whether or not the Company would have the power to indemnify Indemnitee against such liability under the provisions of this Agreement. Such insurance policies shall have coverage terms and policy limits at least as favorable to Indemnitee as the insurance coverage provided to any other director or officer of the Company.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187" w:lineRule="exact"/>
        <w:rPr>
          <w:rFonts w:ascii="Times New Roman" w:cs="Times New Roman" w:eastAsia="Times New Roman" w:hAnsi="Times New Roman"/>
          <w:sz w:val="18"/>
          <w:szCs w:val="18"/>
          <w:color w:val="auto"/>
        </w:rPr>
      </w:pPr>
    </w:p>
    <w:p>
      <w:pPr>
        <w:ind w:firstLine="757"/>
        <w:spacing w:after="0" w:line="258"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in the event of any payment by the Company under this Agreement, the Company shall be subrogated to the extent of such payment to all of the rights of recovery of Indemnitee with respect to any insurance policy. Indemnitee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183" w:lineRule="exact"/>
        <w:rPr>
          <w:rFonts w:ascii="Times New Roman" w:cs="Times New Roman" w:eastAsia="Times New Roman" w:hAnsi="Times New Roman"/>
          <w:sz w:val="18"/>
          <w:szCs w:val="18"/>
          <w:color w:val="auto"/>
        </w:rPr>
      </w:pPr>
    </w:p>
    <w:p>
      <w:pPr>
        <w:ind w:right="20" w:firstLine="757"/>
        <w:spacing w:after="0" w:line="261"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the Company shall not be liable under this Agreement to make any payment of amounts otherwise indemnifiable hereunder (including, but not limited to, judgments, fines and amounts paid in settlement, and excise taxes or penalties relating to the Employee Retirement Income Security Act of 1974, as amended) if and to the extent that Indemnitee has otherwise actually received such payment under this Agreement or any insurance policy, contract, agreement or otherwise.</w:t>
      </w:r>
    </w:p>
    <w:p>
      <w:pPr>
        <w:spacing w:after="0" w:line="176"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Section 6.</w:t>
      </w:r>
      <w:r>
        <w:rPr>
          <w:sz w:val="20"/>
          <w:szCs w:val="20"/>
          <w:color w:val="auto"/>
        </w:rPr>
        <w:tab/>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For purposes of this Agreement, the following definitions shall apply:</w:t>
      </w:r>
    </w:p>
    <w:p>
      <w:pPr>
        <w:spacing w:after="0" w:line="225" w:lineRule="exact"/>
        <w:rPr>
          <w:sz w:val="20"/>
          <w:szCs w:val="20"/>
          <w:color w:val="auto"/>
        </w:rPr>
      </w:pPr>
    </w:p>
    <w:p>
      <w:pPr>
        <w:jc w:val="both"/>
        <w:ind w:right="580" w:firstLine="757"/>
        <w:spacing w:after="0" w:line="268" w:lineRule="auto"/>
        <w:tabs>
          <w:tab w:leader="none" w:pos="10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action, suit or 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claim, action, suit, arbitration, alternative dispute mechanism or proceeding, whether civil, criminal, administrative or investigative.</w:t>
      </w:r>
    </w:p>
    <w:p>
      <w:pPr>
        <w:spacing w:after="0" w:line="170" w:lineRule="exact"/>
        <w:rPr>
          <w:rFonts w:ascii="Times New Roman" w:cs="Times New Roman" w:eastAsia="Times New Roman" w:hAnsi="Times New Roman"/>
          <w:sz w:val="18"/>
          <w:szCs w:val="18"/>
          <w:color w:val="auto"/>
        </w:rPr>
      </w:pPr>
    </w:p>
    <w:p>
      <w:pPr>
        <w:ind w:right="180" w:firstLine="757"/>
        <w:spacing w:after="0" w:line="259" w:lineRule="auto"/>
        <w:tabs>
          <w:tab w:leader="none" w:pos="10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by reason of the fact that Indemnitee is or was or has agreed to serve as a director or officer of the Company, or while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serving as a director or officer of the Company,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w:t>
      </w:r>
      <w:r>
        <w:rPr>
          <w:rFonts w:ascii="Times New Roman" w:cs="Times New Roman" w:eastAsia="Times New Roman" w:hAnsi="Times New Roman"/>
          <w:sz w:val="18"/>
          <w:szCs w:val="18"/>
          <w:color w:val="auto"/>
        </w:rPr>
        <w:t>” shall be broadly construed and shall include,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any actual or alleged act or omission to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0" w:name="page111"/>
    <w:bookmarkEnd w:id="110"/>
    <w:p>
      <w:pPr>
        <w:ind w:right="500" w:firstLine="757"/>
        <w:spacing w:after="0" w:line="259"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shall be broadly construed and shall include, without limitation, all direct and indirect costs of any type or nature whatsoever (including, without limitation, all attorneys’ fees and related disbursements, appeal bonds, other out-of-pocket costs and reasonable compensation for time spent by Indemnitee for which Indemnitee is not otherwise compensated by the Company or any third party), actually and reasonably incurred by Indemnitee in connection with either the investigation, defense or appeal of an action, suit or proceeding or establishing or enforcing a right to indemnification under this Agreement or otherwise incurred in connection with a claim that is indemnifiable hereunder.</w:t>
      </w:r>
    </w:p>
    <w:p>
      <w:pPr>
        <w:spacing w:after="0" w:line="179" w:lineRule="exact"/>
        <w:rPr>
          <w:rFonts w:ascii="Times New Roman" w:cs="Times New Roman" w:eastAsia="Times New Roman" w:hAnsi="Times New Roman"/>
          <w:sz w:val="18"/>
          <w:szCs w:val="18"/>
          <w:color w:val="auto"/>
        </w:rPr>
      </w:pPr>
    </w:p>
    <w:p>
      <w:pPr>
        <w:jc w:val="both"/>
        <w:ind w:firstLine="757"/>
        <w:spacing w:after="0" w:line="286"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judgments, fines and amounts paid in settlement</w:t>
      </w:r>
      <w:r>
        <w:rPr>
          <w:rFonts w:ascii="Times New Roman" w:cs="Times New Roman" w:eastAsia="Times New Roman" w:hAnsi="Times New Roman"/>
          <w:sz w:val="18"/>
          <w:szCs w:val="18"/>
          <w:color w:val="auto"/>
        </w:rPr>
        <w:t>” shall be broadly construed and shall include, without limitation, all direct and indirect payments of any type or nature whatsoever, as well as any penalties or excise taxes assessed on a person with respect to an employee benefit plan).</w:t>
      </w:r>
    </w:p>
    <w:p>
      <w:pPr>
        <w:spacing w:after="0" w:line="155"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Section 7.</w:t>
      </w:r>
      <w:r>
        <w:rPr>
          <w:sz w:val="20"/>
          <w:szCs w:val="20"/>
          <w:color w:val="auto"/>
        </w:rPr>
        <w:tab/>
      </w:r>
      <w:r>
        <w:rPr>
          <w:rFonts w:ascii="Times New Roman" w:cs="Times New Roman" w:eastAsia="Times New Roman" w:hAnsi="Times New Roman"/>
          <w:sz w:val="18"/>
          <w:szCs w:val="18"/>
          <w:b w:val="1"/>
          <w:bCs w:val="1"/>
          <w:u w:val="single" w:color="auto"/>
          <w:color w:val="auto"/>
        </w:rPr>
        <w:t>Limitation on Indemnification.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Notwithstanding any other provision herein to the contrary, the Company shall not be obligated pursuant to this Agreement:</w:t>
      </w:r>
    </w:p>
    <w:p>
      <w:pPr>
        <w:spacing w:after="0" w:line="225" w:lineRule="exact"/>
        <w:rPr>
          <w:sz w:val="20"/>
          <w:szCs w:val="20"/>
          <w:color w:val="auto"/>
        </w:rPr>
      </w:pPr>
    </w:p>
    <w:p>
      <w:pPr>
        <w:ind w:right="20" w:firstLine="757"/>
        <w:spacing w:after="0" w:line="256" w:lineRule="auto"/>
        <w:tabs>
          <w:tab w:leader="none" w:pos="1018"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Claims Initiated by Indemnitee.</w:t>
      </w:r>
      <w:r>
        <w:rPr>
          <w:rFonts w:ascii="Times New Roman" w:cs="Times New Roman" w:eastAsia="Times New Roman" w:hAnsi="Times New Roman"/>
          <w:sz w:val="18"/>
          <w:szCs w:val="18"/>
          <w:color w:val="auto"/>
        </w:rPr>
        <w:t xml:space="preserve"> Prior to a Change in Control, to indemnify or advance expenses to Indemnitee with respect to an action, suit or proceeding (or part thereof), however denominated, initiated by Indemnitee, other than (i) an action, suit or proceeding brought to establish or enforce a right to indemnification or advancement of expenses under this Agreement (which shall be governed by the provisions of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of this Agreement) and (ii) an action, suit or proceeding (or part thereof) that was authorized or consented to by the board of directors of the Company, it being understood and agreed that such authorization or consent shall not be unreasonably withheld in connection with any compulsory counterclaim brought by Indemnitee in response to an action, suit or proceeding otherwise indemnifiable under this Agreement.</w:t>
      </w:r>
    </w:p>
    <w:p>
      <w:pPr>
        <w:spacing w:after="0" w:line="187" w:lineRule="exact"/>
        <w:rPr>
          <w:rFonts w:ascii="Times New Roman" w:cs="Times New Roman" w:eastAsia="Times New Roman" w:hAnsi="Times New Roman"/>
          <w:sz w:val="18"/>
          <w:szCs w:val="18"/>
          <w:u w:val="single" w:color="auto"/>
          <w:color w:val="auto"/>
        </w:rPr>
      </w:pPr>
    </w:p>
    <w:p>
      <w:pPr>
        <w:ind w:firstLine="757"/>
        <w:spacing w:after="0" w:line="255" w:lineRule="auto"/>
        <w:tabs>
          <w:tab w:leader="none" w:pos="1018"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Action for Indemnification.</w:t>
      </w:r>
      <w:r>
        <w:rPr>
          <w:rFonts w:ascii="Times New Roman" w:cs="Times New Roman" w:eastAsia="Times New Roman" w:hAnsi="Times New Roman"/>
          <w:sz w:val="18"/>
          <w:szCs w:val="18"/>
          <w:color w:val="auto"/>
        </w:rPr>
        <w:t xml:space="preserve"> To indemnify Indemnitee for any expenses incurred by Indemnitee with respect to any action, suit or proceeding instituted by Indemnitee to enforce or interpret this Agreement, unless Indemnitee is successful in such action, suit or proceeding in establishing Indemnitee’s right, in whole or in part, to indemnification or advancement of expenses hereunder (in which case such indemnification or advancement shall be to the fullest extent permitted by the DGCL), or unless and to the extent that the court in such action, suit or proceeding shall determine that, despite Indemnitee’s failure to establish his or her right to indemnification, Indemnitee is entitled to indemnification for such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is intended to limit the Company’s obligations with respect to the advancement of expenses to Indemnitee in connection with any such action, suit or proceeding instituted by Indemnitee to enforce or interpret this Agreement,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u w:val="single" w:color="auto"/>
          <w:color w:val="auto"/>
        </w:rPr>
      </w:pPr>
    </w:p>
    <w:p>
      <w:pPr>
        <w:ind w:firstLine="757"/>
        <w:spacing w:after="0" w:line="255" w:lineRule="auto"/>
        <w:tabs>
          <w:tab w:leader="none" w:pos="1018"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Actions Based on Federal Statutes Regarding Profit Recovery and Return of Bonus Payments.</w:t>
      </w:r>
      <w:r>
        <w:rPr>
          <w:rFonts w:ascii="Times New Roman" w:cs="Times New Roman" w:eastAsia="Times New Roman" w:hAnsi="Times New Roman"/>
          <w:sz w:val="18"/>
          <w:szCs w:val="18"/>
          <w:color w:val="auto"/>
        </w:rPr>
        <w:t xml:space="preserve"> To indemnify Indemnitee on account of (i) any suit in which judgment is rendered against Indemnitee for disgorgement of profits made from the purchase or sale by Indemnitee of securities of the Company pursuant to the provisions of Section 16(b)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 Sarbanes-Oxley Act).</w:t>
      </w:r>
    </w:p>
    <w:p>
      <w:pPr>
        <w:spacing w:after="0" w:line="188" w:lineRule="exact"/>
        <w:rPr>
          <w:rFonts w:ascii="Times New Roman" w:cs="Times New Roman" w:eastAsia="Times New Roman" w:hAnsi="Times New Roman"/>
          <w:sz w:val="18"/>
          <w:szCs w:val="18"/>
          <w:u w:val="single" w:color="auto"/>
          <w:color w:val="auto"/>
        </w:rPr>
      </w:pPr>
    </w:p>
    <w:p>
      <w:pPr>
        <w:ind w:right="140" w:firstLine="757"/>
        <w:spacing w:after="0" w:line="261" w:lineRule="auto"/>
        <w:tabs>
          <w:tab w:leader="none" w:pos="1018"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Fraud or Willful Misconduct.</w:t>
      </w:r>
      <w:r>
        <w:rPr>
          <w:rFonts w:ascii="Times New Roman" w:cs="Times New Roman" w:eastAsia="Times New Roman" w:hAnsi="Times New Roman"/>
          <w:sz w:val="18"/>
          <w:szCs w:val="18"/>
          <w:color w:val="auto"/>
        </w:rPr>
        <w:t xml:space="preserve"> To indemnify Indemnitee on account of conduct by Indemnitee where such conduct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have been knowingly fraudulent or constitute willful misconduct.</w:t>
      </w:r>
    </w:p>
    <w:p>
      <w:pPr>
        <w:spacing w:after="0" w:line="179" w:lineRule="exact"/>
        <w:rPr>
          <w:rFonts w:ascii="Times New Roman" w:cs="Times New Roman" w:eastAsia="Times New Roman" w:hAnsi="Times New Roman"/>
          <w:sz w:val="18"/>
          <w:szCs w:val="18"/>
          <w:u w:val="single" w:color="auto"/>
          <w:color w:val="auto"/>
        </w:rPr>
      </w:pPr>
    </w:p>
    <w:p>
      <w:pPr>
        <w:ind w:right="120" w:firstLine="757"/>
        <w:spacing w:after="0" w:line="266" w:lineRule="auto"/>
        <w:tabs>
          <w:tab w:leader="none" w:pos="1018"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Prohibited by Law.</w:t>
      </w:r>
      <w:r>
        <w:rPr>
          <w:rFonts w:ascii="Times New Roman" w:cs="Times New Roman" w:eastAsia="Times New Roman" w:hAnsi="Times New Roman"/>
          <w:sz w:val="18"/>
          <w:szCs w:val="18"/>
          <w:color w:val="auto"/>
        </w:rPr>
        <w:t xml:space="preserve"> To indemnify Indemnitee in any circumstance where such indemnification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having been made, to be prohibited by law.</w:t>
      </w:r>
    </w:p>
    <w:p>
      <w:pPr>
        <w:spacing w:after="0" w:line="172" w:lineRule="exact"/>
        <w:rPr>
          <w:sz w:val="20"/>
          <w:szCs w:val="20"/>
          <w:color w:val="auto"/>
        </w:rPr>
      </w:pPr>
    </w:p>
    <w:p>
      <w:pPr>
        <w:ind w:right="100" w:firstLine="374"/>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8. Certain Settlement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no obligation to indemnify Indemnitee under this Agreement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paid in settlement of any action, suit or proceeding without the Company’s prior written consent. The Company shall not settle any action, suit or proceeding in any manner that would impose any fine or other obligation on Indemnitee without Indemnitee’s prior written consent. Neither the Company nor Indemnitee will unreasonably withhold his, her, its or their consent to any proposed settlement.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1" w:name="page112"/>
    <w:bookmarkEnd w:id="111"/>
    <w:p>
      <w:pPr>
        <w:ind w:firstLine="374"/>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9. Savings Clause.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or provisions (or portion thereof) of this Agreement shall be invalidated on any ground by any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competent jurisdiction, then the Company shall nevertheless indemnify Indemnitee if Indemnitee was or is made or is threatened to be made a party or is otherwise involved in any threatened, pending or completed action, suit or proceeding (brought in the right of the Company or otherwise), whether civil, criminal, administrative or investigative and whether formal or informal, including appeals,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 or by reason of any action alleged to have been taken or omitted in such capacity, from and against all loss and liability suffered and expenses (including attorneys’ fees), judgments, fines and amounts paid in settlement reasonably incurred by or on behalf of Indemnitee in connection with such action, suit or proceeding, including any appeals, to the fullest extent permitted by any applicable portion of this Agreement that shall not have been invalidated.</w:t>
      </w:r>
    </w:p>
    <w:p>
      <w:pPr>
        <w:spacing w:after="0" w:line="185"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Section 10.</w:t>
      </w:r>
      <w:r>
        <w:rPr>
          <w:sz w:val="20"/>
          <w:szCs w:val="20"/>
          <w:color w:val="auto"/>
        </w:rPr>
        <w:tab/>
      </w:r>
      <w:r>
        <w:rPr>
          <w:rFonts w:ascii="Times New Roman" w:cs="Times New Roman" w:eastAsia="Times New Roman" w:hAnsi="Times New Roman"/>
          <w:sz w:val="17"/>
          <w:szCs w:val="17"/>
          <w:b w:val="1"/>
          <w:bCs w:val="1"/>
          <w:u w:val="single" w:color="auto"/>
          <w:color w:val="auto"/>
        </w:rPr>
        <w:t>Contribution/Jointly Indemnifiable Claims.</w:t>
      </w:r>
    </w:p>
    <w:p>
      <w:pPr>
        <w:spacing w:after="0" w:line="229" w:lineRule="exact"/>
        <w:rPr>
          <w:sz w:val="20"/>
          <w:szCs w:val="20"/>
          <w:color w:val="auto"/>
        </w:rPr>
      </w:pPr>
    </w:p>
    <w:p>
      <w:pPr>
        <w:ind w:right="40" w:firstLine="757"/>
        <w:spacing w:after="0" w:line="256"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provide for just and equitable contribution in circumstances in which the indemnification provided for herein is held by a court of competent jurisdiction to be unavailable to Indemnitee in whole or in part, it is agreed that, in such event, the Company shall, to the fullest extent permitted by the DGCL, contribute to the payment of all of Indemnitee’s loss and liability suffered and expenses (including attorneys’ fees), judgments, fines and amounts paid in settlement reasonably incurred by or on behalf of Indemnitee in connection with any action, suit or proceeding, including any appeals, in an amount that is just and equitable in the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generality of the foregoing, such contribution shall not be required where such holding by the court is due to any limitation on indemnification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(other than clause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hereof.</w:t>
      </w:r>
    </w:p>
    <w:p>
      <w:pPr>
        <w:spacing w:after="0" w:line="187" w:lineRule="exact"/>
        <w:rPr>
          <w:rFonts w:ascii="Times New Roman" w:cs="Times New Roman" w:eastAsia="Times New Roman" w:hAnsi="Times New Roman"/>
          <w:sz w:val="18"/>
          <w:szCs w:val="18"/>
          <w:color w:val="auto"/>
        </w:rPr>
      </w:pPr>
    </w:p>
    <w:p>
      <w:pPr>
        <w:ind w:firstLine="757"/>
        <w:spacing w:after="0" w:line="252"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Given that certain jointly indemnifiable claims may arise due to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or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as though each such Indemnitee-related entity were a party to this Agreement. For purposes of this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the following terms shall have the following meanings:</w:t>
      </w:r>
    </w:p>
    <w:p>
      <w:pPr>
        <w:spacing w:after="0" w:line="197" w:lineRule="exact"/>
        <w:rPr>
          <w:rFonts w:ascii="Times New Roman" w:cs="Times New Roman" w:eastAsia="Times New Roman" w:hAnsi="Times New Roman"/>
          <w:sz w:val="18"/>
          <w:szCs w:val="18"/>
          <w:color w:val="auto"/>
        </w:rPr>
      </w:pPr>
    </w:p>
    <w:p>
      <w:pPr>
        <w:ind w:left="1060" w:right="80" w:hanging="4"/>
        <w:spacing w:after="0" w:line="256" w:lineRule="auto"/>
        <w:tabs>
          <w:tab w:leader="none" w:pos="153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“Indemnitee-related entities” means any corporation, limited liability company, partnership, joint venture, trust, employee benefit plan or other enterprise (other than the Company or any other corporation, limited liability company, partnership, joint venture, trust, employee benefit plan or other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 (other than as a result of obligations under an insurance policy).</w:t>
      </w:r>
    </w:p>
    <w:p>
      <w:pPr>
        <w:spacing w:after="0" w:line="187" w:lineRule="exact"/>
        <w:rPr>
          <w:rFonts w:ascii="Times New Roman" w:cs="Times New Roman" w:eastAsia="Times New Roman" w:hAnsi="Times New Roman"/>
          <w:sz w:val="18"/>
          <w:szCs w:val="18"/>
          <w:color w:val="auto"/>
        </w:rPr>
      </w:pPr>
    </w:p>
    <w:p>
      <w:pPr>
        <w:ind w:left="1060" w:hanging="4"/>
        <w:spacing w:after="0" w:line="258" w:lineRule="auto"/>
        <w:tabs>
          <w:tab w:leader="none" w:pos="153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“jointly indemnifiable claims” shall be broadly construed and shall include, without limitation, any action, suit or proceeding for which the Indemnitee shall be entitled to indemnification or advancement of expenses from both the Indemnitee-related entities and the Company pursuant to the DGCL, any agreement or the certificate of incorporation, bylaws, partnership agreement, operating agreement, certificate of formation, certificate of limited partnership or comparable organizational documents of the Company or the Indemnitee-related entities,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2" w:name="page113"/>
    <w:bookmarkEnd w:id="112"/>
    <w:p>
      <w:pPr>
        <w:ind w:right="120" w:firstLine="374"/>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11. Form and Delivery of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requests, demands and other communications under this Agreement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to have been duly given if (a) delivered by hand, upon receipt by the party to whom said notice or other communication shall have been directed, (b) mailed by certified or registered mail with postage prepaid, on the third business day after the date on which it is so mailed, (c) mailed by reputable overnight courier, one day after deposit with such courier and with written verification of receipt or (d) sent by email or facsimile transmission, with receipt of oral or written confirmation that such transmission has been received. Notice to the Company shall be directed to Bret T. Jardine, Executive Vice President, General Counsel, by email at [***] or by telephone at [***]. Notice to Indemnitee shall be directed to Indemnitee’s contact information on file with the Company’s Secretary or its Human Resources Department.</w:t>
      </w:r>
    </w:p>
    <w:p>
      <w:pPr>
        <w:spacing w:after="0" w:line="183" w:lineRule="exact"/>
        <w:rPr>
          <w:sz w:val="20"/>
          <w:szCs w:val="20"/>
          <w:color w:val="auto"/>
        </w:rPr>
      </w:pPr>
    </w:p>
    <w:p>
      <w:pPr>
        <w:ind w:firstLine="374"/>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12. Nonexclusivity.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for indemnification and advancement of expenses set forth in this Agreement shall not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of any other rights which Indemnitee may have under any provision of law, in any court in which a proceeding is brought, other agreements or otherwise, and Indemnitee’s rights hereunder shall inure to the benefit of the heirs, executors and administrators of Indemnitee. No amendment or alteration of the Company’s Certificate of Incorporation or Bylaws or any other agreement shall adversely affect the rights provided to Indemnitee under this Agreement.</w:t>
      </w:r>
    </w:p>
    <w:p>
      <w:pPr>
        <w:spacing w:after="0" w:line="179" w:lineRule="exact"/>
        <w:rPr>
          <w:sz w:val="20"/>
          <w:szCs w:val="20"/>
          <w:color w:val="auto"/>
        </w:rPr>
      </w:pPr>
    </w:p>
    <w:p>
      <w:pPr>
        <w:jc w:val="both"/>
        <w:ind w:right="380" w:firstLine="374"/>
        <w:spacing w:after="0" w:line="291" w:lineRule="auto"/>
        <w:rPr>
          <w:sz w:val="20"/>
          <w:szCs w:val="20"/>
          <w:color w:val="auto"/>
        </w:rPr>
      </w:pPr>
      <w:r>
        <w:rPr>
          <w:rFonts w:ascii="Times New Roman" w:cs="Times New Roman" w:eastAsia="Times New Roman" w:hAnsi="Times New Roman"/>
          <w:sz w:val="17"/>
          <w:szCs w:val="17"/>
          <w:b w:val="1"/>
          <w:bCs w:val="1"/>
          <w:u w:val="single" w:color="auto"/>
          <w:color w:val="auto"/>
        </w:rPr>
        <w:t>Section 13. No Construction as Employment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Nothing contained herein shall be construed as giving Indemnitee any right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retained as a director of the Company or in the employ of the Company. For the avoidance of doubt, the indemnification and advancement of expenses provided under this Agreement shall continue as to the Indemnitee even though he may have ceased to be a director or officer of the Company.</w:t>
      </w:r>
    </w:p>
    <w:p>
      <w:pPr>
        <w:spacing w:after="0" w:line="153" w:lineRule="exact"/>
        <w:rPr>
          <w:sz w:val="20"/>
          <w:szCs w:val="20"/>
          <w:color w:val="auto"/>
        </w:rPr>
      </w:pPr>
    </w:p>
    <w:p>
      <w:pPr>
        <w:ind w:right="340" w:firstLine="374"/>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14. Interpretation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understood that the parties hereto intend this Agreement to be interpreted and enforced so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indemnification to Indemnitee to the fullest extent now or hereafter permitted by the DGCL.</w:t>
      </w:r>
    </w:p>
    <w:p>
      <w:pPr>
        <w:spacing w:after="0" w:line="15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15.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documents expressly referred to herein constitute the entire agreement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with respect to the matters covered hereby, and any other prior or contemporaneous oral or written understandings or agreements with respect to the matters covered hereby are expressly superseded by this Agreement.</w:t>
      </w:r>
    </w:p>
    <w:p>
      <w:pPr>
        <w:spacing w:after="0" w:line="171" w:lineRule="exact"/>
        <w:rPr>
          <w:sz w:val="20"/>
          <w:szCs w:val="20"/>
          <w:color w:val="auto"/>
        </w:rPr>
      </w:pPr>
    </w:p>
    <w:p>
      <w:pPr>
        <w:ind w:right="100" w:firstLine="374"/>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16. Modification and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supplement, modification, waiver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both of the parties hereto. No waiver of any of the provisions of this Agreement shall be deemed or shall constitute a waiver of any other provision hereof (whether or not similar) nor shall such waiver constitute a continuing waiver. For the avoidance of doubt, this Agreement may not be terminated by the Company without Indemnitee’s prior written consent.</w:t>
      </w:r>
    </w:p>
    <w:p>
      <w:pPr>
        <w:spacing w:after="0" w:line="176" w:lineRule="exact"/>
        <w:rPr>
          <w:sz w:val="20"/>
          <w:szCs w:val="20"/>
          <w:color w:val="auto"/>
        </w:rPr>
      </w:pPr>
    </w:p>
    <w:p>
      <w:pPr>
        <w:ind w:right="60" w:firstLine="374"/>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17. Successor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and provisions of this Agreement shall be binding upon, shall inure to the benefit of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enforceable by the parties hereto and their respective successors, assigns, heirs, executors, administrators and legal representatives. The Company shall require and cause any direct or indirect successor (whether by purchase, merger, consolidation or otherwise) to all or substantially all of the business or assets of such the Company,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17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18. Service of Process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Indemnitee hereby irrevocably and unconditionally (i) agree that any 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Corporation Service Company, 251 Little Falls Drive, Wilmington, DE 19808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88" w:lineRule="exact"/>
        <w:rPr>
          <w:sz w:val="20"/>
          <w:szCs w:val="20"/>
          <w:color w:val="auto"/>
        </w:rPr>
      </w:pPr>
    </w:p>
    <w:p>
      <w:pPr>
        <w:ind w:right="100" w:firstLine="374"/>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19. 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laws of the State of Delaware. If a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3" w:name="page114"/>
    <w:bookmarkEnd w:id="113"/>
    <w:p>
      <w:pPr>
        <w:ind w:right="60" w:firstLine="374"/>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20.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two or more counterparts, each of which shall be deemed to be an original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together shall be deemed to be one and the same instrument, notwithstanding that both parties are not signatories to the original or same counterpart.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This Agreement, to the extent signed and delivered by means of a email transmission, shall be treated in all manner and respects as an original agreement and shall be considered to have the same binding legal effect as if it were the original signed version thereof delivered in person.</w:t>
      </w:r>
    </w:p>
    <w:p>
      <w:pPr>
        <w:spacing w:after="0" w:line="185" w:lineRule="exact"/>
        <w:rPr>
          <w:sz w:val="20"/>
          <w:szCs w:val="20"/>
          <w:color w:val="auto"/>
        </w:rPr>
      </w:pPr>
    </w:p>
    <w:p>
      <w:pPr>
        <w:ind w:firstLine="374"/>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21.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section and subsection headings contained in this Agreement are for reference purposes only and shall not affect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way the meaning or interpretation of this Agreement.</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114" w:name="page115"/>
    <w:bookmarkEnd w:id="114"/>
    <w:p>
      <w:pPr>
        <w:ind w:left="38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color w:val="181818"/>
        </w:rPr>
        <w:t>Agreement</w:t>
      </w:r>
      <w:r>
        <w:rPr>
          <w:rFonts w:ascii="Times New Roman" w:cs="Times New Roman" w:eastAsia="Times New Roman" w:hAnsi="Times New Roman"/>
          <w:sz w:val="18"/>
          <w:szCs w:val="18"/>
          <w:color w:val="auto"/>
        </w:rPr>
        <w:t xml:space="preserve"> has been duly executed </w:t>
      </w:r>
      <w:r>
        <w:rPr>
          <w:rFonts w:ascii="Times New Roman" w:cs="Times New Roman" w:eastAsia="Times New Roman" w:hAnsi="Times New Roman"/>
          <w:sz w:val="18"/>
          <w:szCs w:val="18"/>
          <w:color w:val="181818"/>
        </w:rPr>
        <w:t>and</w:t>
      </w:r>
      <w:r>
        <w:rPr>
          <w:rFonts w:ascii="Times New Roman" w:cs="Times New Roman" w:eastAsia="Times New Roman" w:hAnsi="Times New Roman"/>
          <w:sz w:val="18"/>
          <w:szCs w:val="18"/>
          <w:color w:val="auto"/>
        </w:rPr>
        <w:t xml:space="preserve"> delivered to be </w:t>
      </w:r>
      <w:r>
        <w:rPr>
          <w:rFonts w:ascii="Times New Roman" w:cs="Times New Roman" w:eastAsia="Times New Roman" w:hAnsi="Times New Roman"/>
          <w:sz w:val="18"/>
          <w:szCs w:val="18"/>
          <w:color w:val="181818"/>
        </w:rPr>
        <w:t>effective as</w:t>
      </w:r>
      <w:r>
        <w:rPr>
          <w:rFonts w:ascii="Times New Roman" w:cs="Times New Roman" w:eastAsia="Times New Roman" w:hAnsi="Times New Roman"/>
          <w:sz w:val="18"/>
          <w:szCs w:val="18"/>
          <w:color w:val="auto"/>
        </w:rPr>
        <w:t xml:space="preserve"> of the date first </w:t>
      </w:r>
      <w:r>
        <w:rPr>
          <w:rFonts w:ascii="Times New Roman" w:cs="Times New Roman" w:eastAsia="Times New Roman" w:hAnsi="Times New Roman"/>
          <w:sz w:val="18"/>
          <w:szCs w:val="18"/>
          <w:color w:val="181818"/>
        </w:rPr>
        <w:t>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3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Indemnitee:</w:t>
            </w:r>
          </w:p>
        </w:tc>
        <w:tc>
          <w:tcPr>
            <w:tcW w:w="4580" w:type="dxa"/>
            <w:vAlign w:val="bottom"/>
          </w:tcPr>
          <w:p>
            <w:pPr>
              <w:spacing w:after="0"/>
              <w:rPr>
                <w:sz w:val="17"/>
                <w:szCs w:val="17"/>
                <w:color w:val="auto"/>
              </w:rPr>
            </w:pPr>
          </w:p>
        </w:tc>
      </w:tr>
      <w:tr>
        <w:trPr>
          <w:trHeight w:val="453"/>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ADVANTAGE CORPORATION</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41"/>
        </w:trPr>
        <w:tc>
          <w:tcPr>
            <w:tcW w:w="10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By:_____________________________</w:t>
            </w:r>
          </w:p>
        </w:tc>
        <w:tc>
          <w:tcPr>
            <w:tcW w:w="68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_____________________________</w:t>
            </w:r>
          </w:p>
        </w:tc>
      </w:tr>
      <w:tr>
        <w:trPr>
          <w:trHeight w:val="216"/>
        </w:trPr>
        <w:tc>
          <w:tcPr>
            <w:tcW w:w="1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68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10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68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Title:</w:t>
            </w:r>
          </w:p>
        </w:tc>
      </w:tr>
      <w:tr>
        <w:trPr>
          <w:trHeight w:val="1803"/>
        </w:trPr>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351"/>
        </w:trPr>
        <w:tc>
          <w:tcPr>
            <w:tcW w:w="8380" w:type="dxa"/>
            <w:vAlign w:val="bottom"/>
            <w:gridSpan w:val="3"/>
          </w:tcPr>
          <w:p>
            <w:pPr>
              <w:ind w:left="4000"/>
              <w:spacing w:after="0"/>
              <w:rPr>
                <w:sz w:val="20"/>
                <w:szCs w:val="20"/>
                <w:color w:val="auto"/>
              </w:rPr>
            </w:pPr>
            <w:r>
              <w:rPr>
                <w:rFonts w:ascii="Times New Roman" w:cs="Times New Roman" w:eastAsia="Times New Roman" w:hAnsi="Times New Roman"/>
                <w:sz w:val="18"/>
                <w:szCs w:val="18"/>
                <w:b w:val="1"/>
                <w:bCs w:val="1"/>
                <w:color w:val="auto"/>
              </w:rPr>
              <w:t>First Advantage Corporation Subsidiaries</w:t>
            </w:r>
          </w:p>
        </w:tc>
        <w:tc>
          <w:tcPr>
            <w:tcW w:w="2860" w:type="dxa"/>
            <w:vAlign w:val="bottom"/>
          </w:tcPr>
          <w:p>
            <w:pPr>
              <w:spacing w:after="0"/>
              <w:rPr>
                <w:sz w:val="24"/>
                <w:szCs w:val="24"/>
                <w:color w:val="auto"/>
              </w:rPr>
            </w:pPr>
          </w:p>
        </w:tc>
      </w:tr>
      <w:tr>
        <w:trPr>
          <w:trHeight w:val="364"/>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 of the Registrant - First Advantage Corporation (a Delaware corporation) - as of December 31, 2023</w:t>
            </w:r>
          </w:p>
        </w:tc>
        <w:tc>
          <w:tcPr>
            <w:tcW w:w="2860" w:type="dxa"/>
            <w:vAlign w:val="bottom"/>
          </w:tcPr>
          <w:p>
            <w:pPr>
              <w:spacing w:after="0"/>
              <w:rPr>
                <w:sz w:val="24"/>
                <w:szCs w:val="24"/>
                <w:color w:val="auto"/>
              </w:rPr>
            </w:pPr>
          </w:p>
        </w:tc>
      </w:tr>
      <w:tr>
        <w:trPr>
          <w:trHeight w:val="588"/>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Subsidiary</w:t>
            </w:r>
          </w:p>
        </w:tc>
        <w:tc>
          <w:tcPr>
            <w:tcW w:w="2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Jurisdiction of Organization</w:t>
            </w:r>
          </w:p>
        </w:tc>
      </w:tr>
      <w:tr>
        <w:trPr>
          <w:trHeight w:val="441"/>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Screening Services LLC</w:t>
            </w:r>
          </w:p>
        </w:tc>
        <w:tc>
          <w:tcPr>
            <w:tcW w:w="2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FADV (Australia) PTY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FADV B.V.</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FADV Cooperatief UA</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FADV European Data Center B.V.</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FADV Malaysia Sdn. Bhd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Fastball Parent,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(Beijing) Co.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(HK) Limited</w:t>
            </w:r>
          </w:p>
        </w:tc>
        <w:tc>
          <w:tcPr>
            <w:tcW w:w="2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(Zhuhai) Co.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Acquisitions,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Australasia Pty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Australia Pty Ltd.</w:t>
            </w:r>
          </w:p>
        </w:tc>
        <w:tc>
          <w:tcPr>
            <w:tcW w:w="2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Background Services Corp.</w:t>
            </w:r>
          </w:p>
        </w:tc>
        <w:tc>
          <w:tcPr>
            <w:tcW w:w="2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BackTrack Reports,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Bangladesh Ltd</w:t>
            </w:r>
          </w:p>
        </w:tc>
        <w:tc>
          <w:tcPr>
            <w:tcW w:w="2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Bangladesh</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Canada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Enterprise Screening Corporation</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Europe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Form I9 Compliance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Global Operating Center Private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Holdings,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Indian Holdings,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Infinite ID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Intermediate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Japan K.K.</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Limited</w:t>
            </w:r>
          </w:p>
        </w:tc>
        <w:tc>
          <w:tcPr>
            <w:tcW w:w="2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New Zealand Limited</w:t>
            </w:r>
          </w:p>
        </w:tc>
        <w:tc>
          <w:tcPr>
            <w:tcW w:w="2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Occupational Health Services Corp.</w:t>
            </w:r>
          </w:p>
        </w:tc>
        <w:tc>
          <w:tcPr>
            <w:tcW w:w="2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Philippines,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Poland sp z.o.o.</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Priderock Holding Company,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Alabama</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Private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Pte.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Quest Research Corporation</w:t>
            </w:r>
          </w:p>
        </w:tc>
        <w:tc>
          <w:tcPr>
            <w:tcW w:w="28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Quest Research Group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Quest Research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Tax Consulting Services,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Advantage U.S.,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MultiLatin Advisors S.A. de CV</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National Credit Audit Corporation</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29"/>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TP Verify Screening Services LLP</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Verify (Mauritius)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3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Verify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1235"/>
        </w:trPr>
        <w:tc>
          <w:tcPr>
            <w:tcW w:w="5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333-257380 on Form S-8 of our reports dated February 29, 2024, relating to the financial statements of First Advantage Corporation and the effectiveness of First Advantage Corporation’s internal control over financial reporting appearing in this Annual Report on Form 10-K for the year ended December 31,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Staples, certify that:</w:t>
      </w:r>
    </w:p>
    <w:p>
      <w:pPr>
        <w:spacing w:after="0" w:line="333"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740" w:val="left"/>
          <w:tab w:leader="none" w:pos="80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 Gamsey, certify that:</w:t>
      </w:r>
    </w:p>
    <w:p>
      <w:pPr>
        <w:spacing w:after="0" w:line="333"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740" w:val="left"/>
          <w:tab w:leader="none" w:pos="788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First Advantage Corporation (the “Company”) for the year ended December 31, 2023 as filed with the Securities and Exchange Commission on the date hereof (the “Report”), I certify, pursuant to 18 U.S.C. § 1350, as adopted pursuant to § 906 of the Sarbanes-Oxley Act of 2002, that, to the best of my knowledge:</w:t>
      </w:r>
    </w:p>
    <w:p>
      <w:pPr>
        <w:spacing w:after="0" w:line="284"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740" w:val="left"/>
          <w:tab w:leader="none" w:pos="80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First Advantage Corporation (the “Company”) for the year ended December 31, 2023 as filed with the Securities and Exchange Commission on the date hereof (the “Report”), I certify, pursuant to 18 U.S.C. § 1350, as adopted pursuant to § 906 of the Sarbanes-Oxley Act of 2002, that, to the best of my knowledge:</w:t>
      </w:r>
    </w:p>
    <w:p>
      <w:pPr>
        <w:spacing w:after="0" w:line="284"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740" w:val="left"/>
          <w:tab w:leader="none" w:pos="790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First Advantage Corporation</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Clawback Policy</w:t>
      </w:r>
    </w:p>
    <w:p>
      <w:pPr>
        <w:spacing w:after="0" w:line="203"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1.Overview</w:t>
      </w:r>
      <w:r>
        <w:rPr>
          <w:rFonts w:ascii="Times New Roman" w:cs="Times New Roman" w:eastAsia="Times New Roman" w:hAnsi="Times New Roman"/>
          <w:sz w:val="18"/>
          <w:szCs w:val="18"/>
          <w:color w:val="auto"/>
        </w:rPr>
        <w:t>.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First Advantage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Incentive Compensation Clawback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which requires the recoupment of certain incentive-based compensation in accordance with the terms herein and is intended to comply with Listing Rule 5608, as promulgated by The Nasdaq Stock Market LLC, as such rule may be amended from time to time (the “</w:t>
      </w:r>
      <w:r>
        <w:rPr>
          <w:rFonts w:ascii="Times New Roman" w:cs="Times New Roman" w:eastAsia="Times New Roman" w:hAnsi="Times New Roman"/>
          <w:sz w:val="18"/>
          <w:szCs w:val="18"/>
          <w:b w:val="1"/>
          <w:bCs w:val="1"/>
          <w:i w:val="1"/>
          <w:iCs w:val="1"/>
          <w:color w:val="auto"/>
        </w:rPr>
        <w:t>Listing Rules</w:t>
      </w:r>
      <w:r>
        <w:rPr>
          <w:rFonts w:ascii="Times New Roman" w:cs="Times New Roman" w:eastAsia="Times New Roman" w:hAnsi="Times New Roman"/>
          <w:sz w:val="18"/>
          <w:szCs w:val="18"/>
          <w:color w:val="auto"/>
        </w:rPr>
        <w:t>”). Capitalized terms not otherwise defined herein shall have the meanings assigned to such terms under Section 12 of this Policy.</w:t>
      </w:r>
    </w:p>
    <w:p>
      <w:pPr>
        <w:spacing w:after="0" w:line="125"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2.Interpretation and Administration</w:t>
      </w:r>
      <w:r>
        <w:rPr>
          <w:rFonts w:ascii="Times New Roman" w:cs="Times New Roman" w:eastAsia="Times New Roman" w:hAnsi="Times New Roman"/>
          <w:sz w:val="18"/>
          <w:szCs w:val="18"/>
          <w:color w:val="auto"/>
        </w:rPr>
        <w:t>. The Committee shall have full authority to interpret and enforce the Policy; provided, however,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shall be interpreted in a manner consistent with its intent to meet the requirements of the Listing Rules. As further set forth in Section 10 below, this Policy is intended to supplement any other clawback policies and procedures that the Company may have in place from time to time pursuant to other applicable law, plans, policies or agreements.</w:t>
      </w:r>
    </w:p>
    <w:p>
      <w:pPr>
        <w:spacing w:after="0" w:line="12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color w:val="auto"/>
        </w:rPr>
        <w:t>3.Covered Executives</w:t>
      </w:r>
      <w:r>
        <w:rPr>
          <w:rFonts w:ascii="Times New Roman" w:cs="Times New Roman" w:eastAsia="Times New Roman" w:hAnsi="Times New Roman"/>
          <w:sz w:val="18"/>
          <w:szCs w:val="18"/>
          <w:color w:val="auto"/>
        </w:rPr>
        <w:t>. The Policy applies to each current and former Executive Officer of the Company who serves or served as an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at any time during a performance period in respect of which Incentive Compensation is Received, to the extent that any portion of such Incentive Compensation is (a) Received by the Executive Officer during the last three completed Fiscal Years or any applicable Transition Period preceding the date that the Company is required to prepare a Restatement (regardless of whether any such Restatement is actually filed) and (b) determined to have included Erroneously Awarded Compensation. For purposes of determining the relevant recovery period referenced in the preceding clause (a), the date that the Company is required to prepare a Restatement under the Policy is the earlier to occur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Executive Officers subject to this Policy pursuant to this Section 3 are referred to herein as “</w:t>
      </w:r>
      <w:r>
        <w:rPr>
          <w:rFonts w:ascii="Times New Roman" w:cs="Times New Roman" w:eastAsia="Times New Roman" w:hAnsi="Times New Roman"/>
          <w:sz w:val="18"/>
          <w:szCs w:val="18"/>
          <w:b w:val="1"/>
          <w:bCs w:val="1"/>
          <w:i w:val="1"/>
          <w:iCs w:val="1"/>
          <w:color w:val="auto"/>
        </w:rPr>
        <w:t>Covered Executives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4.Recovery of Erroneously Awarded Compensation</w:t>
      </w:r>
      <w:r>
        <w:rPr>
          <w:rFonts w:ascii="Times New Roman" w:cs="Times New Roman" w:eastAsia="Times New Roman" w:hAnsi="Times New Roman"/>
          <w:sz w:val="18"/>
          <w:szCs w:val="18"/>
          <w:color w:val="auto"/>
        </w:rPr>
        <w:t>. If any Erroneously Awarded Compensation is Received by a Covered Executive,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reasonably promptly take steps to recover such Erroneously Awarded Compensation in a manner described under Section 5 of this Policy.</w:t>
      </w:r>
    </w:p>
    <w:p>
      <w:pPr>
        <w:spacing w:after="0" w:line="10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color w:val="auto"/>
        </w:rPr>
        <w:t>5.Forms of Recovery</w:t>
      </w:r>
      <w:r>
        <w:rPr>
          <w:rFonts w:ascii="Times New Roman" w:cs="Times New Roman" w:eastAsia="Times New Roman" w:hAnsi="Times New Roman"/>
          <w:sz w:val="18"/>
          <w:szCs w:val="18"/>
          <w:color w:val="auto"/>
        </w:rPr>
        <w:t>. The Committee shall determine, in its sole discretion and in a manner that effectuates the purpose of the Listing Rules,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methods for recovering any Erroneously Awarded Compensation hereunder in accordance with Section 4 above, which may include, without limitation: (a) requiring cash reimbursement; (b) seeking recovery or forfeiture of any gain realized on the vesting, exercise, settlement, sale, transfer or other disposition of any equity-based awards; (c) offsetting the amount to be recouped from any compensation otherwise owed by the Company to the Covered Executive; (d) cancelling outstanding vested or unvested equity awards; or (e) taking any other remedial and recovery action permitted by law, as determined by the Committee. To the extent the Covered Executive refuses to pay to the Company an amount equal to the Erroneously Awarded Compensation, the Company shall have the right to sue for repayment and/or enforce the Covered Executive’s obligation to make payment through the reduction or cancellation of outstanding and future compensation. If (and to the extent) applicable, any reduction, cancellation or forfeiture of compensation shall be done in compliance with Section 409A of the Internal Revenue Code of 1986, as amended, and the regulations promulgated thereunder.</w:t>
      </w:r>
    </w:p>
    <w:p>
      <w:pPr>
        <w:spacing w:after="0" w:line="131"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6.No Indemnification</w:t>
      </w:r>
      <w:r>
        <w:rPr>
          <w:rFonts w:ascii="Times New Roman" w:cs="Times New Roman" w:eastAsia="Times New Roman" w:hAnsi="Times New Roman"/>
          <w:sz w:val="18"/>
          <w:szCs w:val="18"/>
          <w:color w:val="auto"/>
        </w:rPr>
        <w:t>. The Company shall not indemnify any Covered Executive against the loss of any Erroneously Awarded Compensation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Committee has determined to seek recoupment pursuant to this Policy.</w:t>
      </w:r>
    </w:p>
    <w:p>
      <w:pPr>
        <w:spacing w:after="0" w:line="101"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7.Exceptions to the Recovery Requirement</w:t>
      </w:r>
      <w:r>
        <w:rPr>
          <w:rFonts w:ascii="Times New Roman" w:cs="Times New Roman" w:eastAsia="Times New Roman" w:hAnsi="Times New Roman"/>
          <w:sz w:val="18"/>
          <w:szCs w:val="18"/>
          <w:color w:val="auto"/>
        </w:rPr>
        <w:t>. Notwithstanding anything in this Policy to the contrary, Erroneously Awarded Compensation need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recovered pursuant to this Policy if the Committee (or, if the Committee is not composed solely of Independent Directors, a majority of the Independent Directors serving on the Board) determines that recovery would be impracticable as a result of any of the following:</w:t>
      </w:r>
    </w:p>
    <w:p>
      <w:pPr>
        <w:spacing w:after="0" w:line="121" w:lineRule="exact"/>
        <w:rPr>
          <w:sz w:val="20"/>
          <w:szCs w:val="20"/>
          <w:color w:val="auto"/>
        </w:rPr>
      </w:pPr>
    </w:p>
    <w:p>
      <w:pPr>
        <w:jc w:val="both"/>
        <w:ind w:firstLine="757"/>
        <w:spacing w:after="0" w:line="261" w:lineRule="auto"/>
        <w:tabs>
          <w:tab w:leader="none" w:pos="10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provided that,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 or</w:t>
      </w:r>
    </w:p>
    <w:p>
      <w:pPr>
        <w:spacing w:after="0" w:line="125"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04" w:lineRule="exact"/>
        <w:rPr>
          <w:sz w:val="20"/>
          <w:szCs w:val="20"/>
          <w:color w:val="auto"/>
        </w:rPr>
      </w:pPr>
    </w:p>
    <w:p>
      <w:pPr>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8.Committee Determination Final</w:t>
      </w:r>
      <w:r>
        <w:rPr>
          <w:rFonts w:ascii="Times New Roman" w:cs="Times New Roman" w:eastAsia="Times New Roman" w:hAnsi="Times New Roman"/>
          <w:sz w:val="18"/>
          <w:szCs w:val="18"/>
          <w:color w:val="auto"/>
        </w:rPr>
        <w:t>. Any determination by the Committee with respect to the Policy shall be final, conclusive and binding on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ind w:left="380"/>
        <w:spacing w:after="0"/>
        <w:rPr>
          <w:sz w:val="20"/>
          <w:szCs w:val="20"/>
          <w:color w:val="auto"/>
        </w:rPr>
      </w:pPr>
      <w:r>
        <w:rPr>
          <w:rFonts w:ascii="Times New Roman" w:cs="Times New Roman" w:eastAsia="Times New Roman" w:hAnsi="Times New Roman"/>
          <w:sz w:val="18"/>
          <w:szCs w:val="18"/>
          <w:b w:val="1"/>
          <w:bCs w:val="1"/>
          <w:color w:val="auto"/>
        </w:rPr>
        <w:t>9.Amendment</w:t>
      </w:r>
      <w:r>
        <w:rPr>
          <w:rFonts w:ascii="Times New Roman" w:cs="Times New Roman" w:eastAsia="Times New Roman" w:hAnsi="Times New Roman"/>
          <w:sz w:val="18"/>
          <w:szCs w:val="18"/>
          <w:color w:val="auto"/>
        </w:rPr>
        <w:t>. The Policy may be amended by the Committee from time to time, to the extent permitted under the Listing Rules.</w:t>
      </w:r>
    </w:p>
    <w:p>
      <w:pPr>
        <w:spacing w:after="0" w:line="171"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10.Non-Exclusivity</w:t>
      </w:r>
      <w:r>
        <w:rPr>
          <w:rFonts w:ascii="Times New Roman" w:cs="Times New Roman" w:eastAsia="Times New Roman" w:hAnsi="Times New Roman"/>
          <w:sz w:val="18"/>
          <w:szCs w:val="18"/>
          <w:color w:val="auto"/>
        </w:rPr>
        <w:t>. Nothing in the Policy shall be viewed as limiting the right of the Company or the Committee to pursue additional remedies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under or as required by any similar policy adopted by the Company or under the Company’s compensation plans, award agreements, employment agreements or similar agreements or the applicable provisions of any law, rule or regulation which may require or permit recoupment to a greater degree or with respect to additional compensation as compared to this Policy (but without duplication as to any recoupment already made with respect to Erroneously Awarded Compensation pursuant to this Policy). This Policy shall be interpreted in all respects to comply with the Listing Rules.</w:t>
      </w:r>
    </w:p>
    <w:p>
      <w:pPr>
        <w:spacing w:after="0" w:line="125"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11.Successors</w:t>
      </w:r>
      <w:r>
        <w:rPr>
          <w:rFonts w:ascii="Times New Roman" w:cs="Times New Roman" w:eastAsia="Times New Roman" w:hAnsi="Times New Roman"/>
          <w:sz w:val="18"/>
          <w:szCs w:val="18"/>
          <w:color w:val="auto"/>
        </w:rPr>
        <w:t>. The Policy shall be binding and enforceable against all Covered Executives and their beneficiaries, heirs, executors, administrators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legal representatives.</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12.Defined Terms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Executives</w:t>
      </w:r>
      <w:r>
        <w:rPr>
          <w:rFonts w:ascii="Times New Roman" w:cs="Times New Roman" w:eastAsia="Times New Roman" w:hAnsi="Times New Roman"/>
          <w:sz w:val="18"/>
          <w:szCs w:val="18"/>
          <w:color w:val="auto"/>
        </w:rPr>
        <w:t>” shall have the meaning set forth in Section 3 of this Policy.</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the amount of Incentive Compensation actually Received that exceeds the amount of Incentive Compensation that otherwise would have been Received had it been determined based on the restated amounts, and computed without regard to any taxes paid. For Incentive Compensation based on stock price or total shareholder return, where the amount of erroneously awarded Incentive Compensation is not subject to mathematical recalculation directly from the information in a Restatement:</w:t>
      </w:r>
    </w:p>
    <w:p>
      <w:pPr>
        <w:spacing w:after="0" w:line="126" w:lineRule="exact"/>
        <w:rPr>
          <w:sz w:val="20"/>
          <w:szCs w:val="20"/>
          <w:color w:val="auto"/>
        </w:rPr>
      </w:pPr>
    </w:p>
    <w:p>
      <w:pPr>
        <w:ind w:left="1140" w:hanging="383"/>
        <w:spacing w:after="0" w:line="282" w:lineRule="auto"/>
        <w:tabs>
          <w:tab w:leader="none" w:pos="1140"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calculation of Erroneously Awarded Compensation shall be based on a reasonable estimate of the effect of the Restatement on the stock price or total shareholder return upon which the Incentive Compensation was Received; and</w:t>
      </w:r>
    </w:p>
    <w:p>
      <w:pPr>
        <w:spacing w:after="0" w:line="107" w:lineRule="exact"/>
        <w:rPr>
          <w:rFonts w:ascii="Times New Roman" w:cs="Times New Roman" w:eastAsia="Times New Roman" w:hAnsi="Times New Roman"/>
          <w:sz w:val="18"/>
          <w:szCs w:val="18"/>
          <w:color w:val="010000"/>
        </w:rPr>
      </w:pPr>
    </w:p>
    <w:p>
      <w:pPr>
        <w:ind w:left="1140" w:hanging="383"/>
        <w:spacing w:after="0" w:line="282" w:lineRule="auto"/>
        <w:tabs>
          <w:tab w:leader="none" w:pos="1140"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maintain documentation of the determination of that reasonable estimate and provide such documentation to the Exchange.</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shall mean The Nasdaq Stock Market LLC.</w:t>
      </w:r>
    </w:p>
    <w:p>
      <w:pPr>
        <w:spacing w:after="0" w:line="17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shall be deemed executive officers of the Company if they perform such policy making functions for the Company.</w:t>
      </w:r>
    </w:p>
    <w:p>
      <w:pPr>
        <w:spacing w:after="0" w:line="1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any measures that are derived wholly or in part from such measures, including, without limitation, stock price and total shareholder return (in each case, regardless of whether such measures are presented within the Company’s financial statements or included in a filing with the Securities and Exchange Commission).</w:t>
      </w:r>
    </w:p>
    <w:p>
      <w:pPr>
        <w:spacing w:after="0" w:line="12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shall mean the Company’s fiscal year; provided that a Transition Period between the last day of the Company’s previous fiscal year end and the first day of its new fiscal year that comprises a period of nine to 12 months will be deemed a completed fiscal year.</w:t>
      </w:r>
    </w:p>
    <w:p>
      <w:pPr>
        <w:spacing w:after="0" w:line="10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shall mean any compensation (whether cash or equity-based) that is granted, earned, 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(i) awards that are granted, earned and vested exclusively upon completion of a specified employment period, without any performance condition, and (ii) bonus awards that are discretionary or based on subjective goals or goals unrelated to Financial Reporting Measures. Notwithstanding the foregoing, compensation amounts shall not be considered “Incentive Compensation” for purposes of the Policy unless such compensation is Received (1) while the Company has a class of securities listed on a national securities exchange or a national securities association and (2) on or after October 2, 2023, the effective date of the Listing Rules.</w:t>
      </w:r>
    </w:p>
    <w:p>
      <w:pPr>
        <w:spacing w:after="0" w:line="13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shall mean a director who is determined by the Board to be “independent” for Board or Committee membership, as applicable, under the rules of the Exchange, as of any determination date.</w:t>
      </w:r>
    </w:p>
    <w:p>
      <w:pPr>
        <w:spacing w:after="0" w:line="1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Rules</w:t>
      </w:r>
      <w:r>
        <w:rPr>
          <w:rFonts w:ascii="Times New Roman" w:cs="Times New Roman" w:eastAsia="Times New Roman" w:hAnsi="Times New Roman"/>
          <w:sz w:val="18"/>
          <w:szCs w:val="18"/>
          <w:color w:val="auto"/>
        </w:rPr>
        <w:t>” shall have the meaning set forth in Section 1 of this Policy.</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Incentive Compensation shall be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 Compensation award is attained, even if the payment or grant of the Incentive Compensation occurs after the end of that period.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w:t>
      </w:r>
    </w:p>
    <w:p>
      <w:pPr>
        <w:spacing w:after="0" w:line="12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Transition Period</w:t>
      </w:r>
      <w:r>
        <w:rPr>
          <w:rFonts w:ascii="Times New Roman" w:cs="Times New Roman" w:eastAsia="Times New Roman" w:hAnsi="Times New Roman"/>
          <w:sz w:val="18"/>
          <w:szCs w:val="18"/>
          <w:color w:val="auto"/>
        </w:rPr>
        <w:t>” shall mean any transition period that results from a change in the Company’s Fiscal Year within or immediately following the three completed Fiscal Years immediately preceding the Company’s requirement to prepare a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on</w:t>
      </w:r>
      <w:r>
        <w:rPr>
          <w:rFonts w:ascii="Times New Roman" w:cs="Times New Roman" w:eastAsia="Times New Roman" w:hAnsi="Times New Roman"/>
          <w:sz w:val="18"/>
          <w:szCs w:val="18"/>
          <w:color w:val="auto"/>
        </w:rPr>
        <w:t>: October 26, 2023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lvl w:ilvl="1">
      <w:lvlJc w:val="left"/>
      <w:lvlText w:val="%2"/>
      <w:numFmt w:val="decimal"/>
      <w:start w:val="104"/>
    </w:lvl>
  </w:abstractNum>
  <w:abstractNum w:abstractNumId="39">
    <w:nsid w:val="3DC240FB"/>
    <w:multiLevelType w:val="hybridMultilevel"/>
    <w:lvl w:ilvl="0">
      <w:lvlJc w:val="left"/>
      <w:lvlText w:val="o"/>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2"/>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2"/>
    </w:lvl>
    <w:lvl w:ilvl="1">
      <w:lvlJc w:val="left"/>
      <w:lvlText w:val="(%2)"/>
      <w:numFmt w:val="lowerRoman"/>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3"/>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lvl w:ilvl="1">
      <w:lvlJc w:val="left"/>
      <w:lvlText w:val="(%2)"/>
      <w:numFmt w:val="lowerRoman"/>
      <w:start w:val="1"/>
    </w:lvl>
  </w:abstractNum>
  <w:abstractNum w:abstractNumId="55">
    <w:nsid w:val="47398C89"/>
    <w:multiLevelType w:val="hybridMultilevel"/>
    <w:lvl w:ilvl="0">
      <w:lvlJc w:val="left"/>
      <w:lvlText w:val="%1."/>
      <w:numFmt w:val="decimal"/>
      <w:start w:val="1"/>
    </w:lvl>
    <w:lvl w:ilvl="1">
      <w:lvlJc w:val="left"/>
      <w:lvlText w:val="%2."/>
      <w:numFmt w:val="lowerLetter"/>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121" Type="http://schemas.openxmlformats.org/officeDocument/2006/relationships/hyperlink" Target="https://www.sec.gov/Archives/edgar/data/1210677/000119312521200542/d12470dex31.htm" TargetMode="External"/><Relationship Id="rId122" Type="http://schemas.openxmlformats.org/officeDocument/2006/relationships/hyperlink" Target="https://www.sec.gov/Archives/edgar/data/1210677/000119312521200542/d12470dex32.htm" TargetMode="External"/><Relationship Id="rId123" Type="http://schemas.openxmlformats.org/officeDocument/2006/relationships/hyperlink" Target="https://www.sec.gov/Archives/edgar/data/1210677/000095017022004413/fa-ex4_1.htm" TargetMode="External"/><Relationship Id="rId124" Type="http://schemas.openxmlformats.org/officeDocument/2006/relationships/hyperlink" Target="https://www.sec.gov/Archives/edgar/data/1210677/000119312521200542/d12470dex103.htm" TargetMode="External"/><Relationship Id="rId125" Type="http://schemas.openxmlformats.org/officeDocument/2006/relationships/hyperlink" Target="https://www.sec.gov/Archives/edgar/data/1210677/000095017021001382/fa-20210630ex10_2.htm" TargetMode="External"/><Relationship Id="rId126" Type="http://schemas.openxmlformats.org/officeDocument/2006/relationships/hyperlink" Target="https://www.sec.gov/Archives/edgar/data/1210677/000095017023040616/fa-ex10_1.htm" TargetMode="External"/><Relationship Id="rId127" Type="http://schemas.openxmlformats.org/officeDocument/2006/relationships/hyperlink" Target="https://www.sec.gov/Archives/edgar/data/1210677/000119312521199389/d154811dex45.htm" TargetMode="External"/><Relationship Id="rId128" Type="http://schemas.openxmlformats.org/officeDocument/2006/relationships/hyperlink" Target="https://www.sec.gov/Archives/edgar/data/1210677/000095017022014791/fa-ex10_3.htm" TargetMode="External"/><Relationship Id="rId129" Type="http://schemas.openxmlformats.org/officeDocument/2006/relationships/hyperlink" Target="https://www.sec.gov/Archives/edgar/data/1210677/000095017022014791/fa-ex10_1.htm" TargetMode="External"/><Relationship Id="rId130" Type="http://schemas.openxmlformats.org/officeDocument/2006/relationships/hyperlink" Target="https://www.sec.gov/Archives/edgar/data/1210677/000095017022014791/fa-ex10_2.htm" TargetMode="External"/><Relationship Id="rId131" Type="http://schemas.openxmlformats.org/officeDocument/2006/relationships/hyperlink" Target="https://www.sec.gov/Archives/edgar/data/1210677/000119312521199389/d154811dex46.htm" TargetMode="External"/><Relationship Id="rId132" Type="http://schemas.openxmlformats.org/officeDocument/2006/relationships/hyperlink" Target="https://www.sec.gov/Archives/edgar/data/1210677/000095017022014791/fa-ex10_4.htm" TargetMode="External"/><Relationship Id="rId133" Type="http://schemas.openxmlformats.org/officeDocument/2006/relationships/hyperlink" Target="https://www.sec.gov/Archives/edgar/data/1210677/000095017021001382/fa-20210630ex10_6.htm" TargetMode="External"/><Relationship Id="rId134" Type="http://schemas.openxmlformats.org/officeDocument/2006/relationships/hyperlink" Target="https://www.sec.gov/Archives/edgar/data/1210677/000095017021001382/fa-20210630ex10_7.htm" TargetMode="External"/><Relationship Id="rId135" Type="http://schemas.openxmlformats.org/officeDocument/2006/relationships/hyperlink" Target="https://www.sec.gov/Archives/edgar/data/1210677/000119312521189386/d147929dex107.htm" TargetMode="External"/><Relationship Id="rId136" Type="http://schemas.openxmlformats.org/officeDocument/2006/relationships/hyperlink" Target="https://www.sec.gov/Archives/edgar/data/1210677/000095017023020564/fa-ex10_3.htm" TargetMode="External"/><Relationship Id="rId137" Type="http://schemas.openxmlformats.org/officeDocument/2006/relationships/hyperlink" Target="https://www.sec.gov/Archives/edgar/data/1210677/000095017023005110/fa-ex10_12.htm" TargetMode="External"/><Relationship Id="rId138" Type="http://schemas.openxmlformats.org/officeDocument/2006/relationships/hyperlink" Target="https://www.sec.gov/Archives/edgar/data/1210677/000095017021001382/fa-20210630ex10_9.htm" TargetMode="External"/><Relationship Id="rId139" Type="http://schemas.openxmlformats.org/officeDocument/2006/relationships/hyperlink" Target="https://www.sec.gov/Archives/edgar/data/1210677/000119312521199389/d154811dex412.htm" TargetMode="External"/><Relationship Id="rId140" Type="http://schemas.openxmlformats.org/officeDocument/2006/relationships/hyperlink" Target="https://www.sec.gov/Archives/edgar/data/1210677/000095017023040616/fa-ex10_2.htm" TargetMode="External"/><Relationship Id="rId141" Type="http://schemas.openxmlformats.org/officeDocument/2006/relationships/hyperlink" Target="https://www.sec.gov/Archives/edgar/data/1210677/000119312521177004/d147929dex103.htm" TargetMode="External"/><Relationship Id="rId144" Type="http://schemas.openxmlformats.org/officeDocument/2006/relationships/hyperlink" Target="https://www.sec.gov/Archives/edgar/data/1210677/000119312521177004/d147929dex104.htm" TargetMode="External"/><Relationship Id="rId145" Type="http://schemas.openxmlformats.org/officeDocument/2006/relationships/hyperlink" Target="https://www.sec.gov/Archives/edgar/data/1210677/000119312521177004/d147929dex105.htm" TargetMode="External"/><Relationship Id="rId146" Type="http://schemas.openxmlformats.org/officeDocument/2006/relationships/hyperlink" Target="https://www.sec.gov/Archives/edgar/data/1210677/000119312521177004/d147929dex106.htm" TargetMode="External"/><Relationship Id="rId147" Type="http://schemas.openxmlformats.org/officeDocument/2006/relationships/hyperlink" Target="https://www.sec.gov/Archives/edgar/data/1210677/000095017023020564/fa-ex10_1.htm" TargetMode="External"/><Relationship Id="rId148" Type="http://schemas.openxmlformats.org/officeDocument/2006/relationships/hyperlink" Target="https://www.sec.gov/Archives/edgar/data/1210677/000095017023020564/fa-ex10_2.htm" TargetMode="External"/><Relationship Id="rId149" Type="http://schemas.openxmlformats.org/officeDocument/2006/relationships/hyperlink" Target="https://www.sec.gov/Archives/edgar/data/1210677/000119312521177004/d147929dex107.htm" TargetMode="External"/><Relationship Id="rId150" Type="http://schemas.openxmlformats.org/officeDocument/2006/relationships/hyperlink" Target="https://www.sec.gov/Archives/edgar/data/1210677/000119312521177004/d147929dex108.htm" TargetMode="External"/><Relationship Id="rId151" Type="http://schemas.openxmlformats.org/officeDocument/2006/relationships/hyperlink" Target="https://www.sec.gov/Archives/edgar/data/1210677/000119312521177004/d147929dex109.htm" TargetMode="External"/><Relationship Id="rId152" Type="http://schemas.openxmlformats.org/officeDocument/2006/relationships/hyperlink" Target="https://www.sec.gov/Archives/edgar/data/1210677/000119312521189386/d147929dex1016.htm" TargetMode="External"/><Relationship Id="rId153" Type="http://schemas.openxmlformats.org/officeDocument/2006/relationships/hyperlink" Target="https://www.sec.gov/Archives/edgar/data/1210677/000095017022004413/fa-ex10_19.htm" TargetMode="External"/><Relationship Id="rId154" Type="http://schemas.openxmlformats.org/officeDocument/2006/relationships/hyperlink" Target="https://www.sec.gov/Archives/edgar/data/1210677/000119312521177004/d147929dex1010.htm" TargetMode="External"/><Relationship Id="rId155" Type="http://schemas.openxmlformats.org/officeDocument/2006/relationships/hyperlink" Target="https://www.sec.gov/Archives/edgar/data/1210677/000119312521177004/d147929dex1011.htm" TargetMode="External"/><Relationship Id="rId156" Type="http://schemas.openxmlformats.org/officeDocument/2006/relationships/hyperlink" Target="https://www.sec.gov/Archives/edgar/data/1210677/000119312521177004/d147929dex1012.htm" TargetMode="External"/><Relationship Id="rId157" Type="http://schemas.openxmlformats.org/officeDocument/2006/relationships/hyperlink" Target="https://www.sec.gov/Archives/edgar/data/1210677/000095017023040616/fa-ex10_3.htm" TargetMode="External"/><Relationship Id="rId158" Type="http://schemas.openxmlformats.org/officeDocument/2006/relationships/hyperlink" Target="https://www.sec.gov/Archives/edgar/data/1210677/000119312521200542/d124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2024-03-02T17:18:52Z</dcterms:created>
  <dcterms:modified xsi:type="dcterms:W3CDTF">2024-03-02T17:18:52Z</dcterms:modified>
</cp:coreProperties>
</file>