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ectPr>
          <w:pgSz w:w="11900" w:h="16838" w:orient="portrait"/>
          <w:cols w:equalWidth="0" w:num="1">
            <w:col w:w="11240"/>
          </w:cols>
          <w:pgMar w:left="320" w:top="1262"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Concourse Parkway NE, Suite 200</w:t>
      </w:r>
    </w:p>
    <w:p>
      <w:pPr>
        <w:spacing w:after="0" w:line="2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84-3884690</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30328</w:t>
      </w:r>
    </w:p>
    <w:p>
      <w:pPr>
        <w:spacing w:after="0" w:line="19" w:lineRule="exact"/>
        <w:rPr>
          <w:sz w:val="24"/>
          <w:szCs w:val="24"/>
          <w:color w:val="auto"/>
        </w:rPr>
      </w:pPr>
    </w:p>
    <w:p>
      <w:pPr>
        <w:sectPr>
          <w:pgSz w:w="11900" w:h="16838" w:orient="portrait"/>
          <w:cols w:equalWidth="0" w:num="2">
            <w:col w:w="7460" w:space="480"/>
            <w:col w:w="3300"/>
          </w:cols>
          <w:pgMar w:left="320" w:top="1262"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(678) 868-4151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200660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6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40" w:type="dxa"/>
            <w:vAlign w:val="bottom"/>
            <w:vMerge w:val="restart"/>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2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70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p>
        </w:tc>
        <w:tc>
          <w:tcPr>
            <w:tcW w:w="424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30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62" w:right="3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32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2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16" w:lineRule="exact"/>
        <w:rPr>
          <w:sz w:val="24"/>
          <w:szCs w:val="24"/>
          <w:color w:val="auto"/>
        </w:rPr>
      </w:pPr>
    </w:p>
    <w:p>
      <w:pPr>
        <w:sectPr>
          <w:pgSz w:w="11900" w:h="16838" w:orient="portrait"/>
          <w:cols w:equalWidth="0" w:num="2">
            <w:col w:w="1580" w:space="700"/>
            <w:col w:w="8960"/>
          </w:cols>
          <w:pgMar w:left="320" w:top="1262" w:right="339" w:bottom="1440" w:gutter="0" w:footer="0" w:header="0"/>
          <w:type w:val="continuous"/>
        </w:sect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280"/>
        <w:spacing w:after="0" w:line="278" w:lineRule="auto"/>
        <w:rPr>
          <w:sz w:val="20"/>
          <w:szCs w:val="20"/>
          <w:color w:val="auto"/>
        </w:rPr>
      </w:pPr>
      <w:r>
        <w:rPr>
          <w:rFonts w:ascii="Times New Roman" w:cs="Times New Roman" w:eastAsia="Times New Roman" w:hAnsi="Times New Roman"/>
          <w:sz w:val="13"/>
          <w:szCs w:val="13"/>
          <w:color w:val="auto"/>
        </w:rPr>
        <w:t>As of June 30, 2025, the aggregate market value of the registrant’s common stock held by non-affiliates of the registrant was $1,331,899,011 based on the last reported sales price of the common stock as reported on Nasdaq. The number of shares of Common Stock outstanding as of February 20, 2026 was 174,319,117.</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40"/>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to be filed with the SEC within 120 days after the end of the fiscal year ended December 31, 2025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1600" w:type="dxa"/>
            <w:vAlign w:val="bottom"/>
            <w:tcBorders>
              <w:top w:val="single" w:sz="8" w:color="0000FF"/>
            </w:tcBorders>
            <w:gridSpan w:val="6"/>
          </w:tcPr>
          <w:p>
            <w:pPr>
              <w:spacing w:after="0"/>
              <w:rPr>
                <w:sz w:val="17"/>
                <w:szCs w:val="17"/>
                <w:color w:val="auto"/>
              </w:rPr>
            </w:pPr>
          </w:p>
        </w:tc>
        <w:tc>
          <w:tcPr>
            <w:tcW w:w="60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4900" w:type="dxa"/>
            <w:vAlign w:val="bottom"/>
            <w:gridSpan w:val="21"/>
          </w:tcPr>
          <w:p>
            <w:pPr>
              <w:ind w:left="43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used in this Annual Report, unless otherwise noted or indicated by the context:</w:t>
      </w:r>
    </w:p>
    <w:p>
      <w:pPr>
        <w:spacing w:after="0" w:line="171" w:lineRule="exact"/>
        <w:rPr>
          <w:sz w:val="20"/>
          <w:szCs w:val="20"/>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 regards to our business, means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customer” means a customer who contribute $500,000 or more to our revenues in a calendar year;</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the “Company,” “we,” “us,” and “our” mean the business of First Advantage Corporation and its subsidiaries;</w:t>
      </w:r>
    </w:p>
    <w:p>
      <w:pPr>
        <w:spacing w:after="0" w:line="117" w:lineRule="exact"/>
        <w:rPr>
          <w:rFonts w:ascii="Times New Roman" w:cs="Times New Roman" w:eastAsia="Times New Roman" w:hAnsi="Times New Roman"/>
          <w:sz w:val="18"/>
          <w:szCs w:val="18"/>
          <w:color w:val="auto"/>
        </w:rPr>
      </w:pPr>
    </w:p>
    <w:p>
      <w:pPr>
        <w:ind w:left="740" w:hanging="223"/>
        <w:spacing w:after="0" w:line="256"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retention rate” for the current year is a percentage, where the numerator is prior year revenues less the revenue impact of lost accounts; the denominator is prior year revenues. We calculate the revenue impact of lost accounts as the difference between the customer’s current year and prior year revenues for the months after which they are identified as lost. Therefore, the attrition impact of customers lost in the current year may be partially captured in both the current and following years’ retention rates depending on what point during the year they are lost. Our retention rate does not factor in revenue impact, whether growth or decline, attributable to existing customers or the incremental revenue impact of new customers;</w:t>
      </w:r>
    </w:p>
    <w:p>
      <w:pPr>
        <w:spacing w:after="0" w:line="79"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 regards to our business, means all geographical regions outside of the United States, Canada, and Latin America;</w:t>
      </w:r>
    </w:p>
    <w:p>
      <w:pPr>
        <w:spacing w:after="0" w:line="117" w:lineRule="exact"/>
        <w:rPr>
          <w:rFonts w:ascii="Times New Roman" w:cs="Times New Roman" w:eastAsia="Times New Roman" w:hAnsi="Times New Roman"/>
          <w:sz w:val="18"/>
          <w:szCs w:val="18"/>
          <w:color w:val="auto"/>
        </w:rPr>
      </w:pPr>
    </w:p>
    <w:p>
      <w:pPr>
        <w:ind w:left="740" w:right="400" w:hanging="223"/>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First Advantage” refers to First Advantage Corporation and its subsidiaries, prior to the Sterling acquisition, encompassing its core business operations, established workforce, existing processes, and the technology systems in place;</w:t>
      </w:r>
    </w:p>
    <w:p>
      <w:pPr>
        <w:spacing w:after="0" w:line="53" w:lineRule="exact"/>
        <w:rPr>
          <w:rFonts w:ascii="Times New Roman" w:cs="Times New Roman" w:eastAsia="Times New Roman" w:hAnsi="Times New Roman"/>
          <w:sz w:val="18"/>
          <w:szCs w:val="18"/>
          <w:color w:val="auto"/>
        </w:rPr>
      </w:pPr>
    </w:p>
    <w:p>
      <w:pPr>
        <w:ind w:left="740" w:right="80" w:hanging="223"/>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refers to Sterling Check Corp., which became an indirect, wholly owned subsidiary of First Advantage on October 31, 2024, and now operates as a separate reportable segment;</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attributable to the Company’s acquisitions” means revenues recognized in the first year following each acquisition;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means Silver Lake Group, L.L.C., together with its affiliates, successors, and assignees.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on Form 10-K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assumptions or changes in circumstances that are difficult to predict or quantify. 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them. Our forward-looking statements do not reflect the potential impact of any future acquisitions, mergers, dispositions, joint ventures, investments or other strategic transactions we may make.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First Advantage’s actual results to differ materially from expected results, please see “Risk Factors” in Part I, Item 1A. in this Annual Report, as such factors may be updated from time to time in our periodic filings with the Securities and Exchange Commission (“SEC”), which are accessible on the SEC’s website at www.sec.gov. The forward-looking statements included in this Annual Report speak only as of the date of this Annual Report, and we undertake no obligation to publicly update or review any forward-looking statement, whether as a result of new information, future developments, or otherwise, except as required by law.</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22" w:lineRule="exact"/>
        <w:rPr>
          <w:sz w:val="20"/>
          <w:szCs w:val="20"/>
          <w:color w:val="auto"/>
        </w:rPr>
      </w:pPr>
    </w:p>
    <w:p>
      <w:pPr>
        <w:ind w:left="740" w:right="1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beyond our control, including the state of the economy, could impact demand and the fulfillment costs for our products and solutions.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are subject to numerous and evolving laws and regulations.</w:t>
      </w:r>
    </w:p>
    <w:p>
      <w:pPr>
        <w:spacing w:after="0" w:line="117" w:lineRule="exact"/>
        <w:rPr>
          <w:rFonts w:ascii="Times New Roman" w:cs="Times New Roman" w:eastAsia="Times New Roman" w:hAnsi="Times New Roman"/>
          <w:sz w:val="18"/>
          <w:szCs w:val="18"/>
          <w:color w:val="auto"/>
        </w:rPr>
      </w:pPr>
    </w:p>
    <w:p>
      <w:pPr>
        <w:ind w:left="740" w:right="4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scrutiny of collection, use, and processing of personal data and data security could lead to increased restrictions, loss of revenue opportunity, greater costs of compliance, and lost efficiency.</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and successfully implement our growth strategies on a timely basis or at all.</w:t>
      </w:r>
    </w:p>
    <w:p>
      <w:pPr>
        <w:spacing w:after="0" w:line="117" w:lineRule="exact"/>
        <w:rPr>
          <w:rFonts w:ascii="Times New Roman" w:cs="Times New Roman" w:eastAsia="Times New Roman" w:hAnsi="Times New Roman"/>
          <w:sz w:val="18"/>
          <w:szCs w:val="18"/>
          <w:color w:val="auto"/>
        </w:rPr>
      </w:pPr>
    </w:p>
    <w:p>
      <w:pPr>
        <w:ind w:left="740" w:right="1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ethical, and legal issues relating to the use of new and evolving technologies, such as artificial intelligence and machine learning, in our offerings may result in reputational harm and liability.</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to our reputation or our brand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740" w:right="6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our customers reduce their operations, downsize their screening programs, or otherwise demand fewer of our products and solutions, our business could be adversely impacted.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penetrated and competitive market.</w:t>
      </w:r>
    </w:p>
    <w:p>
      <w:pPr>
        <w:spacing w:after="0" w:line="117" w:lineRule="exact"/>
        <w:rPr>
          <w:rFonts w:ascii="Times New Roman" w:cs="Times New Roman" w:eastAsia="Times New Roman" w:hAnsi="Times New Roman"/>
          <w:sz w:val="18"/>
          <w:szCs w:val="18"/>
          <w:color w:val="auto"/>
        </w:rPr>
      </w:pPr>
    </w:p>
    <w:p>
      <w:pPr>
        <w:ind w:left="740" w:right="18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and service providers. If they are unable to deliver or perform as expected, our ability to operate effectively may be impaired, and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740" w:right="160" w:hanging="223"/>
        <w:spacing w:after="0" w:line="312"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to government entities and higher-tier contractors to governmental customers involve unique competitive, procurement, budget, administrative and contractual risks, any of which could materially adversely impact our business, financial condition and results of operations.</w:t>
      </w:r>
    </w:p>
    <w:p>
      <w:pPr>
        <w:spacing w:after="0" w:line="31" w:lineRule="exact"/>
        <w:rPr>
          <w:rFonts w:ascii="Times New Roman" w:cs="Times New Roman" w:eastAsia="Times New Roman" w:hAnsi="Times New Roman"/>
          <w:sz w:val="17"/>
          <w:szCs w:val="17"/>
          <w:color w:val="auto"/>
        </w:rPr>
      </w:pPr>
    </w:p>
    <w:p>
      <w:pPr>
        <w:ind w:left="740" w:right="2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53" w:lineRule="exact"/>
        <w:rPr>
          <w:rFonts w:ascii="Times New Roman" w:cs="Times New Roman" w:eastAsia="Times New Roman" w:hAnsi="Times New Roman"/>
          <w:sz w:val="18"/>
          <w:szCs w:val="18"/>
          <w:color w:val="auto"/>
        </w:rPr>
      </w:pPr>
    </w:p>
    <w:p>
      <w:pPr>
        <w:ind w:left="740" w:right="5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brand, and reputation may be harmed as a result of security breaches, cyber-attacks, employee or other internal misconduct, computer viruses, or the mishandling of personal data.</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exposes us to a number of risks.</w:t>
      </w:r>
    </w:p>
    <w:p>
      <w:pPr>
        <w:spacing w:after="0" w:line="117" w:lineRule="exact"/>
        <w:rPr>
          <w:rFonts w:ascii="Times New Roman" w:cs="Times New Roman" w:eastAsia="Times New Roman" w:hAnsi="Times New Roman"/>
          <w:sz w:val="18"/>
          <w:szCs w:val="18"/>
          <w:color w:val="auto"/>
        </w:rPr>
      </w:pPr>
    </w:p>
    <w:p>
      <w:pPr>
        <w:ind w:left="740" w:right="4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products could adversely affect our business, results of operations, financial condition, and growth prospects.</w:t>
      </w:r>
    </w:p>
    <w:p>
      <w:pPr>
        <w:spacing w:after="0" w:line="53" w:lineRule="exact"/>
        <w:rPr>
          <w:rFonts w:ascii="Times New Roman" w:cs="Times New Roman" w:eastAsia="Times New Roman" w:hAnsi="Times New Roman"/>
          <w:sz w:val="18"/>
          <w:szCs w:val="18"/>
          <w:color w:val="auto"/>
        </w:rPr>
      </w:pPr>
    </w:p>
    <w:p>
      <w:pPr>
        <w:ind w:left="740" w:right="1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benefits of our acquisition of Sterling Check Corp. (“Sterling”) could adversely affect our business and the value of our common stock.</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attractive acquisition targets and strategic partnerships or successfully complete such transactions.</w:t>
      </w:r>
    </w:p>
    <w:p>
      <w:pPr>
        <w:spacing w:after="0" w:line="117" w:lineRule="exact"/>
        <w:rPr>
          <w:rFonts w:ascii="Times New Roman" w:cs="Times New Roman" w:eastAsia="Times New Roman" w:hAnsi="Times New Roman"/>
          <w:sz w:val="18"/>
          <w:szCs w:val="18"/>
          <w:color w:val="auto"/>
        </w:rPr>
      </w:pPr>
    </w:p>
    <w:p>
      <w:pPr>
        <w:ind w:left="740" w:right="3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economic and trade sanctions, and anti-money laundering laws and regulations could have an adverse effect on our business.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our Operation Centers of Excellence and other operational sites could adversely impact our business.</w:t>
      </w:r>
    </w:p>
    <w:p>
      <w:pPr>
        <w:spacing w:after="0" w:line="117" w:lineRule="exact"/>
        <w:rPr>
          <w:rFonts w:ascii="Times New Roman" w:cs="Times New Roman" w:eastAsia="Times New Roman" w:hAnsi="Times New Roman"/>
          <w:sz w:val="18"/>
          <w:szCs w:val="18"/>
          <w:color w:val="auto"/>
        </w:rPr>
      </w:pPr>
    </w:p>
    <w:p>
      <w:pPr>
        <w:ind w:left="740" w:right="50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guaranteed exclusivity or volumes in all of our contracts with our customers and our customers may experience major business changes that impact our current or future revenue streams.</w:t>
      </w:r>
    </w:p>
    <w:p>
      <w:pPr>
        <w:spacing w:after="0" w:line="53" w:lineRule="exact"/>
        <w:rPr>
          <w:rFonts w:ascii="Times New Roman" w:cs="Times New Roman" w:eastAsia="Times New Roman" w:hAnsi="Times New Roman"/>
          <w:sz w:val="18"/>
          <w:szCs w:val="18"/>
          <w:color w:val="auto"/>
        </w:rPr>
      </w:pPr>
    </w:p>
    <w:p>
      <w:pPr>
        <w:ind w:left="740" w:right="6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with our technology and network infrastructure, including our data centers, servers, and third-party cloud and internet providers, and our migration to the cloud, could have an adverse impact on our business.</w:t>
      </w:r>
    </w:p>
    <w:p>
      <w:pPr>
        <w:spacing w:after="0" w:line="53" w:lineRule="exact"/>
        <w:rPr>
          <w:rFonts w:ascii="Times New Roman" w:cs="Times New Roman" w:eastAsia="Times New Roman" w:hAnsi="Times New Roman"/>
          <w:sz w:val="18"/>
          <w:szCs w:val="18"/>
          <w:color w:val="auto"/>
        </w:rPr>
      </w:pPr>
    </w:p>
    <w:p>
      <w:pPr>
        <w:ind w:left="740" w:right="1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53" w:lineRule="exact"/>
        <w:rPr>
          <w:rFonts w:ascii="Times New Roman" w:cs="Times New Roman" w:eastAsia="Times New Roman" w:hAnsi="Times New Roman"/>
          <w:sz w:val="18"/>
          <w:szCs w:val="18"/>
          <w:color w:val="auto"/>
        </w:rPr>
      </w:pPr>
    </w:p>
    <w:p>
      <w:pPr>
        <w:ind w:left="740" w:right="740" w:hanging="223"/>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public opinion, which may be magnified by incidents or adverse publicity concerning our industry or operations.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vendors to carry out certain portions of our operations. If they cannot deliver or perform as expected or if our relationships</w:t>
      </w:r>
    </w:p>
    <w:p>
      <w:pPr>
        <w:spacing w:after="0" w:line="39" w:lineRule="exact"/>
        <w:rPr>
          <w:sz w:val="20"/>
          <w:szCs w:val="20"/>
          <w:color w:val="auto"/>
        </w:rPr>
      </w:pPr>
    </w:p>
    <w:p>
      <w:pPr>
        <w:jc w:val="center"/>
        <w:ind w:left="600" w:right="460"/>
        <w:spacing w:after="0" w:line="260" w:lineRule="auto"/>
        <w:rPr>
          <w:sz w:val="20"/>
          <w:szCs w:val="20"/>
          <w:color w:val="auto"/>
        </w:rPr>
      </w:pPr>
      <w:r>
        <w:rPr>
          <w:rFonts w:ascii="Times New Roman" w:cs="Times New Roman" w:eastAsia="Times New Roman" w:hAnsi="Times New Roman"/>
          <w:sz w:val="18"/>
          <w:szCs w:val="18"/>
          <w:color w:val="auto"/>
        </w:rPr>
        <w:t>with them are terminated or otherwise change, our business operations and results of operations could be materially and adversely affected.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success depends in large part on the service of our key executives and our ability to find and retain qualified employees.</w:t>
      </w:r>
    </w:p>
    <w:p>
      <w:pPr>
        <w:spacing w:after="0" w:line="117" w:lineRule="exact"/>
        <w:rPr>
          <w:rFonts w:ascii="Times New Roman" w:cs="Times New Roman" w:eastAsia="Times New Roman" w:hAnsi="Times New Roman"/>
          <w:sz w:val="18"/>
          <w:szCs w:val="18"/>
          <w:color w:val="auto"/>
        </w:rPr>
      </w:pPr>
    </w:p>
    <w:p>
      <w:pPr>
        <w:ind w:left="740" w:right="20" w:hanging="223"/>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6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protect and enforce the confidentiality of our trade secrets, our business and competitive position would be harmed.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open-source software in our applications may expose us to additional risks and harm our intellectual property rights.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may cause our operating results to fluctuate from quarter to quarter.</w:t>
      </w:r>
    </w:p>
    <w:p>
      <w:pPr>
        <w:spacing w:after="0" w:line="117" w:lineRule="exact"/>
        <w:rPr>
          <w:rFonts w:ascii="Times New Roman" w:cs="Times New Roman" w:eastAsia="Times New Roman" w:hAnsi="Times New Roman"/>
          <w:sz w:val="18"/>
          <w:szCs w:val="18"/>
          <w:color w:val="auto"/>
        </w:rPr>
      </w:pPr>
    </w:p>
    <w:p>
      <w:pPr>
        <w:ind w:left="740" w:right="36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controls us and its interests may conflict with yours in the future.</w:t>
      </w:r>
    </w:p>
    <w:p>
      <w:pPr>
        <w:spacing w:after="0" w:line="117" w:lineRule="exact"/>
        <w:rPr>
          <w:rFonts w:ascii="Times New Roman" w:cs="Times New Roman" w:eastAsia="Times New Roman" w:hAnsi="Times New Roman"/>
          <w:sz w:val="18"/>
          <w:szCs w:val="18"/>
          <w:color w:val="auto"/>
        </w:rPr>
      </w:pPr>
    </w:p>
    <w:p>
      <w:pPr>
        <w:ind w:left="740" w:right="22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tax laws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740" w:right="56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cycles can be lengthy and variable, depend upon factors outside our control, and could cause us unexpected delays in generating revenues or result in lower than anticipated revenues.</w:t>
      </w:r>
    </w:p>
    <w:p>
      <w:pPr>
        <w:spacing w:after="0" w:line="53" w:lineRule="exact"/>
        <w:rPr>
          <w:rFonts w:ascii="Times New Roman" w:cs="Times New Roman" w:eastAsia="Times New Roman" w:hAnsi="Times New Roman"/>
          <w:sz w:val="18"/>
          <w:szCs w:val="18"/>
          <w:color w:val="auto"/>
        </w:rPr>
      </w:pPr>
    </w:p>
    <w:p>
      <w:pPr>
        <w:ind w:left="740" w:right="24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ability to raise additional capital to fund our operations, limit our ability to react to changes in the economy or our industry, and prevent us from meeting our obligations.</w:t>
      </w:r>
    </w:p>
    <w:p>
      <w:pPr>
        <w:spacing w:after="0" w:line="53" w:lineRule="exact"/>
        <w:rPr>
          <w:rFonts w:ascii="Times New Roman" w:cs="Times New Roman" w:eastAsia="Times New Roman" w:hAnsi="Times New Roman"/>
          <w:sz w:val="18"/>
          <w:szCs w:val="18"/>
          <w:color w:val="auto"/>
        </w:rPr>
      </w:pPr>
    </w:p>
    <w:p>
      <w:pPr>
        <w:ind w:left="740" w:right="100" w:hanging="223"/>
        <w:spacing w:after="0" w:line="312"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31" w:lineRule="exact"/>
        <w:rPr>
          <w:rFonts w:ascii="Times New Roman" w:cs="Times New Roman" w:eastAsia="Times New Roman" w:hAnsi="Times New Roman"/>
          <w:sz w:val="17"/>
          <w:szCs w:val="17"/>
          <w:color w:val="auto"/>
        </w:rPr>
      </w:pPr>
    </w:p>
    <w:p>
      <w:pPr>
        <w:ind w:left="740" w:hanging="2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instruments restrict our current and future operations, particularly our ability to respond to changes or take certain actions.</w:t>
      </w:r>
    </w:p>
    <w:p>
      <w:pPr>
        <w:spacing w:after="0" w:line="117" w:lineRule="exact"/>
        <w:rPr>
          <w:rFonts w:ascii="Times New Roman" w:cs="Times New Roman" w:eastAsia="Times New Roman" w:hAnsi="Times New Roman"/>
          <w:sz w:val="18"/>
          <w:szCs w:val="18"/>
          <w:color w:val="auto"/>
        </w:rPr>
      </w:pPr>
    </w:p>
    <w:p>
      <w:pPr>
        <w:ind w:left="740" w:hanging="223"/>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Corporation is a holding company with no operations of its own and, as such, it depends on its subsidiaries for cash to fund all of its operations and expenses, including future dividend payments,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own a number of registered and common law trademarks and pending applications for trademark registrations in the United States and other countries, including, for example: First Advantage, Profile Advantage, Enterprise Advantage, Insight Advantage, Verified!, RightID, RoadReady, Sterling, Corporate Screening, among others. Unless otherwise indicated, all trademarks, trade names, and service marks appearing in this Annual Report are proprietary to us, our affiliates, and/or licensors. This Annual Report also contains trademarks, trade names, and service marks of other companies, which are the property of their respective owners. Solely for convenience, the trademarks, trade names, and service marks referred to in this Annual Report may appear without the</w:t>
      </w:r>
    </w:p>
    <w:p>
      <w:pPr>
        <w:spacing w:after="0" w:line="3" w:lineRule="exact"/>
        <w:rPr>
          <w:sz w:val="20"/>
          <w:szCs w:val="20"/>
          <w:color w:val="auto"/>
        </w:rPr>
      </w:pPr>
    </w:p>
    <w:p>
      <w:pPr>
        <w:ind w:right="320" w:firstLine="8"/>
        <w:spacing w:after="0" w:line="250" w:lineRule="auto"/>
        <w:tabs>
          <w:tab w:leader="none" w:pos="1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TM symbols, but such references are not intended to indicate, in any way, that we will not assert, to the fullest extent under applicable law, our rights or the rights of the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First Advantage Corporation (“First Advantage” or the “Company”)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transform screening data into actionable intelligence—with benchmarking, insights, and continuous monitoring that help organizations make smarter workforce decisions.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over 80,000 customers worldwide—including approximately two-thirds of the Fortune 100—we deliver fast, comprehensive, and reliable identity verification, screening, and monitoring solutions for employers, their candidates, and their employees. We conduct more than 200 million screens annually across over 200 countries and territories, supported by decades of experience and proprietary databases containing over 1 billion records.</w:t>
      </w:r>
    </w:p>
    <w:p>
      <w:pPr>
        <w:spacing w:after="0" w:line="9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Identity, trust, and the way people work are shifting faster than ever. Organizations face unprecedented challenges: generative artificial intelligence (“AI”) and deepfake enabled identity-fraud, increasing regulatory complexity, borderless, distributed workforces, gig-based employment models, high churn and rapid role-switching, hybrid hiring, and social media risks. In this environment, identity can no longer be verified once; it must be actively understood, verified at multiple points in the employee lifecycle, and intelligently managed. First Advantage is well positioned to be a leader in this transformation, advancing the industry from fragmented, point-in-time checks to continuous, identity and background intelligence across the full employee lifecycle.</w:t>
      </w:r>
    </w:p>
    <w:p>
      <w:pPr>
        <w:spacing w:after="0" w:line="1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expertise and resources position us to grow market share by focusing on strategic industries and companies, increasing our share with existing customers, upselling and cross-selling products and solutions, and winning new customers. We engage multiple stakeholders within customer organizations, including Executive Management, Human Resources, Talent Acquisition, Compliance, Risk, Legal, Safety, and Vendor Management, who rely on our products and solutions.</w:t>
      </w:r>
    </w:p>
    <w:p>
      <w:pPr>
        <w:spacing w:after="0" w:line="11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verticalized go-to-market strategy delivers highly relevant products and solutions for targeted industry sectors, enabling us to build a diversified customer portfolio and effectively serve many of the largest, most sophisticated, and fastest-growing companies in the world. We have built a powerful, efficient customer-centric sales model, fueled by frequent customer engagement and deep subject-matter expertise in industry-specific compliance and regulatory requirements, which enables us to create meaningful, scalable products and solutions and drive consistent new business, upsell and cross-sell opportunities.</w:t>
      </w:r>
    </w:p>
    <w:p>
      <w:pPr>
        <w:spacing w:after="0" w:line="10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combination of our deep market expertise from our sales and support teams with the flexibility of our proprietary technology platforms enables us to deliver industry-relevant, highly specialized solutions to our customers in a scalable manner, driving growth and differentiating us from our competitors. This has allowed us to develop a highly trusted brand and long-standing relationships with our customers, as evidenced by our high customer satisfaction scores, average over 13-year tenure of our top 100 customers, and gross retention rate of approximately 96% as of December 31, 2025.</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technology is highly configurable, scalable, and extensible, integrating with more than 100 third-party Human Capital Management (“HCM”) software platforms and Applicant Tracking Systems (“ATS”) to provide visibility and input into our customers' human resources processes. Our AI-powered platforms deliver automated process outputs including anomaly detection, analytical insights, and continuous monitoring reports, transforming screening data into actionable insights and benchmarking capabilities. We leverage our proprietary internal databases, which include over 1 billion US criminal, education, and work history records as of December 31, 2025, and an extensive, highly curated network of thousands of automated, integrated primary source and third-party data providers. With approximately 90% of U.S. criminal screens completed in one day, we deliver fast turnaround times without sacrificing quality and compliance.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remain focused on leveraging our deep industry expertise with advanced technologies to deliver comprehensive identity solutions, while driving exceptional customer value through continuous product innovation. Our roadmap is defined by perpetual evolution: introducing frequent updates and new features that anticipate and respond to customer needs and industry trends. Recent advancements include digital biometric identity verification with liveness detection, synthetic identity and deepfake detection, continuous criminal monitoring, mobile-first AI-enabled candidate experiences, AI-powered credential verifications (SmartHub), continuous driver monitoring (RoadReady), and instant oral drug testing. We combine cutting-edge technology with deep human insight to help organizations navigate an increasingly complex landscape. We are defining the future of identity at work and delivering the data, technology, and innovation that enable organizations to hire with confidence and manage risk at scale.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importance of human capital and the associated risks to brand, reputation, safety, and compliance are ever-increasing in today’s interconnected, fast-paced environment. Along with broader sustainability considerations, these issues have become priorities at the highest executive and oversight levels of our customers worldwide. Key stakeholders, including executive leadership, boards of directors, external auditors, business owners, property managers, educators, volunteer organizations, and franchisors, all face a heightened level of public scrutiny and accountability. Significant technological and societal trends, including fraud and cyber-attacks, sexual harassment, workplace violence, regulatory compliance, and the pervasive influence of social media, are amplifying reputational risk and driving demand for employment background screening, digital identity solutions, and verification services. Our products and solutions are critical tools that companies rely on to support human capital management programs and maintain compliance with evolving regulatory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key trends are creating significant growth opportunities and increasing demand for our products and solutions:</w:t>
      </w:r>
    </w:p>
    <w:p>
      <w:pPr>
        <w:spacing w:after="0" w:line="167" w:lineRule="exact"/>
        <w:rPr>
          <w:sz w:val="20"/>
          <w:szCs w:val="20"/>
          <w:color w:val="auto"/>
        </w:rPr>
      </w:pPr>
    </w:p>
    <w:p>
      <w:pPr>
        <w:ind w:left="740" w:right="40" w:hanging="223"/>
        <w:spacing w:after="0" w:line="220" w:lineRule="exact"/>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Rise in Identity Fraud</w:t>
      </w:r>
      <w:r>
        <w:rPr>
          <w:rFonts w:ascii="Times New Roman" w:cs="Times New Roman" w:eastAsia="Times New Roman" w:hAnsi="Times New Roman"/>
          <w:sz w:val="18"/>
          <w:szCs w:val="18"/>
          <w:color w:val="auto"/>
        </w:rPr>
        <w:t>: Employers are facing a rapid increase in identity-related fraud, including synthetic identities, altered credentials,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impersonation attempts throughout the hiring and onboarding process. The growth of remote hiring, easy access to forged digital documents, and increasingly sophisticated fraud schemes elevate the risk to employers. These dynamics are driving organizations to adopt more advanced identity verification, biometric authentication, and fraud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detection technologies. Providers like First Advantage, with scaled identity solutions and integrated verification workflows, are well positioned to help companies mitigate fraud risk, enhance trust in workforce decisions, and safeguard compliance across global hiring environments.</w:t>
      </w:r>
    </w:p>
    <w:p>
      <w:pPr>
        <w:spacing w:after="0" w:line="143" w:lineRule="exact"/>
        <w:rPr>
          <w:rFonts w:ascii="Times New Roman" w:cs="Times New Roman" w:eastAsia="Times New Roman" w:hAnsi="Times New Roman"/>
          <w:sz w:val="18"/>
          <w:szCs w:val="18"/>
          <w:color w:val="auto"/>
        </w:rPr>
      </w:pPr>
    </w:p>
    <w:p>
      <w:pPr>
        <w:ind w:left="740" w:right="40" w:hanging="223"/>
        <w:spacing w:after="0" w:line="25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Heightened Regulatory and Compliance Scrutiny</w:t>
      </w:r>
      <w:r>
        <w:rPr>
          <w:rFonts w:ascii="Times New Roman" w:cs="Times New Roman" w:eastAsia="Times New Roman" w:hAnsi="Times New Roman"/>
          <w:sz w:val="18"/>
          <w:szCs w:val="18"/>
          <w:color w:val="auto"/>
        </w:rPr>
        <w:t>: Businesses today operate under heightened scrutiny and must comply with an expanding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complex set of global, regional, and industry-specific regulations that vary by geography and use case. Examples include the Fair Credit Reporting Act (“FCRA”), the EU and UK General Data Protection Regulation (“GDPR”), the Foreign Corrupt Practices Act (“FCPA”), the United Kingdom Bribery Act, as well as a growing number of US state privacy laws. These evolving requirements governing the collection, delivery, and use of background checks are driving companies to implement more comprehensive screening processes and seek partners with the scale, technology, and compliance expertise to meet their needs. Our products and solutions embed compliance into workflows, support global privacy standards, and strengthen corporate governance by enhancing risk management practices.</w:t>
      </w:r>
    </w:p>
    <w:p>
      <w:pPr>
        <w:spacing w:after="0" w:line="74" w:lineRule="exact"/>
        <w:rPr>
          <w:rFonts w:ascii="Times New Roman" w:cs="Times New Roman" w:eastAsia="Times New Roman" w:hAnsi="Times New Roman"/>
          <w:sz w:val="18"/>
          <w:szCs w:val="18"/>
          <w:color w:val="auto"/>
        </w:rPr>
      </w:pPr>
    </w:p>
    <w:p>
      <w:pPr>
        <w:ind w:left="740" w:right="160" w:hanging="223"/>
        <w:spacing w:after="0" w:line="275"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Executive-Level Focus on Safety, Compliance and Reputation</w:t>
      </w:r>
      <w:r>
        <w:rPr>
          <w:rFonts w:ascii="Times New Roman" w:cs="Times New Roman" w:eastAsia="Times New Roman" w:hAnsi="Times New Roman"/>
          <w:sz w:val="17"/>
          <w:szCs w:val="17"/>
          <w:color w:val="auto"/>
        </w:rPr>
        <w:t>: Screening, verifications, and compliance have evolved into mission-critical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priorities for boards and executive leadership teams as companies seek to mitigate brand, legal, and operational risks associated with workforce decisions. High-profile incidents involving workplace misconduct, fraud, regulatory breaches have resulted in significant reputational harm, litigation, and negative media exposure. These events reinforce the essential role of our solutions in helping companies safeguard their brand, protect stakeholders, and maintain compliance. Increasingly, companies are investing in comprehensive screening, monitoring, and verification programs that address safety and social responsibility concerns while reinforcing trust and accountability across their operations.</w:t>
      </w:r>
    </w:p>
    <w:p>
      <w:pPr>
        <w:spacing w:after="0" w:line="60" w:lineRule="exact"/>
        <w:rPr>
          <w:rFonts w:ascii="Times New Roman" w:cs="Times New Roman" w:eastAsia="Times New Roman" w:hAnsi="Times New Roman"/>
          <w:sz w:val="17"/>
          <w:szCs w:val="17"/>
          <w:color w:val="auto"/>
        </w:rPr>
      </w:pPr>
    </w:p>
    <w:p>
      <w:pPr>
        <w:ind w:left="740" w:right="80" w:hanging="223"/>
        <w:spacing w:after="0" w:line="259"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Elevated workforce mobility and voluntary employee churn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Generational and structural shifts have led to voluntary turnover, particularly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younger workers seeking better compensation, career advancement, and cultural alignment. Millennials and Gen-Z now represent a large share of the workforce and tend to exhibit greater job-switching behavior. The continued adoption of remote and hybrid work models reduces geographic constraints, expanding talent pools for employers and lowering switching costs for employees. These dynamics increase the need for fast, global, and efficient screening and identity verification services that providers of scale, like First Advantage, are well positioned to deliver.</w:t>
      </w:r>
    </w:p>
    <w:p>
      <w:pPr>
        <w:spacing w:after="0" w:line="71" w:lineRule="exact"/>
        <w:rPr>
          <w:rFonts w:ascii="Times New Roman" w:cs="Times New Roman" w:eastAsia="Times New Roman" w:hAnsi="Times New Roman"/>
          <w:sz w:val="18"/>
          <w:szCs w:val="18"/>
          <w:color w:val="auto"/>
        </w:rPr>
      </w:pPr>
    </w:p>
    <w:p>
      <w:pPr>
        <w:ind w:left="740" w:hanging="223"/>
        <w:spacing w:after="0" w:line="25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Growth of Contingent and Flexible Workforces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are increasingly leveraging contingent labor—including freelancers, contractors,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gig workers—to address talent shortages and enhance workforce flexibility. As these individuals often access sensitive data or interact directly with customers, employers face heightened responsibility to rigorously screen, verify, and monitor contingent personnel. Demand for comprehensive solutions continues to rise as companies seek to maintain compliance, mitigate operational and reputational risk, and manage workforce complexity across diverse labor categories. Our integrated capabilities position us to help customers effectively manage and safeguard their contingent and flexible workforces, with solutions designed to meet evolving needs while maintaining compliance and mitigating risk across diverse workforce models.</w:t>
      </w:r>
    </w:p>
    <w:p>
      <w:pPr>
        <w:spacing w:after="0" w:line="74" w:lineRule="exact"/>
        <w:rPr>
          <w:rFonts w:ascii="Times New Roman" w:cs="Times New Roman" w:eastAsia="Times New Roman" w:hAnsi="Times New Roman"/>
          <w:sz w:val="18"/>
          <w:szCs w:val="18"/>
          <w:color w:val="auto"/>
        </w:rPr>
      </w:pPr>
    </w:p>
    <w:p>
      <w:pPr>
        <w:ind w:left="740" w:right="20" w:hanging="223"/>
        <w:spacing w:after="0" w:line="274" w:lineRule="auto"/>
        <w:tabs>
          <w:tab w:leader="none" w:pos="7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Development of International Markets</w:t>
      </w:r>
      <w:r>
        <w:rPr>
          <w:rFonts w:ascii="Times New Roman" w:cs="Times New Roman" w:eastAsia="Times New Roman" w:hAnsi="Times New Roman"/>
          <w:sz w:val="17"/>
          <w:szCs w:val="17"/>
          <w:color w:val="auto"/>
        </w:rPr>
        <w:t>: Background screening penetration remains low in many international geographies, with a significant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portion of screens conducted by local providers. At the same time, global workforce trends, including increased cross-border hiring, remote work models, and heightened regulatory requirements, are driving multinational organizations to standardize and elevate human resources policies and</w:t>
      </w:r>
    </w:p>
    <w:p>
      <w:pPr>
        <w:spacing w:after="0" w:line="1" w:lineRule="exact"/>
        <w:rPr>
          <w:sz w:val="20"/>
          <w:szCs w:val="20"/>
          <w:color w:val="auto"/>
        </w:rPr>
      </w:pPr>
    </w:p>
    <w:p>
      <w:pPr>
        <w:ind w:left="740" w:right="240"/>
        <w:spacing w:after="0" w:line="250" w:lineRule="auto"/>
        <w:rPr>
          <w:sz w:val="20"/>
          <w:szCs w:val="20"/>
          <w:color w:val="auto"/>
        </w:rPr>
      </w:pPr>
      <w:r>
        <w:rPr>
          <w:rFonts w:ascii="Times New Roman" w:cs="Times New Roman" w:eastAsia="Times New Roman" w:hAnsi="Times New Roman"/>
          <w:sz w:val="18"/>
          <w:szCs w:val="18"/>
          <w:color w:val="auto"/>
        </w:rPr>
        <w:t>compliance practices worldwide. Demand for technology-enabled, high-quality, and fully compliant screening solutions is accelerating as companies seek providers with the scale, expertise, and global reach to deliver consistent results across jurisdictions. These dynamics position First Advantage to capture significant growth opportunities in international markets.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740" w:hanging="223"/>
        <w:spacing w:after="0" w:line="259"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Advances in Analytics to Increase Value of Data: </w:t>
      </w:r>
      <w:r>
        <w:rPr>
          <w:rFonts w:ascii="Times New Roman" w:cs="Times New Roman" w:eastAsia="Times New Roman" w:hAnsi="Times New Roman"/>
          <w:sz w:val="18"/>
          <w:szCs w:val="18"/>
          <w:color w:val="auto"/>
        </w:rPr>
        <w:t>The rapid growth of accessible, high-quality datasets, combined with advancements in AI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machine learning, is transforming the background screening industry. Companies increasingly seek integrated solutions that deliver insights and actionable analytics to improve hiring decisions and compliance outcomes. Many customers lack the internal resources to develop analytical and visualization tools, increasing the need for providers like First Advantage that offer cutting-edge integrated data analytics capabilities embedded with scalable technology.</w:t>
      </w:r>
    </w:p>
    <w:p>
      <w:pPr>
        <w:spacing w:after="0" w:line="125" w:lineRule="exact"/>
        <w:rPr>
          <w:rFonts w:ascii="Times New Roman" w:cs="Times New Roman" w:eastAsia="Times New Roman" w:hAnsi="Times New Roman"/>
          <w:sz w:val="18"/>
          <w:szCs w:val="18"/>
          <w:color w:val="auto"/>
        </w:rPr>
      </w:pPr>
    </w:p>
    <w:p>
      <w:pPr>
        <w:ind w:left="740" w:right="60" w:hanging="223"/>
        <w:spacing w:after="0" w:line="26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 in Enterprise Software: </w:t>
      </w:r>
      <w:r>
        <w:rPr>
          <w:rFonts w:ascii="Times New Roman" w:cs="Times New Roman" w:eastAsia="Times New Roman" w:hAnsi="Times New Roman"/>
          <w:sz w:val="18"/>
          <w:szCs w:val="18"/>
          <w:color w:val="auto"/>
        </w:rPr>
        <w:t>As companies increasingly invest in enterprise software solutions, including next-generation software-as-a-service for HCM, we anticipate a rise in demand for screening, verification, and compliance solutions that can interface with these systems in an automated fashion. Our product suite is designed to provide a seamless applicant and user experience, delivering valuable insights through data analytics.</w:t>
      </w:r>
    </w:p>
    <w:p>
      <w:pPr>
        <w:spacing w:after="0" w:line="68" w:lineRule="exact"/>
        <w:rPr>
          <w:rFonts w:ascii="Times New Roman" w:cs="Times New Roman" w:eastAsia="Times New Roman" w:hAnsi="Times New Roman"/>
          <w:sz w:val="18"/>
          <w:szCs w:val="18"/>
          <w:color w:val="auto"/>
        </w:rPr>
      </w:pPr>
    </w:p>
    <w:p>
      <w:pPr>
        <w:ind w:left="740" w:right="120" w:hanging="223"/>
        <w:spacing w:after="0" w:line="268"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in Post-Onboarding Solutions: </w:t>
      </w:r>
      <w:r>
        <w:rPr>
          <w:rFonts w:ascii="Times New Roman" w:cs="Times New Roman" w:eastAsia="Times New Roman" w:hAnsi="Times New Roman"/>
          <w:sz w:val="18"/>
          <w:szCs w:val="18"/>
          <w:color w:val="auto"/>
        </w:rPr>
        <w:t>Companies are expanding their screening programs beyond the traditional “one-and-done” pre-onboarding measures. Our investments in post-onboarding products and solutions, position us to capture share in this growing market, allowing organizations to mitigate ongoing risk effectively.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grow our business profitably by pursuing the following strategies:</w:t>
      </w:r>
    </w:p>
    <w:p>
      <w:pPr>
        <w:spacing w:after="0" w:line="167" w:lineRule="exact"/>
        <w:rPr>
          <w:sz w:val="20"/>
          <w:szCs w:val="20"/>
          <w:color w:val="auto"/>
        </w:rPr>
      </w:pPr>
    </w:p>
    <w:p>
      <w:pPr>
        <w:ind w:left="740" w:right="100" w:hanging="223"/>
        <w:spacing w:after="0" w:line="257"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Win New Customers: </w:t>
      </w:r>
      <w:r>
        <w:rPr>
          <w:rFonts w:ascii="Times New Roman" w:cs="Times New Roman" w:eastAsia="Times New Roman" w:hAnsi="Times New Roman"/>
          <w:sz w:val="18"/>
          <w:szCs w:val="18"/>
          <w:color w:val="auto"/>
        </w:rPr>
        <w:t>We are focused on acquiring new customers across diverse industry verticals, particularly those with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growth prospects, such as e-commerce, essential retail, healthcare, transportation, and home delivery. In addition, we are expanding our reach into financial services and regulated industries that require deeper, more frequent checks, and advanced compliance standards. Our emphasis on Enterprise customers, those with complex global operations and durable growth profiles, continues to drive the highest demand for our solutions. We believe our integrated technology platforms, high-performing Sales and Customer Success teams, operational excellence, and industry-leading reputation, position us to successfully expand our customer base and market share.</w:t>
      </w:r>
    </w:p>
    <w:p>
      <w:pPr>
        <w:spacing w:after="0" w:line="74" w:lineRule="exact"/>
        <w:rPr>
          <w:rFonts w:ascii="Times New Roman" w:cs="Times New Roman" w:eastAsia="Times New Roman" w:hAnsi="Times New Roman"/>
          <w:sz w:val="18"/>
          <w:szCs w:val="18"/>
          <w:color w:val="auto"/>
        </w:rPr>
      </w:pPr>
    </w:p>
    <w:p>
      <w:pPr>
        <w:ind w:left="740" w:hanging="223"/>
        <w:spacing w:after="0" w:line="254"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within Our Existing Customer Base through Upselling and Cross-selling: </w:t>
      </w:r>
      <w:r>
        <w:rPr>
          <w:rFonts w:ascii="Times New Roman" w:cs="Times New Roman" w:eastAsia="Times New Roman" w:hAnsi="Times New Roman"/>
          <w:sz w:val="18"/>
          <w:szCs w:val="18"/>
          <w:color w:val="auto"/>
        </w:rPr>
        <w:t>Our customers often begin their relationship with us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implementing a few core products and subsequently expand their usage of our solutions platform over time to build a more comprehensive approach to screening and risk management. We drive growth through upselling as customers extend our products and solutions to new divisions and geographies, increase screening depth, and adopt complementary pre- and post-onboarding offerings, such as continuous monitoring, social media screening, and advanced identity verification solutions. We also cross-sell risk mitigation and compliance solutions, such as hiring tax credits and fleet solutions. Our verticalized Customer Success teams work closely with our customers to develop robust compliance and risk management programs. We believe that the revenue opportunity within our existing customer base remains significant, supported by strong upsell and cross-sell momentum. We will continue to prioritize sales and marketing efforts aimed at increasing product penetration and expanding solution adoption across our existing customer base.</w:t>
      </w:r>
    </w:p>
    <w:p>
      <w:pPr>
        <w:spacing w:after="0" w:line="80" w:lineRule="exact"/>
        <w:rPr>
          <w:rFonts w:ascii="Times New Roman" w:cs="Times New Roman" w:eastAsia="Times New Roman" w:hAnsi="Times New Roman"/>
          <w:sz w:val="18"/>
          <w:szCs w:val="18"/>
          <w:color w:val="auto"/>
        </w:rPr>
      </w:pPr>
    </w:p>
    <w:p>
      <w:pPr>
        <w:ind w:left="740" w:right="60" w:hanging="223"/>
        <w:spacing w:after="0" w:line="259"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Innovate Our Product Offerings: </w:t>
      </w:r>
      <w:r>
        <w:rPr>
          <w:rFonts w:ascii="Times New Roman" w:cs="Times New Roman" w:eastAsia="Times New Roman" w:hAnsi="Times New Roman"/>
          <w:sz w:val="18"/>
          <w:szCs w:val="18"/>
          <w:color w:val="auto"/>
        </w:rPr>
        <w:t>We continue expanding our data-driven solutions and adjacent product capabilities,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criminal and verification data products and identity solutions. Building on these capabilities, we are enhancing our identity product suite to provide verification at every stage of the employee lifecycle— from applicant screening to ongoing workforce monitoring. We are developing automation enabled solutions that extend our capabilities in biometric verification, fraud mitigation, and advanced data analytics, and we will continue to invest significantly in technology to sustain and advance our product leadership.</w:t>
      </w:r>
    </w:p>
    <w:p>
      <w:pPr>
        <w:spacing w:after="0" w:line="71" w:lineRule="exact"/>
        <w:rPr>
          <w:rFonts w:ascii="Times New Roman" w:cs="Times New Roman" w:eastAsia="Times New Roman" w:hAnsi="Times New Roman"/>
          <w:sz w:val="18"/>
          <w:szCs w:val="18"/>
          <w:color w:val="auto"/>
        </w:rPr>
      </w:pPr>
    </w:p>
    <w:p>
      <w:pPr>
        <w:ind w:left="740" w:right="100" w:hanging="223"/>
        <w:spacing w:after="0" w:line="257"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Internationally: </w:t>
      </w:r>
      <w:r>
        <w:rPr>
          <w:rFonts w:ascii="Times New Roman" w:cs="Times New Roman" w:eastAsia="Times New Roman" w:hAnsi="Times New Roman"/>
          <w:sz w:val="18"/>
          <w:szCs w:val="18"/>
          <w:color w:val="auto"/>
        </w:rPr>
        <w:t>We are well-positioned to expand our global presence as multinational corporations increasingly seek to standardize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strengthen human resources policies and screening practices globally, while navigating a growing set of local requirements. Most enterprise customers do not currently utilize a single global provider and are actively evaluating opportunities to consolidate screening programs for consistency and efficiency. Our strategy focuses on capturing these opportunities by investing in localized compliance capabilities, multilingual platforms, and regional data partnerships to meet varying regulatory standards. These initiatives, combined with our scalable technology and global expertise, position us to accelerate adoption in international markets and deliver comprehensive risk management solutions worldwide.</w:t>
      </w:r>
    </w:p>
    <w:p>
      <w:pPr>
        <w:spacing w:after="0" w:line="74" w:lineRule="exact"/>
        <w:rPr>
          <w:rFonts w:ascii="Times New Roman" w:cs="Times New Roman" w:eastAsia="Times New Roman" w:hAnsi="Times New Roman"/>
          <w:sz w:val="18"/>
          <w:szCs w:val="18"/>
          <w:color w:val="auto"/>
        </w:rPr>
      </w:pPr>
    </w:p>
    <w:p>
      <w:pPr>
        <w:ind w:left="740" w:right="360" w:hanging="223"/>
        <w:spacing w:after="0" w:line="272"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Leverage Proprietary Data: </w:t>
      </w:r>
      <w:r>
        <w:rPr>
          <w:rFonts w:ascii="Times New Roman" w:cs="Times New Roman" w:eastAsia="Times New Roman" w:hAnsi="Times New Roman"/>
          <w:sz w:val="17"/>
          <w:szCs w:val="17"/>
          <w:color w:val="auto"/>
        </w:rPr>
        <w:t>With extensive industry experience, we have developed deep expertise in sourcing data from trusted providers,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maintaining extensive historical datasets, and transforming information into actionable insights. We plan to continue investing in the development, enhancement, and acquisition of proprietary data assets to strengthen our core business and create new opportunities. These initiatives enable us to improve the speed and accuracy of our services, drive cost efficiencies, and create differentiated products that deliver</w:t>
      </w:r>
    </w:p>
    <w:p>
      <w:pPr>
        <w:ind w:left="740"/>
        <w:spacing w:after="0"/>
        <w:rPr>
          <w:sz w:val="20"/>
          <w:szCs w:val="20"/>
          <w:color w:val="auto"/>
        </w:rPr>
      </w:pPr>
      <w:r>
        <w:rPr>
          <w:rFonts w:ascii="Times New Roman" w:cs="Times New Roman" w:eastAsia="Times New Roman" w:hAnsi="Times New Roman"/>
          <w:sz w:val="18"/>
          <w:szCs w:val="18"/>
          <w:color w:val="auto"/>
        </w:rPr>
        <w:t>greater value to our customers.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Product Suite</w:t>
      </w:r>
    </w:p>
    <w:p>
      <w:pPr>
        <w:spacing w:after="0" w:line="175"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First Advantage’s comprehensive product suite enables our customers across industries to perform pre-onboarding screening and post-onboarding monitoring of employees, contractors, contingent workers, and drivers. We generally classify our products and solutions into three categories: pre-onboarding, post-onboarding, and adjacent products, each of which is enabled by our technology, proprietary internal databases, and data analytics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Pre-Onboarding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offer an extensive array of products and solutions that strengthen the applicant evaluation process, support compliance from initial data submission through onboarding, and promote workplace safety. Our technology is flexibly tailored to each customer’s requirements, which could include a wide array of search categories such as Social Security number verification, education and employment verification, federal criminal checks, statewide criminal checks, country criminal checks, sex offender registry checks, and global sanctions checks. Our pre-onboarding products include:</w:t>
      </w:r>
    </w:p>
    <w:p>
      <w:pPr>
        <w:spacing w:after="0" w:line="122" w:lineRule="exact"/>
        <w:rPr>
          <w:sz w:val="20"/>
          <w:szCs w:val="20"/>
          <w:color w:val="auto"/>
        </w:rPr>
      </w:pPr>
    </w:p>
    <w:p>
      <w:pPr>
        <w:ind w:left="740" w:right="22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Criminal Background Checks: </w:t>
      </w:r>
      <w:r>
        <w:rPr>
          <w:rFonts w:ascii="Times New Roman" w:cs="Times New Roman" w:eastAsia="Times New Roman" w:hAnsi="Times New Roman"/>
          <w:sz w:val="18"/>
          <w:szCs w:val="18"/>
          <w:color w:val="auto"/>
        </w:rPr>
        <w:t>Utilizes our proprietary National Criminal Records File database, along with court and other public records,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help identify relevant matching and reportable criminal record histories.</w:t>
      </w:r>
    </w:p>
    <w:p>
      <w:pPr>
        <w:spacing w:after="0" w:line="46" w:lineRule="exact"/>
        <w:rPr>
          <w:rFonts w:ascii="Times New Roman" w:cs="Times New Roman" w:eastAsia="Times New Roman" w:hAnsi="Times New Roman"/>
          <w:sz w:val="18"/>
          <w:szCs w:val="18"/>
          <w:color w:val="auto"/>
        </w:rPr>
      </w:pPr>
    </w:p>
    <w:p>
      <w:pPr>
        <w:ind w:left="740" w:right="24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Drug / Health Screening: </w:t>
      </w:r>
      <w:r>
        <w:rPr>
          <w:rFonts w:ascii="Times New Roman" w:cs="Times New Roman" w:eastAsia="Times New Roman" w:hAnsi="Times New Roman"/>
          <w:sz w:val="18"/>
          <w:szCs w:val="18"/>
          <w:color w:val="auto"/>
        </w:rPr>
        <w:t>Offers various drug screening products, including saliva, urine, hair, and blood testing options, physical exams,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instant oral drug screening products performed by mouth swab collection.</w:t>
      </w:r>
    </w:p>
    <w:p>
      <w:pPr>
        <w:spacing w:after="0" w:line="46" w:lineRule="exact"/>
        <w:rPr>
          <w:rFonts w:ascii="Times New Roman" w:cs="Times New Roman" w:eastAsia="Times New Roman" w:hAnsi="Times New Roman"/>
          <w:sz w:val="18"/>
          <w:szCs w:val="18"/>
          <w:color w:val="auto"/>
        </w:rPr>
      </w:pPr>
    </w:p>
    <w:p>
      <w:pPr>
        <w:ind w:left="740" w:right="20" w:hanging="223"/>
        <w:spacing w:after="0" w:line="26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Identity Checks and Biometric Fraud Mitigation Tools: </w:t>
      </w:r>
      <w:r>
        <w:rPr>
          <w:rFonts w:ascii="Times New Roman" w:cs="Times New Roman" w:eastAsia="Times New Roman" w:hAnsi="Times New Roman"/>
          <w:sz w:val="18"/>
          <w:szCs w:val="18"/>
          <w:color w:val="auto"/>
        </w:rPr>
        <w:t>Includes government ID validation, liveness detection techniques, digital fingerprint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and identity and fraud mitigation tools. This suite includes telecom and device verification, identification document verification, facial recognition with biometric matching, Social Security number verification, and live video chat identification proofing.</w:t>
      </w:r>
    </w:p>
    <w:p>
      <w:pPr>
        <w:spacing w:after="0" w:line="62" w:lineRule="exact"/>
        <w:rPr>
          <w:rFonts w:ascii="Times New Roman" w:cs="Times New Roman" w:eastAsia="Times New Roman" w:hAnsi="Times New Roman"/>
          <w:sz w:val="18"/>
          <w:szCs w:val="18"/>
          <w:color w:val="auto"/>
        </w:rPr>
      </w:pPr>
    </w:p>
    <w:p>
      <w:pPr>
        <w:ind w:left="740" w:right="46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Extended Workforce Screening: </w:t>
      </w:r>
      <w:r>
        <w:rPr>
          <w:rFonts w:ascii="Times New Roman" w:cs="Times New Roman" w:eastAsia="Times New Roman" w:hAnsi="Times New Roman"/>
          <w:sz w:val="18"/>
          <w:szCs w:val="18"/>
          <w:color w:val="auto"/>
        </w:rPr>
        <w:t>Enables our customers to efficiently screen large numbers of contingent, contract, and temporary workers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various search types.</w:t>
      </w:r>
    </w:p>
    <w:p>
      <w:pPr>
        <w:spacing w:after="0" w:line="46" w:lineRule="exact"/>
        <w:rPr>
          <w:rFonts w:ascii="Times New Roman" w:cs="Times New Roman" w:eastAsia="Times New Roman" w:hAnsi="Times New Roman"/>
          <w:sz w:val="18"/>
          <w:szCs w:val="18"/>
          <w:color w:val="auto"/>
        </w:rPr>
      </w:pPr>
    </w:p>
    <w:p>
      <w:pPr>
        <w:ind w:left="740" w:right="300" w:hanging="223"/>
        <w:spacing w:after="0" w:line="28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 Work History Verification: </w:t>
      </w:r>
      <w:r>
        <w:rPr>
          <w:rFonts w:ascii="Times New Roman" w:cs="Times New Roman" w:eastAsia="Times New Roman" w:hAnsi="Times New Roman"/>
          <w:sz w:val="18"/>
          <w:szCs w:val="18"/>
          <w:color w:val="auto"/>
        </w:rPr>
        <w:t>Verifies work history and education of applicants, leveraging our proprietary Verified! Database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SmartHub technology enabled by AI, internal fulfillment, and relationships with other data providers.</w:t>
      </w:r>
    </w:p>
    <w:p>
      <w:pPr>
        <w:spacing w:after="0" w:line="46" w:lineRule="exact"/>
        <w:rPr>
          <w:rFonts w:ascii="Times New Roman" w:cs="Times New Roman" w:eastAsia="Times New Roman" w:hAnsi="Times New Roman"/>
          <w:sz w:val="18"/>
          <w:szCs w:val="18"/>
          <w:color w:val="auto"/>
        </w:rPr>
      </w:pPr>
    </w:p>
    <w:p>
      <w:pPr>
        <w:ind w:left="740" w:right="160" w:hanging="223"/>
        <w:spacing w:after="0" w:line="26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Records and Compliance: </w:t>
      </w:r>
      <w:r>
        <w:rPr>
          <w:rFonts w:ascii="Times New Roman" w:cs="Times New Roman" w:eastAsia="Times New Roman" w:hAnsi="Times New Roman"/>
          <w:sz w:val="18"/>
          <w:szCs w:val="18"/>
          <w:color w:val="auto"/>
        </w:rPr>
        <w:t>Collection and storage of driver qualification files, as well as drug screening and background checks to assist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compliance with the requirements of the U.S. Department of Transportation (“DOT”), Federal Motor Carrier Safety Administration (“FMCSA”), Federal Aviation Administration (“FAA”), International Fuel Tax Agreement (“IFTA”), and other regulatory agencies across the entire U.S.</w:t>
      </w:r>
    </w:p>
    <w:p>
      <w:pPr>
        <w:spacing w:after="0" w:line="68" w:lineRule="exact"/>
        <w:rPr>
          <w:rFonts w:ascii="Times New Roman" w:cs="Times New Roman" w:eastAsia="Times New Roman" w:hAnsi="Times New Roman"/>
          <w:sz w:val="18"/>
          <w:szCs w:val="18"/>
          <w:color w:val="auto"/>
        </w:rPr>
      </w:pPr>
    </w:p>
    <w:p>
      <w:pPr>
        <w:ind w:left="740" w:right="220" w:hanging="223"/>
        <w:spacing w:after="0" w:line="26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Credentials: </w:t>
      </w:r>
      <w:r>
        <w:rPr>
          <w:rFonts w:ascii="Times New Roman" w:cs="Times New Roman" w:eastAsia="Times New Roman" w:hAnsi="Times New Roman"/>
          <w:sz w:val="18"/>
          <w:szCs w:val="18"/>
          <w:color w:val="auto"/>
        </w:rPr>
        <w:t>Through our extensive Healthcare Exclusions Actions and Licensures (“HEAL”) product, verifies and documents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educational background, training, experience, and other credentials of healthcare employees, contractors, volunteers, and vendors, including identifying exclusions and sanctions by medical boards, Medicaid and Medicare, the Office of Inspector General, and the General Services Administration.</w:t>
      </w:r>
    </w:p>
    <w:p>
      <w:pPr>
        <w:spacing w:after="0" w:line="68" w:lineRule="exact"/>
        <w:rPr>
          <w:rFonts w:ascii="Times New Roman" w:cs="Times New Roman" w:eastAsia="Times New Roman" w:hAnsi="Times New Roman"/>
          <w:sz w:val="18"/>
          <w:szCs w:val="18"/>
          <w:color w:val="auto"/>
        </w:rPr>
      </w:pPr>
    </w:p>
    <w:p>
      <w:pPr>
        <w:ind w:left="740" w:hanging="223"/>
        <w:spacing w:after="0" w:line="26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FBI Channeling</w:t>
      </w:r>
      <w:r>
        <w:rPr>
          <w:rFonts w:ascii="Times New Roman" w:cs="Times New Roman" w:eastAsia="Times New Roman" w:hAnsi="Times New Roman"/>
          <w:sz w:val="18"/>
          <w:szCs w:val="18"/>
          <w:color w:val="auto"/>
        </w:rPr>
        <w:t>: As an approved Federal Bureau of Investigation (“FBI”) channeler, handles submissions of fingerprints to the FBI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Criminal Records database and returns Criminal Record Information from the FBI to authorized recipients, including through a secure connection to the Financial Industry Regulatory Authority (“FINRA”) and the Nationwide Multi-state Licensing System (“NMLS”).</w:t>
      </w:r>
    </w:p>
    <w:p>
      <w:pPr>
        <w:spacing w:after="0" w:line="62" w:lineRule="exact"/>
        <w:rPr>
          <w:rFonts w:ascii="Times New Roman" w:cs="Times New Roman" w:eastAsia="Times New Roman" w:hAnsi="Times New Roman"/>
          <w:sz w:val="18"/>
          <w:szCs w:val="18"/>
          <w:color w:val="auto"/>
        </w:rPr>
      </w:pPr>
    </w:p>
    <w:p>
      <w:pPr>
        <w:ind w:left="740" w:right="40" w:hanging="223"/>
        <w:spacing w:after="0" w:line="26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 Screening: </w:t>
      </w:r>
      <w:r>
        <w:rPr>
          <w:rFonts w:ascii="Times New Roman" w:cs="Times New Roman" w:eastAsia="Times New Roman" w:hAnsi="Times New Roman"/>
          <w:sz w:val="18"/>
          <w:szCs w:val="18"/>
          <w:color w:val="auto"/>
        </w:rPr>
        <w:t>Provides in-depth investigative reports to confirm various aspects of credentials not typically covered by most background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checks, such as civil litigation and bankruptcies, negative media searches, controversies and inconsistencies in business dealings, corporate and regulatory history, and potential conflicts of interest.</w:t>
      </w:r>
    </w:p>
    <w:p>
      <w:pPr>
        <w:spacing w:after="0" w:line="62"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Others: </w:t>
      </w:r>
      <w:r>
        <w:rPr>
          <w:rFonts w:ascii="Times New Roman" w:cs="Times New Roman" w:eastAsia="Times New Roman" w:hAnsi="Times New Roman"/>
          <w:sz w:val="18"/>
          <w:szCs w:val="18"/>
          <w:color w:val="auto"/>
        </w:rPr>
        <w:t>Includes screening products such as global sanctions, professional licenses and credentials verification, and social media checks.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Post-Onboarding</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Companies face a heightened responsibility to ensure safety and comply with laws, regulations, and licensing requirements after the initial screening and onboarding of an applicant. To assist with those needs, we provide our customers with continuous monitoring and re-screening solutions that are important tools to help keep their end customers, workforces, and other stakeholders safe, productive, and compliant. Continuous monitoring solutions allow customers to be proactively alerted as soon as relevant information, which may require immediate attention and action, becomes available. Our post-onboarding solutions include:</w:t>
      </w:r>
    </w:p>
    <w:p>
      <w:pPr>
        <w:spacing w:after="0" w:line="125" w:lineRule="exact"/>
        <w:rPr>
          <w:sz w:val="20"/>
          <w:szCs w:val="20"/>
          <w:color w:val="auto"/>
        </w:rPr>
      </w:pPr>
    </w:p>
    <w:p>
      <w:pPr>
        <w:ind w:left="1020" w:right="480" w:hanging="503"/>
        <w:spacing w:after="0" w:line="263"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Criminal Records Monitoring: </w:t>
      </w:r>
      <w:r>
        <w:rPr>
          <w:rFonts w:ascii="Times New Roman" w:cs="Times New Roman" w:eastAsia="Times New Roman" w:hAnsi="Times New Roman"/>
          <w:sz w:val="18"/>
          <w:szCs w:val="18"/>
          <w:color w:val="auto"/>
        </w:rPr>
        <w:t>Provides background screening reports on an ongoing basis post-onboarding of any reportable criminal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records of their employees, contractors, contingent workers, and drivers.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 w:name="page10"/>
    <w:bookmarkEnd w:id="9"/>
    <w:p>
      <w:pPr>
        <w:ind w:left="102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Motor Vehicle Records</w:t>
      </w:r>
      <w:r>
        <w:rPr>
          <w:rFonts w:ascii="Times New Roman" w:cs="Times New Roman" w:eastAsia="Times New Roman" w:hAnsi="Times New Roman"/>
          <w:sz w:val="18"/>
          <w:szCs w:val="18"/>
          <w:color w:val="auto"/>
        </w:rPr>
        <w:t>: Provides customers with a streamlined process to establish an initial driver file and enroll drivers into the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program, which reports any driver records changes.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I-9 Verification: </w:t>
      </w:r>
      <w:r>
        <w:rPr>
          <w:rFonts w:ascii="Times New Roman" w:cs="Times New Roman" w:eastAsia="Times New Roman" w:hAnsi="Times New Roman"/>
          <w:sz w:val="18"/>
          <w:szCs w:val="18"/>
          <w:color w:val="auto"/>
        </w:rPr>
        <w:t>Enables our customers to simplify and manage the process of onboarding new hires by streamlining employment eligibility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verification through the convenience of digital workflows.</w:t>
      </w:r>
    </w:p>
    <w:p>
      <w:pPr>
        <w:spacing w:after="0" w:line="46" w:lineRule="exact"/>
        <w:rPr>
          <w:rFonts w:ascii="Times New Roman" w:cs="Times New Roman" w:eastAsia="Times New Roman" w:hAnsi="Times New Roman"/>
          <w:sz w:val="18"/>
          <w:szCs w:val="18"/>
          <w:color w:val="auto"/>
        </w:rPr>
      </w:pPr>
    </w:p>
    <w:p>
      <w:pPr>
        <w:ind w:left="1020" w:right="4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Healthcare Sanctions: </w:t>
      </w:r>
      <w:r>
        <w:rPr>
          <w:rFonts w:ascii="Times New Roman" w:cs="Times New Roman" w:eastAsia="Times New Roman" w:hAnsi="Times New Roman"/>
          <w:sz w:val="18"/>
          <w:szCs w:val="18"/>
          <w:color w:val="auto"/>
        </w:rPr>
        <w:t>Our HEAL product provides ongoing healthcare-related compliance monitoring, which helps our customers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their obligations as employers of doctors, nurses, other employees, and vendors, reporting any changes in the status of required licenses.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Sanctions and Licenses: </w:t>
      </w:r>
      <w:r>
        <w:rPr>
          <w:rFonts w:ascii="Times New Roman" w:cs="Times New Roman" w:eastAsia="Times New Roman" w:hAnsi="Times New Roman"/>
          <w:sz w:val="18"/>
          <w:szCs w:val="18"/>
          <w:color w:val="auto"/>
        </w:rPr>
        <w:t>Continuously monitors more than 2,500 source lists and searches a broad range of individual watchlists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sanctions sources.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Media: </w:t>
      </w:r>
      <w:r>
        <w:rPr>
          <w:rFonts w:ascii="Times New Roman" w:cs="Times New Roman" w:eastAsia="Times New Roman" w:hAnsi="Times New Roman"/>
          <w:sz w:val="18"/>
          <w:szCs w:val="18"/>
          <w:color w:val="auto"/>
        </w:rPr>
        <w:t>Offers ongoing post-onboarding social media background screening reports tailored to a customer’s specific criteria.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Adjacent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adjacent products that complement our pre-onboarding and post-onboarding products and solutions:</w:t>
      </w:r>
    </w:p>
    <w:p>
      <w:pPr>
        <w:spacing w:after="0" w:line="167" w:lineRule="exact"/>
        <w:rPr>
          <w:sz w:val="20"/>
          <w:szCs w:val="20"/>
          <w:color w:val="auto"/>
        </w:rPr>
      </w:pPr>
    </w:p>
    <w:p>
      <w:pPr>
        <w:ind w:left="740" w:right="140" w:hanging="223"/>
        <w:spacing w:after="0" w:line="28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Fleet and Vehicle Compliance: </w:t>
      </w:r>
      <w:r>
        <w:rPr>
          <w:rFonts w:ascii="Times New Roman" w:cs="Times New Roman" w:eastAsia="Times New Roman" w:hAnsi="Times New Roman"/>
          <w:sz w:val="18"/>
          <w:szCs w:val="18"/>
          <w:color w:val="auto"/>
        </w:rPr>
        <w:t>Comprehensive solutions for fleet managers to support compliance with various state and federal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licenses, titles, registrations, and gas taxes.</w:t>
      </w:r>
    </w:p>
    <w:p>
      <w:pPr>
        <w:spacing w:after="0" w:line="46" w:lineRule="exact"/>
        <w:rPr>
          <w:rFonts w:ascii="Times New Roman" w:cs="Times New Roman" w:eastAsia="Times New Roman" w:hAnsi="Times New Roman"/>
          <w:sz w:val="18"/>
          <w:szCs w:val="18"/>
          <w:color w:val="auto"/>
        </w:rPr>
      </w:pPr>
    </w:p>
    <w:p>
      <w:pPr>
        <w:ind w:left="740" w:right="400" w:hanging="223"/>
        <w:spacing w:after="0" w:line="268"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Hiring Tax Credits and Incentives: </w:t>
      </w:r>
      <w:r>
        <w:rPr>
          <w:rFonts w:ascii="Times New Roman" w:cs="Times New Roman" w:eastAsia="Times New Roman" w:hAnsi="Times New Roman"/>
          <w:sz w:val="18"/>
          <w:szCs w:val="18"/>
          <w:color w:val="auto"/>
        </w:rPr>
        <w:t>Identifies and processes U.S. employment tax credits and economic incentive programs,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Work Opportunity Tax Credit (“WOTC”) program and other federal, state, and local incentives. Uses data collected from applicants during their background screen to increase quality and efficiency.</w:t>
      </w:r>
    </w:p>
    <w:p>
      <w:pPr>
        <w:spacing w:after="0" w:line="62" w:lineRule="exact"/>
        <w:rPr>
          <w:rFonts w:ascii="Times New Roman" w:cs="Times New Roman" w:eastAsia="Times New Roman" w:hAnsi="Times New Roman"/>
          <w:sz w:val="18"/>
          <w:szCs w:val="18"/>
          <w:color w:val="auto"/>
        </w:rPr>
      </w:pPr>
    </w:p>
    <w:p>
      <w:pPr>
        <w:ind w:left="740" w:right="20" w:hanging="223"/>
        <w:spacing w:after="0" w:line="28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Investigative Research: </w:t>
      </w:r>
      <w:r>
        <w:rPr>
          <w:rFonts w:ascii="Times New Roman" w:cs="Times New Roman" w:eastAsia="Times New Roman" w:hAnsi="Times New Roman"/>
          <w:sz w:val="18"/>
          <w:szCs w:val="18"/>
          <w:color w:val="auto"/>
        </w:rPr>
        <w:t>Provides in-depth investigative reports, similar to our Executive Screening products, used in performing due diligence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managers and senior executives before a major investment commitment or M&amp;A transaction.</w:t>
      </w:r>
    </w:p>
    <w:p>
      <w:pPr>
        <w:spacing w:after="0" w:line="10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configured and tailored according to our customers’ needs. For example, through our RoadReady solution, we provide comprehensive driver and fleet solutions to assist with compliance and asset management. Our driver compliance products include pre-onboarding background checks, MVR checks, drug tests, driver file maintenance, and post-onboarding monitoring. Our asset management products related to vehicle compliance include title, registration, fuel and gas tax, permits, and transponder management, as well as ongoing data analytics.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Technology</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Background screening involves complex workflows, disparate internal and external data sources, and numerous integrations with third-party software providers. We believe our differentiated technology provides a strong competitive advantage by delivering a seamless, unified experience for applicants and customers across our platforms. Our front-end technology, including our powerful UI/UX design, creates a superior applicant and customer experience, leveraging AI and machine learning to optimize workflows and minimize applicant data capture errors and missing information. Our back-end technology and processing engines seamlessly integrate interactions with customer HCM platforms and other software, government, and third-party data sources, as well as internal Operations and Customer Care teams. We have been, and will continue to be, pioneers in using automation and intelligent routing technologies to optimize turnaround times, quality, and touchless end-to-end screening. Our compliance functionality governs all aspects of our technology and is designed to meet ever-changing global regulatory and compliance requirements.</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customers and their applicants access our technology through intuitive, easy-to-use user interfaces – Profile Advantage, Enterprise Advantage, Insight Advantage, Candidate Hub, Client Hub, and Analytics Hub.</w:t>
      </w:r>
    </w:p>
    <w:p>
      <w:pPr>
        <w:spacing w:after="0" w:line="67" w:lineRule="exact"/>
        <w:rPr>
          <w:sz w:val="20"/>
          <w:szCs w:val="20"/>
          <w:color w:val="auto"/>
        </w:rPr>
      </w:pPr>
    </w:p>
    <w:p>
      <w:pPr>
        <w:ind w:left="740" w:right="40" w:hanging="223"/>
        <w:spacing w:after="0" w:line="222" w:lineRule="exact"/>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Profile Advantage and Candidate Hub: </w:t>
      </w:r>
      <w:r>
        <w:rPr>
          <w:rFonts w:ascii="Times New Roman" w:cs="Times New Roman" w:eastAsia="Times New Roman" w:hAnsi="Times New Roman"/>
          <w:sz w:val="18"/>
          <w:szCs w:val="18"/>
          <w:color w:val="auto"/>
        </w:rPr>
        <w:t>Our applicant facing mobile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 intuitive platforms that deliver a streamlined, frictionless applicant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across the entire screening process, creating strong first impressions that drive higher job acceptance, satisfaction, and productivity. Accessible across desktop, tablet, and smartphone devices, in multiple languages and fully compliant with WCAG 2.1 standards, they enable applicants to easily submit information, upload secure documents, and complete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signatures while tracking progress through integrated status updates, text notifications, and chatbot assistance. Their intelligent design customizes requested information based on the services ordered to eliminate unnecessary steps, while embedded AI and machine learning optimize workflows, reduce data entry errors, and prompt for missing information in real time, generating significant time savings for both applicants and customers. Recent enhancements such as biometric identity verification and InstantID with liveness detection strengthen fraud prevention and regulatory compliance, and automated workflows support jurisdiction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requirements and adverse action processes. Together, the platforms provide a modern, branded, and efficient experience that</w:t>
      </w:r>
    </w:p>
    <w:p>
      <w:pPr>
        <w:spacing w:after="0" w:line="3" w:lineRule="exact"/>
        <w:rPr>
          <w:sz w:val="20"/>
          <w:szCs w:val="20"/>
          <w:color w:val="auto"/>
        </w:rPr>
      </w:pPr>
    </w:p>
    <w:p>
      <w:pPr>
        <w:ind w:left="740" w:right="900"/>
        <w:spacing w:after="0" w:line="219" w:lineRule="exact"/>
        <w:rPr>
          <w:sz w:val="20"/>
          <w:szCs w:val="20"/>
          <w:color w:val="auto"/>
        </w:rPr>
      </w:pPr>
      <w:r>
        <w:rPr>
          <w:rFonts w:ascii="Times New Roman" w:cs="Times New Roman" w:eastAsia="Times New Roman" w:hAnsi="Times New Roman"/>
          <w:sz w:val="18"/>
          <w:szCs w:val="18"/>
          <w:color w:val="auto"/>
        </w:rPr>
        <w:t>enhances engagement, accelerates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hire, and reinforces employer identity during one of the earliest and most critical applicant touchpoints.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left="740" w:right="60" w:hanging="223"/>
        <w:spacing w:after="0" w:line="21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Advantage and Screening Direct: </w:t>
      </w:r>
      <w:r>
        <w:rPr>
          <w:rFonts w:ascii="Times New Roman" w:cs="Times New Roman" w:eastAsia="Times New Roman" w:hAnsi="Times New Roman"/>
          <w:sz w:val="18"/>
          <w:szCs w:val="18"/>
          <w:color w:val="auto"/>
        </w:rPr>
        <w:t>Our core, proprietary global ordering and processing technologies—Enterprise Advantage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Screening Direct—centralize applicant orders and related data into a single, streamlined workflow that allows customers to place orders, manage tasks, monitor statuses, and review consumer reports with ease. Intuitive displays and collapsible search details support fast, clear interpretation of results, while the platforms’ flexible, scalable designs deliver 99.9% uptime and support configurable permissions, role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access, invitation and task workflows, package management, and adjudication rules. Both solutions integrate seamlessly with customers’ business processes,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HCM and ATS systems, and external data sources, enabling users to create customized screening packages, manage screening criteria, and administer adverse action letters. Single 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functionality strengthens security, and the modular architecture allows new services and updates to be added seamlessly to maintain compliance with evolving regulatory standards. Together, Enterprise Advantage and Screening Direct provide a unified, secure, and highly scalable environment for managing complex global screening programs with efficiency and precision.</w:t>
      </w:r>
    </w:p>
    <w:p>
      <w:pPr>
        <w:spacing w:after="0" w:line="86" w:lineRule="exact"/>
        <w:rPr>
          <w:rFonts w:ascii="Times New Roman" w:cs="Times New Roman" w:eastAsia="Times New Roman" w:hAnsi="Times New Roman"/>
          <w:sz w:val="18"/>
          <w:szCs w:val="18"/>
          <w:color w:val="auto"/>
        </w:rPr>
      </w:pPr>
    </w:p>
    <w:p>
      <w:pPr>
        <w:ind w:left="740" w:right="60" w:hanging="223"/>
        <w:spacing w:after="0" w:line="21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 Advantage and Analytics Hub: </w:t>
      </w:r>
      <w:r>
        <w:rPr>
          <w:rFonts w:ascii="Times New Roman" w:cs="Times New Roman" w:eastAsia="Times New Roman" w:hAnsi="Times New Roman"/>
          <w:sz w:val="18"/>
          <w:szCs w:val="18"/>
          <w:color w:val="auto"/>
        </w:rPr>
        <w:t>Our innovative, dynamic data visualization tools provide customers with advanced analytics, interactive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dashboards, and near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reporting to understand the drivers of their screening programs and make informed,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decisions. Insight Advantage and Analytics Hub deliver configurable analytics platforms that offer comprehensive, near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views of program performance through suites of intuitive, interactive dashboards. By leveraging each customer’s unique applicant and screening data, the platforms generate actionable insights that help manage, streamline, and optimize screening workflows. With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click access to program metrics, drill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capabilities, and visibility into underlying data, customers can monitor key trends, enhance operational efficiency, and uncover program drivers with clarity. Both solutions also offer flexible customization, enabling users to tailor dashboards, conduct scenario analyses, and benchmark against peer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metrics to identify leading practices and achieve better outcomes. Together, Insight Advantage and Analytics Hub empower customers to continuously refine and maximize the performance of their screening programs with accuracy, transparency, and precision.</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designed our technology architecture for extensibility. We receive data directly from the applicant through Profile Advantage and from our customers through their third-party HCM and ATS software platforms. This data is supplemented by our proprietary internal databases and external data sources as we perform screenings and verifications. Our proprietary internal databases of over 1 billion records include our National Criminal Records File, which includes well over 900 million criminal records, and Verified!, our repository of approximately 135 million records, primarily consisting of prior employment and education verification records. These proprietary internal databases allow us to complete our processes quickly and cost-effectively, which accelerates the onboarding process for our customers and improves the applicant experience. We also obtain data directly from federal, state, and local government entities, laboratories and collection sites, credit bureaus, and education and work history verification providers, as well as from third-party, independent compilers of public records. Our API integrations, either through our Standard API or our REST API, allow for real-time, bidirectional, and secure data flows between us and our customers’ software platforms and external data sources, creating a seamless and integrated screening process.</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Background screening and verification requirements vary from customer to customer, depending on the size and geographic footprint of the business as well as the industry vertical in which the customer operates. For example, customers in the transportation, logistics, and home delivery industry may have screening requirements relating to transportation regulatory bodies, including the DOT, FMCSA, FAA, and IFTA, that customers in other industries do not require. In addition, the laws and regulations on the use of certain information vary significantly from jurisdiction to jurisdiction and are constantly evolving. We have designed our technology to be highly configurable, allowing us to provide our customers with tailored solutions that meet their specific needs.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flexible, scalable, and highly integrated technology, enhanced by our investments in automation and AI, has driven significant operational efficiencies and enabled us to achieve one of the highest customer satisfaction ratings among our competitors for quality, accuracy, and turnaround times. We will continue to innovate using agile software development methodologies, focusing on user-centered design, to bring leading products and solutions to the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serve a diversified customer base with over 80,000 customers globally in 2025. Our customer base varies in size and industry, encompassing healthcare, transportation and logistics, retail and e-commerce, financial services, manufacturing and industrials, general staffing, technology, media and entertainment, hospitality, business and professional services, and gig economy. We have executed a concerted go-to-market strategy to target customers with large, complex workforces and have built a leading customer portfolio in this area as a result. Our customers operate in different industries across almost all facets of the global economy, with particular strength in sectors experiencing favorable secular trends such as e-commerce, retail, transportation, warehousing, and healthcare.</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maintained a gross retention rate of approximately 96% in 2025 and achieved an average tenure of over 13 years among our top 100 customers. Our customer relationships are contractual in nature and typically have multiple-year terms. Certain contracts include exclusivity or primary provider terms and exclude termination for convenience clauses.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right="3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no customer accounted for 10% or more of our total revenues for that period. As of December 31, 2025, we performed screens across over 200 countries and territories, with a major presence in the United States, the United Kingdom, and India. Approximately 86% of our revenues for the year ended December 31, 2025 was generated in the U.S., while the remaining 14% was generated abroad.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our integrated sales and marketing approach gives us a competitive advantage and enhances our ability to capture additional market share. Our unified go-to-market team is organized by industry verticals and global regions, allowing us to effectively target new accounts and identify additional opportunities within existing accounts. This structure helps to ensure our sales professionals are deeply knowledgeable about industry-specific screening requirements, and can deliver value-added, tailored solutions to both existing and prospective customers.</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sales representatives are trained to adopt a consultative approach throughout the entire sales process, which includes discovery, demonstration, negotiation, and closing. By understanding the unique challenges faced by customers in diverse industries, they design pursuit strategies and propose solutions that meet our customers’ specific needs. This customer-centric focus drives satisfaction, loyalty, and long-term retention.</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integration of our Customer Success professionals into the go-to-market team further strengthens our ability to deliver exceptional service. Organized by verticals and regions, these teams foster deep relationships with customers and build local expertise in compliance and screening standards. They maintain ongoing interactions with key customer users and program owners, conducting regular formal account reviews to help ensure high performance, satisfaction, and retention. Additionally, they organize customer advisory boards and events to gather product insights, drive innovation, and share best practices, which contributes to our industry-leading customer satisfaction scores and high retention rates.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relationships with HCM software providers remain a critical aspect of our sales and marketing strategy. Our technology is tightly integrated with major HCM and ATS platforms, offering greater speed and efficiency while enhancing the value of our solutions to our customers. Maintaining strong relationships with these third-party software providers is essential for generating new sales leads and providing market validation for our offerings.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employ a variety of marketing strategies to promote our products and solutions through both direct and indirect channels. Our marketing activities include traditional and online initiatives designed to generate sales leads, increase market awareness, and enhance the perception of our brand. We leverage referral partners, channel partnerships, digital advertising, search engine optimization, webinars, social media, thought leadership, and event-based marketing. Our participation in industry conferences and frequent publications in the industry press further bolster our visibility. Additionally, our annual customer conference, Collaborate, features presentations by subject matter experts and our customers on a wide range of industry topics, facilitating discussions and serving as a valuable resource on industry best practices. We believe we are able to capitalize on the network effects as we build goodwill through customer reviews and testimonials, word-of-mouth referrals, and references from other industry participants.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global background screening and identity verification industry is highly fragmented and competitive, even as consolidation among larger firms increases. There are numerous local and single-country providers, but a limited number of multinational firms operating with the scale and reach necessary to serve diverse customer needs effectively. Our competitors vary based on customer size, industry vertical, geography, and product focus.</w:t>
      </w:r>
    </w:p>
    <w:p>
      <w:pPr>
        <w:spacing w:after="0" w:line="122"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We compete with large players that offer broad capabilities and comprehensive product suites, as well as vertical-focused specialist firms targeting customers in select industries. Additionally, we face competition from mid-sized players and companies that serve small and medium-sized business (“SMB”) customers. Some competitors are focused on specific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onboarding product categories, including drug and health screening and executive screening services. In addition, we face competition from providers offering adjacent solutions such as fleet and vehicle compliance, hiring tax credits and incentives, employment eligibility verification, and investigative research.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our products and solutions is subject to constant change, with numerous sources of competition and new entrants frequently emerging.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affecting our markets include:</w:t>
      </w:r>
    </w:p>
    <w:p>
      <w:pPr>
        <w:spacing w:after="0" w:line="167" w:lineRule="exact"/>
        <w:rPr>
          <w:sz w:val="20"/>
          <w:szCs w:val="20"/>
          <w:color w:val="auto"/>
        </w:rPr>
      </w:pPr>
    </w:p>
    <w:p>
      <w:pPr>
        <w:ind w:left="520" w:right="400" w:hanging="227"/>
        <w:spacing w:after="0" w:line="28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of Screening Results: </w:t>
      </w:r>
      <w:r>
        <w:rPr>
          <w:rFonts w:ascii="Times New Roman" w:cs="Times New Roman" w:eastAsia="Times New Roman" w:hAnsi="Times New Roman"/>
          <w:sz w:val="18"/>
          <w:szCs w:val="18"/>
          <w:color w:val="auto"/>
        </w:rPr>
        <w:t>The accuracy and dependability of the information we provide are critical to our customers’ decision-making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w:t>
      </w:r>
    </w:p>
    <w:p>
      <w:pPr>
        <w:spacing w:after="0" w:line="46"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Turnaround Time of Screening Results: </w:t>
      </w:r>
      <w:r>
        <w:rPr>
          <w:rFonts w:ascii="Times New Roman" w:cs="Times New Roman" w:eastAsia="Times New Roman" w:hAnsi="Times New Roman"/>
          <w:sz w:val="18"/>
          <w:szCs w:val="18"/>
          <w:color w:val="auto"/>
        </w:rPr>
        <w:t>Speed is essential in the hiring process, and our ability to deliver timely results is a key differentiator.</w:t>
      </w:r>
    </w:p>
    <w:p>
      <w:pPr>
        <w:spacing w:after="0" w:line="3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 w:name="page13"/>
    <w:bookmarkEnd w:id="12"/>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Package, and Solution Pricing: </w:t>
      </w:r>
      <w:r>
        <w:rPr>
          <w:rFonts w:ascii="Times New Roman" w:cs="Times New Roman" w:eastAsia="Times New Roman" w:hAnsi="Times New Roman"/>
          <w:sz w:val="18"/>
          <w:szCs w:val="18"/>
          <w:color w:val="auto"/>
        </w:rPr>
        <w:t>Competitive pricing structures are vital for attracting and retaining customers.</w:t>
      </w:r>
    </w:p>
    <w:p>
      <w:pPr>
        <w:spacing w:after="0" w:line="117" w:lineRule="exact"/>
        <w:rPr>
          <w:rFonts w:ascii="Times New Roman" w:cs="Times New Roman" w:eastAsia="Times New Roman" w:hAnsi="Times New Roman"/>
          <w:sz w:val="18"/>
          <w:szCs w:val="18"/>
          <w:color w:val="auto"/>
        </w:rPr>
      </w:pPr>
    </w:p>
    <w:p>
      <w:pPr>
        <w:ind w:left="520" w:right="140" w:hanging="227"/>
        <w:spacing w:after="0" w:line="28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Applicant and Enterprise User Experience: </w:t>
      </w:r>
      <w:r>
        <w:rPr>
          <w:rFonts w:ascii="Times New Roman" w:cs="Times New Roman" w:eastAsia="Times New Roman" w:hAnsi="Times New Roman"/>
          <w:sz w:val="18"/>
          <w:szCs w:val="18"/>
          <w:color w:val="auto"/>
        </w:rPr>
        <w:t>The ease of use, level of functionality, scalability, and efficiency of our solutions significantly impact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satisfaction.</w:t>
      </w:r>
    </w:p>
    <w:p>
      <w:pPr>
        <w:spacing w:after="0" w:line="46"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and Depth of Screening Solutions: </w:t>
      </w:r>
      <w:r>
        <w:rPr>
          <w:rFonts w:ascii="Times New Roman" w:cs="Times New Roman" w:eastAsia="Times New Roman" w:hAnsi="Times New Roman"/>
          <w:sz w:val="18"/>
          <w:szCs w:val="18"/>
          <w:color w:val="auto"/>
        </w:rPr>
        <w:t>A comprehensive suite of offerings allows us to meet diverse customer needs effectively.</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Geographical Reach: </w:t>
      </w:r>
      <w:r>
        <w:rPr>
          <w:rFonts w:ascii="Times New Roman" w:cs="Times New Roman" w:eastAsia="Times New Roman" w:hAnsi="Times New Roman"/>
          <w:sz w:val="18"/>
          <w:szCs w:val="18"/>
          <w:color w:val="auto"/>
        </w:rPr>
        <w:t>Our ability to operate in multiple countries and territories enhances our value proposition to multinational customers.</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and Marketing Relationship History: </w:t>
      </w:r>
      <w:r>
        <w:rPr>
          <w:rFonts w:ascii="Times New Roman" w:cs="Times New Roman" w:eastAsia="Times New Roman" w:hAnsi="Times New Roman"/>
          <w:sz w:val="18"/>
          <w:szCs w:val="18"/>
          <w:color w:val="auto"/>
        </w:rPr>
        <w:t>Strong relationships with key decision-makers can influence purchasing decisions.</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Compliance and Regulation: </w:t>
      </w:r>
      <w:r>
        <w:rPr>
          <w:rFonts w:ascii="Times New Roman" w:cs="Times New Roman" w:eastAsia="Times New Roman" w:hAnsi="Times New Roman"/>
          <w:sz w:val="18"/>
          <w:szCs w:val="18"/>
          <w:color w:val="auto"/>
        </w:rPr>
        <w:t>Our expertise in navigating complex regulatory environments is a competitive advantage.</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Vertical Support: </w:t>
      </w:r>
      <w:r>
        <w:rPr>
          <w:rFonts w:ascii="Times New Roman" w:cs="Times New Roman" w:eastAsia="Times New Roman" w:hAnsi="Times New Roman"/>
          <w:sz w:val="18"/>
          <w:szCs w:val="18"/>
          <w:color w:val="auto"/>
        </w:rPr>
        <w:t>Tailoring our solutions to meet the specific requirements of various industries enhances our appeal.</w:t>
      </w:r>
    </w:p>
    <w:p>
      <w:pPr>
        <w:spacing w:after="0" w:line="117" w:lineRule="exact"/>
        <w:rPr>
          <w:rFonts w:ascii="Times New Roman" w:cs="Times New Roman" w:eastAsia="Times New Roman" w:hAnsi="Times New Roman"/>
          <w:sz w:val="18"/>
          <w:szCs w:val="18"/>
          <w:color w:val="auto"/>
        </w:rPr>
      </w:pPr>
    </w:p>
    <w:p>
      <w:pPr>
        <w:ind w:left="520" w:right="440" w:hanging="227"/>
        <w:spacing w:after="0" w:line="28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Technical and Systems Performance: </w:t>
      </w:r>
      <w:r>
        <w:rPr>
          <w:rFonts w:ascii="Times New Roman" w:cs="Times New Roman" w:eastAsia="Times New Roman" w:hAnsi="Times New Roman"/>
          <w:sz w:val="18"/>
          <w:szCs w:val="18"/>
          <w:color w:val="auto"/>
        </w:rPr>
        <w:t>The ability to integrate seamlessly with customer and third-party systems and applications is crucial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efficiency.</w:t>
      </w:r>
    </w:p>
    <w:p>
      <w:pPr>
        <w:spacing w:after="0" w:line="46" w:lineRule="exact"/>
        <w:rPr>
          <w:rFonts w:ascii="Times New Roman" w:cs="Times New Roman" w:eastAsia="Times New Roman" w:hAnsi="Times New Roman"/>
          <w:sz w:val="18"/>
          <w:szCs w:val="18"/>
          <w:color w:val="auto"/>
        </w:rPr>
      </w:pPr>
    </w:p>
    <w:p>
      <w:pPr>
        <w:ind w:left="520" w:hanging="227"/>
        <w:spacing w:after="0" w:line="28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Cybersecurity, Privacy, and Data Protection: </w:t>
      </w:r>
      <w:r>
        <w:rPr>
          <w:rFonts w:ascii="Times New Roman" w:cs="Times New Roman" w:eastAsia="Times New Roman" w:hAnsi="Times New Roman"/>
          <w:sz w:val="18"/>
          <w:szCs w:val="18"/>
          <w:color w:val="auto"/>
        </w:rPr>
        <w:t>As data security becomes increasingly important, our commitment to protecting customer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significant competitive factor.</w:t>
      </w:r>
    </w:p>
    <w:p>
      <w:pPr>
        <w:spacing w:after="0" w:line="46"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Analytics and Insights</w:t>
      </w:r>
      <w:r>
        <w:rPr>
          <w:rFonts w:ascii="Times New Roman" w:cs="Times New Roman" w:eastAsia="Times New Roman" w:hAnsi="Times New Roman"/>
          <w:sz w:val="18"/>
          <w:szCs w:val="18"/>
          <w:color w:val="auto"/>
        </w:rPr>
        <w:t>: The ability to deliver actionable data for risk management is critical to our customers’ decision making processes.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we compete favorably based on these factors. However, our ability to remain competitive will depend on our continued performance in these areas. For additional information, see “Risk Factors—Risks Related to Our Business—We operate in a penetrated and competitive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are subject to significant and extensive U.S. federal, state, local, and foreign laws and regulations. These laws and regulations include national, international, state, and local cybersecurity, privacy and data protection, health, taxation, anti-corruption and anti-money laundering, antitrust, enterprise credit reporting agencies and environmental, health and safety protection. Compliance with these laws and regulations is critical to our business, and we take commercially reasonable steps to meet legal and regulatory requirements and monitor changes globally.</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Regulators worldwide continue to adopt or propose national, international, state, and local laws that regulate consumer protection, cybersecurity, privacy, data protection, and/or business credit reporting. These laws impact, among other things, the collection, use, disclosure, sale, transfer, receipt, storage, transmission, destruction, and other processing of personal data (collectively, “Processing”). The principal laws and regulations affecting our business include, but are not limited to:</w:t>
      </w:r>
    </w:p>
    <w:p>
      <w:pPr>
        <w:spacing w:after="0" w:line="126" w:lineRule="exact"/>
        <w:rPr>
          <w:sz w:val="20"/>
          <w:szCs w:val="20"/>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FCRA, which regulates the use of consumer report information and governs the accuracy, fairness, and privacy of such information;</w:t>
      </w:r>
    </w:p>
    <w:p>
      <w:pPr>
        <w:spacing w:after="0" w:line="117" w:lineRule="exact"/>
        <w:rPr>
          <w:rFonts w:ascii="Times New Roman" w:cs="Times New Roman" w:eastAsia="Times New Roman" w:hAnsi="Times New Roman"/>
          <w:sz w:val="18"/>
          <w:szCs w:val="18"/>
          <w:color w:val="auto"/>
        </w:rPr>
      </w:pPr>
    </w:p>
    <w:p>
      <w:pPr>
        <w:ind w:left="740" w:right="640" w:hanging="223"/>
        <w:spacing w:after="0" w:line="282"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Dodd-Frank Wall Street Reform and Consumer Protection Act (“Dodd-Frank Act”), which prohibits unfair, deceptive, or abusive acts or practices with respect to consumer financial services practices;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Gramm-Leach-Bliley Act, which regulates the use of non-public personal financial information held by financial institutions;</w:t>
      </w:r>
    </w:p>
    <w:p>
      <w:pPr>
        <w:spacing w:after="0" w:line="117" w:lineRule="exact"/>
        <w:rPr>
          <w:rFonts w:ascii="Times New Roman" w:cs="Times New Roman" w:eastAsia="Times New Roman" w:hAnsi="Times New Roman"/>
          <w:sz w:val="18"/>
          <w:szCs w:val="18"/>
          <w:color w:val="auto"/>
        </w:rPr>
      </w:pPr>
    </w:p>
    <w:p>
      <w:pPr>
        <w:ind w:left="740" w:right="640" w:hanging="223"/>
        <w:spacing w:after="0" w:line="282"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which restricts the public disclosure of patient information and applies indirectly to companies that provide services to healthcare-related businesses;</w:t>
      </w:r>
    </w:p>
    <w:p>
      <w:pPr>
        <w:spacing w:after="0" w:line="53" w:lineRule="exact"/>
        <w:rPr>
          <w:rFonts w:ascii="Times New Roman" w:cs="Times New Roman" w:eastAsia="Times New Roman" w:hAnsi="Times New Roman"/>
          <w:sz w:val="18"/>
          <w:szCs w:val="18"/>
          <w:color w:val="auto"/>
        </w:rPr>
      </w:pPr>
    </w:p>
    <w:p>
      <w:pPr>
        <w:ind w:left="740" w:right="360" w:hanging="223"/>
        <w:spacing w:after="0" w:line="282"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Drivers’ Privacy Protection Act, which restricts the public disclosure, use, and resale of personal data contained in state department of motor vehicle records;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Digital Identity &amp; Attributes Trust Framework, which provides for a set of rules and standards for digital identity products;</w:t>
      </w:r>
    </w:p>
    <w:p>
      <w:pPr>
        <w:spacing w:after="0" w:line="117" w:lineRule="exact"/>
        <w:rPr>
          <w:rFonts w:ascii="Times New Roman" w:cs="Times New Roman" w:eastAsia="Times New Roman" w:hAnsi="Times New Roman"/>
          <w:sz w:val="18"/>
          <w:szCs w:val="18"/>
          <w:color w:val="auto"/>
        </w:rPr>
      </w:pPr>
    </w:p>
    <w:p>
      <w:pPr>
        <w:ind w:left="740" w:right="240" w:hanging="223"/>
        <w:spacing w:after="0" w:line="266"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U.S. federal, state, and local data protection and consumer reporting agency laws at the state level, state data breach laws, and state privacy laws, such as the California Consumer Privacy Act of 2018 (as amended, the “CCPA”) and the Illinois Biometric Information Privacy Act;</w:t>
      </w:r>
    </w:p>
    <w:p>
      <w:pPr>
        <w:spacing w:after="0" w:line="6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data protection, data localization, and similar laws and regulations impacting our services and data suppliers, such as the U.K. and</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GDPR;</w:t>
      </w:r>
    </w:p>
    <w:p>
      <w:pPr>
        <w:spacing w:after="0" w:line="98"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by regulatory authorities for engaging in consumer reporting, including the FTC and CFPB in the 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3" w:name="page14"/>
    <w:bookmarkEnd w:id="13"/>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Cybersecurity Disclosure Rules, requiring public companies to disclose material cybersecurity incidents and governance practices;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AI Governance Frameworks, addressing ethical use, transparency, and bias mitigation in AI-driven decision-making.</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laws and regulations, which are generally designed to protect individuals’ privacy and prevent the misuse of personal data or unauthorized access to data, are complex, subject to ongoing changes in regulations and amendments, and inconsistent between jurisdictions. We proactively manage compliance with laws and regulations through the use of a number of resources, including our in-house legal and compliance department, external law firms, trade associations, and local suppliers and partners to understand the legal and regulatory requirements and practices that may impact the delivery of our products and solutions as well as our customers’ use of the same in light of employment, privacy and other laws and regulations. Our Chief Legal Officer leads our legal and compliance functions. The compliance team consists of regional compliance officers operating globally, with local compliance officers reporting through that hierarchy. Through the legal and compliance functions, we train our team members with respect to compliance with laws and regulations as well as our policies and procedures, monitor changes to relevant material laws and regulations, and meet with regulators and legislators, as necessary and appropriate, to establish transparency of our operations and build trust.</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Public concern over the processing of personal data, including Social Security numbers, financial information, and health data, remains high. Additional legislative or regulatory efforts in the United States and internationally could further regulate how we process personal data in the conduct of our business. For additional information, see the section titled “Risk Factors—Risks Related to Our Business—If regulatory regimes continue to heighten their scrutiny over personal data and data security, it could lead to increased restrictions, loss of revenue opportunity, greater costs of compliance, and lost efficiency” and “— Any damage to our reputation or our brand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part, on developing, maintaining, protecting and enforcing our proprietary technology and intellectual property rights. We own and control various intellectual property rights, such as confidential information, trade secrets, trademarks, service marks, trade names, domain names, copyrights, patents, and U.S. and foreign registrations and applications in the foregoing. We are licensed to use certain technology and other intellectual property rights owned and controlled by others, and certain third parties are licensed to use certain technology and other intellectual property rights owned and controlled by us.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Obtaining, maintaining, protecting and enforcing our intellectual property and proprietary rights is an important aspect of our business. We rely on a combination of statutory (e.g., copyright, trademark, trade secret, patent), contract, and liability safeguards (e.g., confidentiality and invention assignment agreements with our employees and contractors and nondisclosure agreements with our vendors) to protect our intellectual property in the United States, and other jurisdictions. We currently have patent and trademark applications pending in several jurisdictions. Filing these applications does not guarantee patents will be issued or that our trademark applications will proceed to registration without challenge, but may provide us with legal defense and allow us to pursue the protection of our intellectual property to the extent we believe it would be beneficial and cost-effective.</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While we believe that our intellectual property, in the aggregate, is generally important to our business and operations, we do not regard any aspect of our business as being dependent upon any single patent, group of patents or other intellectual property right. However, the First Advantage name and related trade names, marks, and logos are of material importance to our business, and their loss could have a significant negative impact on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“Risk Factors” for a more comprehensive description of risks related to our intellectual property and proprietary rights.</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We expect that changes in consumer behavior, labor market conditions, technological innovation, and broader macroeconomic factors may impact future seasonality, but we are unable to predict these potential shifts and their impact to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Attracting, developing, and retaining the best talent globally with the right skills is fundamental to our long-term success. As our business and strategy evolve, we continue to advance the capabilities of our workforce. Key elements of our human capital management strategy are outlined below, with additional information provided in our most recent Sustainability Impact Report available on our website (which is not incorporated by reference herein).</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had over 9,500 employees across 19 countries. We also engage third-party contractors where appropriate to support operational flexibility. None of our employees are subject to collective bargaining agreements, and no work stoppages have been experienced. We consider our relationship with our employees to be good.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 of Conduct and Ethics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quality of our products and operations affects our reputation, productivity, profitability, and market position. Our objective is to create a work environment that allows and encourages all employees to perform their duties in an efficient, effective manner. We have established a Global Code of Conduct and Ethics (“Code”). Compliance with the provisions of the Code is a condition of employment at First Advantage and reinforced through regular training.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Employment</w:t>
      </w:r>
    </w:p>
    <w:p>
      <w:pPr>
        <w:spacing w:after="0" w:line="17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We strive for all of our employees to work in an environment where we are treated with dignity and respect. We are an equal opportunity employment employer and are committed to providing a workplace that is free of discrimination of all types from abusive, offensive, or harassing behavior. We are committed to creating such an environment because it brings out the full potential in each of our employees, which, in turn, contributes directly to our business success.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Culture, and Inclusion</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people are central to our ability to execute our strategy and deliver value to customers and shareholders. Our talent approach centers on maintaining workforce capability, operational readiness, and leadership continuity. We invest in structured onboarding, role-based training, leadership development, and continuous learning initiatives that support employee effectiveness and adaptability at every level of the organization.</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are dedicated to fostering a workplace that values each individual and promotes equal opportunities for all employees. We continue to invest in our active Talent, Culture, and Inclusion programs through Employee Impact Groups, which offer employees opportunities to collaborate and expand their impact across multiple lines of business, supporting their professional growth. Additional initiatives include talent attraction strategies, mentoring and engagement opportunities, as well as a variety of development programs designed to identify and retain top talent.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open communication and transparency across the organization and utilize employee feedback mechanisms, including engagement surveys and listening sessions to inform enhancements to both the employee experience and organizational effectiveness. Our approach emphasizes fair talent practices, leadership awareness, and programs that support engagement and collaboration across the global workforce.</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Inclusion efforts are integrated into our broader talent and leadership strategies, and we continue to prioritize alignment of our People and Culture processes with our organizational mission and values. These approaches align with our sustainability objectives, as engaged employees are crucial for driving innovation and fostering a collaborative culture.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incorporated in November 2019. We completed our initial public offering (“IPO”) of our common stock in June 2021.</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“Request Email Alerts” section of our investor website at https://investors.fadv.com/. The contents of our websites and social media channels are not, however, a part of this Annual Report.</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of the information contained in this Annual Report. If any of the following risks occur, our business, financial condition, and results of operations could be materially and adversely affected. The</w:t>
      </w:r>
    </w:p>
    <w:p>
      <w:pPr>
        <w:ind w:right="1860"/>
        <w:spacing w:after="0" w:line="260" w:lineRule="auto"/>
        <w:rPr>
          <w:sz w:val="20"/>
          <w:szCs w:val="20"/>
          <w:color w:val="auto"/>
        </w:rPr>
      </w:pPr>
      <w:r>
        <w:rPr>
          <w:rFonts w:ascii="Times New Roman" w:cs="Times New Roman" w:eastAsia="Times New Roman" w:hAnsi="Times New Roman"/>
          <w:sz w:val="18"/>
          <w:szCs w:val="18"/>
          <w:i w:val="1"/>
          <w:iCs w:val="1"/>
          <w:color w:val="auto"/>
        </w:rPr>
        <w:t>following risk factors have been organized by category for ease of use; however, many of the risks may have impacts in more than one category.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factors beyond our control, including the state of the economy, could impact demand and the fulfillment costs for our products and solutions.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Macroeconomic developments such as the global or regional economic effects resulting from inflation and related economic curtailment initiatives, interest rate volatility, foreign exchange rate fluctuations, geopolitical unrest, conflicts in Europe and the Middle East, global trade disputes, or the occurrence of similar events in other countries that lead to uncertainty or instability in economic, political, or market conditions could negatively affect our business, operating results, financial condition, and outlook.</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International, regional, or domestic political unrest, terrorism, and other hostilities, as well as public health crises, and climate-related natural disasters, continue to create a climate of economic and political uncertainty that could adversely affect our results of operations and financial condition, including our revenue growth and profitability.</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Global credit and capital markets have experienced continued volatility and disruption due to the above factors. A substantial majority of our revenues are derived from pre-onboarding screening products, which is heavily influenced by hiring volumes. The businesses of some of our largest customers and their decision to hire depend in part on favorable macroeconomic conditions, including consumer spending, the general availability of credit, the level and volatility of interest rates, and inflation levels. To the extent these macroeconomic factors are at suboptimal levels, our existing and potential customers could delay or defer onboarding new or replacement workers, reduce the size of their workforce, or seek to decrease spending on their screening programs. As a result, our products could face reduced demand and our business, results of operations, and financial condition could slow or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are subject to numerous and evolving laws and regulations.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a provider of technology-enabled screening and verifications solutions, we are subject to extensive and evolving international, federal, state, and local laws and regulations, including, without limitation, those governing consumer protection, privacy, and data protection. See “Business—Government Regulations” and “Continued scrutiny of collection, use, and processing of personal data and data security could lead to increased restrictions, loss of revenue opportunity, greater costs of compliance, and lost efficiency.” We expect that these laws and regulations will continue to evolve, change, and expand and, in most instances, become more stringent and complex with time.</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these laws and regulations requires significant expense and resources, which could increase significantly as these laws and regulations evolve. Further, regulations are often the product of administrative interpretation and judicial construction, which could result in inconsistent implementation across jurisdictions. We must reconcile the many potential differences between the laws and regulations among the various domestic and international jurisdictions that may be involved in the provision of our solutions. Failure to identify, comply, and reconcile the many laws and regulations we are subject to could result in the imposition of penalties and fines, restrictions on our operations, breach of contract or indemnification claims against us, loss of revenues, reputational harm, and could otherwise adversely affect our business, results of operations, and financial condition. Further, we acquired a company in 2013 that was subject to multiple FTC consent decrees that had been imposed on it in the years prior to our acquisition and to which we now remain subject. The consent decrees require us to comply with the FCRA and to maintain a comprehensive information security program to be audited biennially. Under these circumstances, failure to comply with the decrees and/or relevant law or regulations may subject us to increased risk.</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7" w:name="page18"/>
    <w:bookmarkEnd w:id="17"/>
    <w:p>
      <w:pPr>
        <w:ind w:right="40"/>
        <w:spacing w:after="0" w:line="253" w:lineRule="auto"/>
        <w:rPr>
          <w:sz w:val="20"/>
          <w:szCs w:val="20"/>
          <w:color w:val="auto"/>
        </w:rPr>
      </w:pPr>
      <w:r>
        <w:rPr>
          <w:rFonts w:ascii="Times New Roman" w:cs="Times New Roman" w:eastAsia="Times New Roman" w:hAnsi="Times New Roman"/>
          <w:sz w:val="18"/>
          <w:szCs w:val="18"/>
          <w:color w:val="auto"/>
        </w:rPr>
        <w:t>Changes in laws, regulations, and the interpretation of such laws and regulations on both the state and federal level could also affect certain of our businesses and result in restrictions on our ability to offer certain products and solutions. For example, several states and smaller local jurisdictions have implemented “fair chance” hiring laws or ordinances that limit or restrict employers from inquiring or using an applicant’s criminal history to make employment decisions. In addition, under the FCRA in the United States, both our customers and we are required to comply with many requirements under the FCRA as well as state-level laws regarding the use and delivery of consumer reports. The enactment of new restrictive legislation and the requirements, restrictions, and limitations imposed by changing interpretations and court decisions on such laws and regulations could prevent our customers from using the full functionality of our products, which may reduce demand for our products and solutions. We could also be required to adapt our products to meet these evolving and complex requirements, such as adding or changing disclosures, authorizations, or forms provided to applicants. In addition, we believe it is critical for us to keep abreast of evolving laws and interpretations in applicable jurisdictions and inform our customers of changes to their ability to use our products and solutions and their and our obligations. These efforts require time, expense, and resources, and in some instances, reliance on third parties such as law firms and trade associations.</w:t>
      </w:r>
    </w:p>
    <w:p>
      <w:pPr>
        <w:spacing w:after="0" w:line="134"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scrutiny of collection, use, and processing of personal data and data security could lead to increased restrictions, loss of revenue opportunity, greater costs of compliance, and lost efficiency.</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and solutions are subject to various complex laws and regulations governing cybersecurity, privacy, and data protection on the federal, state, and local levels, and in foreign jurisdictions. The regulatory framework for privacy issues is rapidly evolving and is likely to remain uncertain and inconsistently enforced for the foreseeable future. Many federal, state, and foreign governmental bodies and agencies have adopted or are considering adopting laws and regulations regarding collecting, processing, handling, maintenance, storage, use, disclosure, sale, and transmission of personal and other sensitive information, including mandatory consumer notification should the unauthorized access of consumer information occur, and further expansion of requirements is possible. It is possible that these restrictions could limit our current or future service offerings, reduce our profitability, or otherwise materially and adversely affect our ability to conduct our business or to do so economically. Further, if our practices or products are perceived to violate applicable laws or regulations, we may be subject to increased scrutiny and public criticism, litigation, investigation, fines, and reputational harm, which could disrupt our business and expose us to liability. Given the nature of our business and the volume of data processed in the ordinary course of our operations, it is possible for breaches to occur, whether intentionally from hackers or other third parties, or unintentionally, for example, if we inadvertently send or otherwise make available information to an unauthorized recipient.</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United States, we are subject to numerous federal and state laws governing the collection, processing, use, transmission, disclosure, and sale of personal data (which may also be referred to as personal information, personally identifiable information, and/or non-public personal information). For example, the California Consumer Privacy Rights Act (“CPRA”), which amended and expanded the CCPA, provides for enhanced consumer protections, a private right of action for certain data breaches, and imposes statutory damages and “reasonable” cybersecurity requirements. Other states also have or are in the process of imposing similar privacy obligations. In addition, laws such as the Biometric Information Privacy Act in Illinois have also restricted the collection and use of biometric information. These and other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Outside of the United States, we are subject to foreign rules and regulations. For example, we are subject to enhanced compliance and operational requirements under the General Data Protection Regulation (“GDPR”), which expanded the scope of data protection in the European Union (“EU”) to foreign companies who process the personal data of EU residents, imposed a strict data protection compliance regime with stringent penalties for noncompliance and included new rights for data subjects such as the “portability” of personal data. In particular, under the GDPR, fines of up to 20 million euros, or up to 4% of the annual global revenue of the noncompliant company, whichever is greater, could be imposed for violations of certain of the GDPR’s requirements. If we were found to be in breach of the GDPR, or the UK’s version of the GDPR, the potential penalties we might face could have a material adverse impact on our business, financial condition, results of operations, and cash flows. Compliance with the GDPR requires time and expense and may require us to make changes to our business operations.</w:t>
      </w:r>
    </w:p>
    <w:p>
      <w:pPr>
        <w:spacing w:after="0" w:line="138"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effects of U.S. state, U.S. federal, local, and international laws and regulations that are currently in effect or that may go into effect in the future are significant and may require us to modify our data processing practices and policies, cease offering certain products and solutions, and incur substantial costs and potential liability in an effort to comply with such laws and regulations. Any actual or perceived failure to comply with these and other cybersecurity, privacy, and data protection laws and regulations could result in regulatory scrutiny or investigation and increased exposure to the risk of litigation or the imposition of consent orders, resolution agreements, requirements to take particular actions with respect to training, policies or other activities, and civil and criminal penalties, including fines, which could have an adverse effect on our business, results of operations, and financial condition. Moreover, allegations of non-compliance, whether or not true, could be costly, time-consuming, and distracting to management and cause reputational harm.</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and successfully implement our growth strategies on a timely basis or at all.</w:t>
      </w:r>
    </w:p>
    <w:p>
      <w:pPr>
        <w:spacing w:after="0" w:line="175"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8"/>
          <w:szCs w:val="18"/>
          <w:color w:val="auto"/>
        </w:rPr>
        <w:t>We cannot guarantee that we will succeed in appropriately identifying and successfully executing our strategic plans to grow our businesses, and our inability to do so may be the result of external factors beyond our control. Our ability to grow our business will depend, in large part, on our ability to further penetrate existing markets, attract new customers, increase engagement by existing</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customers, expand internationally, and invest effectively in faster-growing industry verticals. The success of new or enhanced products or solutions depends on several factors, including the timely completion, introduction, and market acceptance of enhanced or new products and solutions, adaptation to new industry standards and technological changes, the ability to maintain and to develop relationships with third parties, and the ability to attract, retain, and effectively train sales and marketing personnel. Our growth could be limited if we fail to innovate or adapt to market trends, emerging technologies, customer expectations, and product innovations adequately. Any new products and solutions we develop or acquire may not be introduced in a timely or cost-effective manner and may not achieve the market acceptance necessary to generate significant revenues, and any new markets in which we attempt to sell our products and solutions, including new countries or regions, may not be receptive or implementation may be delayed. Our future growth will be adversely affected if we do not identify and invest in faster-growing industry verticals. In addition, any expansion into new markets will require an investment in the continuous monitoring of local laws and regulations, which increases our costs and the risk of the products or service failing to comply with such local laws or regulations. We may also incur costs associated with such plans that are above anticipated amounts.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manage growth effectively, we will also need to maintain appropriate staffing levels and update our operating, financial and other systems, procedures, and controls accordingly. Our efforts to grow our business and execute our business strategy may place significant demands on and strain our personnel and organizational structure, including our management, staff, and information systems. If we fail to effectively manage our growth, our business, results of operations, and financial condition could be materially adversely affected.</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Social, ethical, and legal issues relating to the use of new and evolving technologies, such as artificial intelligence and machine learning, in our offerings may result in reputational harm and liability.</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increasingly building artificial intelligence and machine learning into many of our offerings and utilize data gathered from various sources in our services to train our machine-learning models. Regulatory and policy focus on AI has intensified globally, with emerging frameworks in the U.S., EU, and U.K. addressing transparency, bias mitigation, and ethical use of algorithms. Compliance with these frameworks may require additional investment in research and development, governance controls, and auditing processes, diverting resources from other initiatives. As with many cutting-edge innovations, artificial intelligence and machine learning present new risks and challenges, and existing laws and regulations may apply to us in new ways, the nature and extent of which are difficult to predict. The continuous development, maintenance and operation of our machine-learning models is expensive and complex, and may involve unforeseen difficulties including material performance problems, and undetected defects or errors with new machine-learning or other artificial intelligence capabilities. Some of those difficulties could arise from undetected or uncorrected inaccuracies or unrepresentative tendencies in the data. We may encounter technical obstacles, and it is possible that we may discover additional problems that prevent our machine-learning models from operating properly. If our AI-driven solutions fail to function as intended, we may experience incorrect background check results, extended processing times, or service disruptions, leading to customer dissatisfaction and potential liability. Furthermore, competitors or other third parties may adopt and integrate AI into their products and operations more rapidly or effectively than we do, potentially diminishing our competitive position and negatively impacting our operating results.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Additionally, public confidence in AI remains sensitive to ethical concerns. Growing scrutiny over algorithmic fairness, privacy, and transparency could slow adoption of AI-based solutions and require us to implement additional safeguards, disclosures, and compliance measures. Failure to adequately address these ethical, social, and legal issues that may arise with such use cases could negatively affect the adoption of our solutions and subject us to reputational harm, regulatory action, or legal liability, which may harm our financial condition and operating results.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Any damage to our reputation or our brand could adversely affect our business, financial condition, and results of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Developing, protecting, and maintaining our strong reputation among customers, applicants, and third-party partners and vendors is critical to our success. The importance of our brand may increase if competitors offer more products similar to ours or if more competitors enter the market. Our brand may suffer if our service quality declines or if our customer initiatives are not successful. Additionally, the successful protection and maintenance of our brand will depend on our ability to obtain, maintain, protect, and enforce trademarks and other intellectual property protection for our brand. If we fail to successfully promote, protect, and maintain our brand, we may lose our existing customers to our competitors or be unable to attract new customers.</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expansion of our technology platforms through recent acquisitions has increased the visibility and complexity of our brand portfolio. Protecting and maintaining these brands requires effective intellectual property management, including securing and enforcing trademark rights globally. Failure to do so could result in loss of brand identity, market confusion, and diminished competitive positioning.</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value of our intellectual property and other proprietary rights associated with our brand could diminish if others assert rights in or ownership of trademarks or service marks that are similar to our trademarks or service marks. Our registered or unregistered trademarks or trade names may be challenged, infringed, circumvented or declared generic or determined to be infringing on other marks. Opposition or cancellation proceedings may be filed against our trademarks, which may not survive such proceedings. We may be unable to prevent competitors or other third parties from acquiring or using trademarks or service marks that are similar to, infringe upon, misappropriate, dilute, or otherwise violate or diminish the value of our trademarks and service marks, thereby impeding our ability to build brand identity and possibly leading to market confusion. Damage to our reputation or our brand or loss of confidence in our products and solutions could result in decreased demand for our products and solutions, and our business, financial condition, and results of operations may be materially adversely affected.</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our customers reduce their operations, downsize their screening programs, or otherwise demand fewer of our products and solutions, our business could be adversely impacted.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Demand for our products and solutions is subject to our customers’ continual evaluation of their need for our products and solutions and is impacted by several factors, including their hiring volumes, workforce strategies, changing regulatory landscape, and budget priorities. Demand for our offerings is also dependent on the size of our customers’ operations. Our customers could reduce their operations for a variety of reasons, including economic uncertainty, cost-containment measures, workforce automation and adoption of AI-driven hiring tools, divestitures and spin-offs, business model disruption, or poor financial performance. Demand for drug screenings may decline as a result of evolving U.S. drug laws. For example, the legalization of cannabis in several U.S. states has led to a decrease in orders for marijuana screenings. Our revenues may be significantly reduced should our customers decide to downsize their screening programs or take such programs in-house.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penetrated and competitive market.</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global market for our screening, verifications, and adjacent products remains fragmented and competitive, even as consolidation among larger firms increases. Our competitors vary based on their targeted customer size, industry vertical, geography, and product focus. We compete with large players with broad capabilities and product suites, vertical-focused specialist firms that target customers operating in select industries, mid-size players, and competitors that serve SMB customers. Some competitors are focused on specific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onboarding product categories, including drug and health screening and executive screening services. In addition, we face competition from providers offering adjacent solutions such as fleet and vehicle compliance, hiring tax credits and incentives, employment eligibility verification, and investigative research.</w:t>
      </w:r>
    </w:p>
    <w:p>
      <w:pPr>
        <w:spacing w:after="0" w:line="1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New entrants to the market have in the past emerged, both as start-ups as well as participants in adjacent sectors such as applicant tracking systems and payroll processing companies that seek to integrate background screening into their onboarding products and solutions, and may emerge in the future, which would further increase competition. Additionally, our customers may also decide to insource work that has been traditionally outsourced to us.</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our competitive market environment, we primarily compete on the basis of brand reputation and awareness, accuracy, compliance expertise, turnaround time, user experience, and price. We must continue to innovate and ensure market acceptance of our products and solutions in order to maintain and grow our business and market share. We are continually subject to the risk that our competitors may develop products and technologies that are superior to ours or achieve greater market acceptance than ours. Continuing strong competition could result in increased pricing pressure, increased sales and marketing expenses, loss of customers, and greater investments in research and development, each of which could negatively impact our results of operations. The revenues of our competitors and the resources they have available vary depending on size, specialty, and geographic footprint. Some competitors may be able to allocate resources more efficiently than we can or anticipate and respond to existing and emerging market trends, customer preferences, and technologies due to their size and resources. If we fail to compete successfully, our business, financial position, and results of operations could be materially and adversely affected.</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and service providers. If they are unable to deliver or perform as expected, our ability to operate effectively may be impaired, and our business may be materially and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extensively on data, information, and services provided by or derived from a variety of external sources, including our suppliers, customers, strategic partners, public filings, credit bureaus, publicly available information, and government authorities. Our suppliers could at any point decline to continue providing data or provide untimely or inaccurate data. These data sources have in the past increased the costs for their services, and we expect they will continue to do so from time to time. It may not be possible for us to recover any or all of the costs of any increases in fees by passing such costs along to our customers. If we try to do so, it could have a negative impact on customer relationships. In addition, the increase in such costs could cause our customers to choose to forgo certain services, thereby reducing demand for our products and solutions. Our suppliers could also request or require us to enter into minimum order contracts with clawback enforcement provisions. Some suppliers, such as certain criminal data suppliers and drug testing laboratories and collection sites we use, are also owned or may in the future be acquired by one or more of our competitors, which could make us especially vulnerable to unforeseen price increases or outright declinations to continue our relationships. Because our agreements with third-party data providers are generally non-exclusive, we are subject to the risk they may choose to enter into an exclusive arrangement with one of our competitors or maintain an exclusive proprietary database that is not shared with us. These risks could be exacerbated if our customers request we engage with a particular provider for their orders. We cannot guarantee that we will be able to identify and engage replacement providers on acceptable terms or obtain data from alternative sources in the event our suppliers are no longer able or are unwilling to provide us with certain data or services. If we were to lose access to external data or if our access or use were restricted or were to become less economical or desirable, our ability to timely complete requested services and products at a level of quality acceptable to our customers could be negatively impacted, which could adversely affect our business, results of operations and financial condition.</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Data collection and verification by screening providers is dependent on access to databases run by government and law enforcement agencies, including the FBI, state, and federal courthouses, and records systems. If we were to lose or face diminished access to one or more of these data sources, or if government personnel were unable or unwilling to access these data sources on our behalf, our operations could be negatively impacted, and our sales could suffer. Such interruptions could result from government shutdowns or slowdowns, changing laws and regulations, or natural disasters such as earthquakes, hurricanes, or floods. The inability to access or a delay in accessing essential information could result in lengthened and unsatisfactory turnaround times or our inability to offer certain of our products and solutions.</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higher-tier contractors to governmental customers involve unique competitive, procurement, budget, administrative and contractual risks, any of which could materially adversely impact our business, financial condition and results of operations.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derive a portion of our revenues from sales to U.S. federal, state and local governmental and education customers and higher-tier contractors to governmental customers. Doing business with government entities and their higher-tier contractors presents a variety of risks in addition to those involved in sales to other customers. The procurement process for governments and their agencies is highly competitive, can be time-consuming, requires us to incur significant up-front time and expense, and subjects us to additional compliance risks and costs, without any assurance that we will win a contract. In certain jurisdictions, our ability to win business may be constrained by political and other factors unrelated to our competitive position in the market. Demand for our products and services may be affected by public sector budgetary cycles and changes in funding, including reduced, delayed, or unavailable funding or changed spending priorities in any given fiscal cycle, and extended federal government shutdowns, any of which could materially adversely affect demand for our products and services and could impact our ongoing government contracts if government funding for such projects is reduced or eliminated.</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must comply with laws and regulations relating to government contracts, which affect how we do business with our customers and may result in additional costs to our business. Any failure to comply with applicable laws and regulations, including as a result of misconduct by employees, subcontractors, agents, suppliers, business partners and others working on our behalf, could result in contract termination, damage to our reputation, price or fee reductions or suspension or debarment from contracting with the government, each of which could materially adversely affect our business, financial condition and results of operations. Significant laws and regulations that affect sales to government entities and higher-tier contractors to governmental customers include:</w:t>
      </w:r>
    </w:p>
    <w:p>
      <w:pPr>
        <w:spacing w:after="0" w:line="133" w:lineRule="exact"/>
        <w:rPr>
          <w:sz w:val="20"/>
          <w:szCs w:val="20"/>
          <w:color w:val="auto"/>
        </w:rPr>
      </w:pPr>
    </w:p>
    <w:p>
      <w:pPr>
        <w:ind w:left="740" w:hanging="223"/>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and regulations regarding the formation, administration and performance of government contracts;</w:t>
      </w:r>
    </w:p>
    <w:p>
      <w:pPr>
        <w:spacing w:after="0" w:line="117" w:lineRule="exact"/>
        <w:rPr>
          <w:rFonts w:ascii="Times New Roman" w:cs="Times New Roman" w:eastAsia="Times New Roman" w:hAnsi="Times New Roman"/>
          <w:sz w:val="18"/>
          <w:szCs w:val="18"/>
          <w:color w:val="auto"/>
        </w:rPr>
      </w:pPr>
    </w:p>
    <w:p>
      <w:pPr>
        <w:ind w:left="740" w:right="400" w:hanging="223"/>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(and similar state and local false claims acts), which provides for substantial civil penalties for violations, including for submission of or causing the submission of a false or fraudulent claim to the U.S. government for payment or approval; and</w:t>
      </w:r>
    </w:p>
    <w:p>
      <w:pPr>
        <w:spacing w:after="0" w:line="53" w:lineRule="exact"/>
        <w:rPr>
          <w:rFonts w:ascii="Times New Roman" w:cs="Times New Roman" w:eastAsia="Times New Roman" w:hAnsi="Times New Roman"/>
          <w:sz w:val="18"/>
          <w:szCs w:val="18"/>
          <w:color w:val="auto"/>
        </w:rPr>
      </w:pPr>
    </w:p>
    <w:p>
      <w:pPr>
        <w:ind w:left="740" w:right="340" w:hanging="223"/>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and regulations regarding procurement integrity, including gratuity, bribery and anti-corruption requirements, as well as limitations on political contributions and lobbying.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Further, entities providing services to governments are required to comply with a variety of complex laws, regulations and contractual provisions relating to the formation, administration, or performance of government contracts that give public sector customers substantial rights and remedies, many of which are not typically found in commercial contracts. These may include rights with respect to price protection, the accuracy of information provided to the government, contractor compliance with supplier equal opportunity, socioeconomic and affirmative action policies and reporting requirements and other terms that are particular to government contracts. Federal, state and local governments routinely investigate and audit contractors for compliance with these requirements, and the qui tam provisions of the federal Civil False Claims Act (and similar state and local false claims acts) authorize a private person to file civil actions on behalf of the federal and state governments and retain a share of any recovery, which can include treble damages and civil penalties. If it is determined that we have failed to comply with these requirements, we may be subject to civil and criminal penalties and administrative sanctions, including termination of contracts, forfeiture of profits, costs associated with the triggering of price reduction clauses, fines and suspension or debarment from future government business, and we may suffer reputational damage. Further, the negative publicity that could arise from any such penalties, sanctions or findings could have a material adverse effect on our reputation and reduce our ability to compete for new contracts with both government and commercial customers.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governmental customers and higher-tier contractors may have contractual, statutory or regulatory rights to modify without our consent or terminate current contracts with us for convenience (for any reason or no reason) or due to a default. If a contract is terminated for convenience, we may only be able to collect fees for products or services delivered prior to termination and settlement expenses. If a contract is terminated due to a default, we may be liable for excess costs incurred by the customer for procuring alternative products or services or be precluded from doing further business with government entities. Governmental customers and higher-tier contractors may also have broad intellectual property rights in products and data developed under our contracts. Compliance with complex regulations and contracting provisions in a variety of jurisdictions can be expensive and consume significant management resources. In addition, government entities may revise existing contract rules and regulations or adopt new contract rules and regulations at any time. Any of these changes could impair our ability to obtain new contracts or renew contracts under which we currently perform when those contracts are eligible for re-competition.</w:t>
      </w:r>
    </w:p>
    <w:p>
      <w:pPr>
        <w:spacing w:after="0" w:line="13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10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nature of the products and solutions we provide and the information and data collected, processed, transmitted, disclosed, used, and reported by us (including personal information, confidential information, and other sensitive and/or regulated information) subjects us to potential liability from customers, consumers, data subjects, third parties, and government authorities relating to claims of legal or regulatory non-compliance, defamation, invasion of privacy, false light, negligence, intellectual property infringement, misappropriation or other violation and/or other related causes of action.</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Such liability may depend on actions or events beyond our control, such as how our customers use the information we provide or the veracity of the data we are provided by third parties. For example, we may from time to time be subject to legal claims by applicants for allegedly failing to comply with the FCRA in relation to issues regarding the accuracy of our reports. Likewise, our customers may seek indemnification for losses allegedly caused by negligent hiring or retention by asserting our reports failed to disclose information that would have resulted in an adverse employment decision had it been reported or if we improperly interpret a customer’s custom processing instructions. Such lawsuits and other proceedings could divert resources from our management and potentially subject us to equitable remedies. In addition, punitive damages are available as a remedy under the FCRA, which we are subject to and are generally not covered by insurance. We may also face adverse publicity in connection with such incidents, which could have a negative effect on our reputation and business.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brand, and reputation may be harmed as a result of security breaches, cyber-attacks, employee or other internal misconduct, computer viruses, or the mishandling of personal data.</w:t>
      </w:r>
    </w:p>
    <w:p>
      <w:pPr>
        <w:spacing w:after="0" w:line="10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products entail the collection, use, processing, disclosure, storage, and transmission of personal information, confidential information, and other sensitive and/or regulated information of individuals, including personal data.</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general, we utilize encryption and other technologies designed to provide system security for the transmission of confidential or personal data. There is no assurance that our use of applications and other technologies designed for data security, or that of our third-party vendors and service providers, will effectively counter security risks from hackers, computer viruses, and/or other intrusions or incidents. If one of more of our or our vendors’ facilities, computer networks, or databases were to experience a security breach, we could face a risk of loss of, or unauthorized access to and use of, personal data, confidential information, and other sensitive and/or regulated data, which could harm our business and reputation and result in a loss of customers or the imposition of fines or other penalties by governmental agencies, in addition to potential legal claims by our customers and their applicants and employees. Although we have put in place a number of controls and automated redundancies, our protocols and processes can also be violated due to human error, including as a result of phishing and other attempts by others to fraudulently induce the improper disclosure of sensitive information.</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techniques utilized and planned by hackers, bad actors, and other unauthorized entrants are varied and constantly evolving and may not be detected until a breach has occurred. As a result, despite our efforts, it may be difficult or impossible for us to implement measures that fully prevent such attacks or react in a timely manner. Unauthorized parties may in the future attempt to gain access to our systems or facilities through various means, including, among others, hacking into our or our customers’ or their applicants’ systems or facilities, or attempting to fraudulently induce our employees, consumers or others into disclosing usernames, passwords, or other sensitive information, which may, in turn, be used to access our information technology systems and gain access to our data or other confidential, proprietary, or sensitive information. Such efforts may be state-sponsored and supported by significant financial and technological resources, making them even more difficult to detect and prevent.</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certain of our employees have access to sensitive information about the applicants whom we perform background screenings and verifications on. In addition, certain of our third-party service providers and vendors have access to limited portions of our IT systems and may also be subject to such attempts, which then can be used to attempt to infiltrate our systems. Because we cannot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solutions.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Furthermore, international, federal and state regulators and many international, federal and state laws and regulations require notice of certain data security breaches that involve personal information, which, if applicable, could lead to widespread negative publicity, which may cause our customers to lose confidence in the effectiveness of our data security measures. In addition, we may incur significant costs and operational consequences in connection with investigating, mitigating, remediating, eliminating, and putting in place additional measures designed to prevent future actual or perceived security incidents, as well as in connection with complying with any notification or other obligations resulting from any security incidents.</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we are unable to fully protect the security and privacy of our data and electronic transactions, or if we or our third-party service providers are unable to prevent any data security breach, incident, unauthorized access, and/or misuse of our information by our customers, employees, vendors, or hackers, it could result in significant liability (including litigation and regulatory actions and fines), lasting harm to our brand and reputation, and loss of existing customers and new business opportunities.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 number of risks.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perform screenings and verifications internationally, including helping businesses screen their applicants with backgrounds that include international jurisdictions outside of the business’ domestic base of operations. In 2025, we performed screens across over 200 countries and territories, and we seek to continue to expand our international operations. The laws and regulations governing our international operations are numerous, varied, and evolving. It may be difficult to correctly identify, interpret, and support compliance with these laws and regulations, and we cannot be certain we will avoid liability for noncompliance or improper compliance with such laws and regulations. Any such cost or liability could have a material adverse effect on our business, financial condition, and results of operations. See “—We operate in a highly regulated industry and are subject to numerous and evolving laws and regulations” and “—If regulatory regimes continue to heighten their scrutiny over personal data and data security, it could lead to increased restrictions, loss of revenue opportunity, greater costs of compliance, and lost efficiency.”</w:t>
      </w:r>
    </w:p>
    <w:p>
      <w:pPr>
        <w:spacing w:after="0" w:line="1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Because we generate a portion of our revenues and operating income outside of the United States, we are exposed to market risk from changes in foreign currency exchange rates that could impact our results of operations, financial position, and cash flows. Such fluctuations could have a negative or positive impact on our revenues and results of operations in any given period, which may make it difficult to compare our operating results across different periods. Foreign currency exchange rate fluctuations may also adversely impact third-party vendors we rely on for services, which may be passed along to us in the form of price increases.</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as a result of our international footprint, our business, financial condition, and results of operations could be subject to factors beyond our control, including, but not limited to:</w:t>
      </w:r>
    </w:p>
    <w:p>
      <w:pPr>
        <w:spacing w:after="0" w:line="54" w:lineRule="exact"/>
        <w:rPr>
          <w:sz w:val="20"/>
          <w:szCs w:val="20"/>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oversee and staff our international operations;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prevent us from repatriating cash to the United States;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related impacts on customer demand and our operating results;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tax rules;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relations, political and economic instability, and international conflicts;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applicable currency exchange control regulations, transfer pricing regulations, or other similar regulations;</w:t>
      </w:r>
    </w:p>
    <w:p>
      <w:pPr>
        <w:spacing w:after="0" w:line="117" w:lineRule="exact"/>
        <w:rPr>
          <w:rFonts w:ascii="Times New Roman" w:cs="Times New Roman" w:eastAsia="Times New Roman" w:hAnsi="Times New Roman"/>
          <w:sz w:val="18"/>
          <w:szCs w:val="18"/>
          <w:color w:val="auto"/>
        </w:rPr>
      </w:pPr>
    </w:p>
    <w:p>
      <w:pPr>
        <w:ind w:left="740" w:right="100" w:hanging="223"/>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 FCPA or similar anti-corruption laws by acts of agents and other intermediaries whom we have limited or no ability to control; and</w:t>
      </w:r>
    </w:p>
    <w:p>
      <w:pPr>
        <w:spacing w:after="0" w:line="53" w:lineRule="exact"/>
        <w:rPr>
          <w:rFonts w:ascii="Times New Roman" w:cs="Times New Roman" w:eastAsia="Times New Roman" w:hAnsi="Times New Roman"/>
          <w:sz w:val="18"/>
          <w:szCs w:val="18"/>
          <w:color w:val="auto"/>
        </w:rPr>
      </w:pPr>
    </w:p>
    <w:p>
      <w:pPr>
        <w:ind w:left="740" w:hanging="223"/>
        <w:spacing w:after="0" w:line="261"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 laws and regulations such as those by the U.S. Department of The Treasury’s Office of Foreign Assets Control, that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and certain Ukraine territories.</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products could adversely affect our business, results of operations, financial condition, and growth prospects.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are complex, and therefore undetected errors, failures, bugs, or defects may be present in our products or occur in the future in our products, our technology, our software, or technology or software we license from third parties, including open-source software, especially when updates or new products are released. Such software and technology are used in IT environments with different operating systems, system management software, devices, databases, servers, storage, middleware, custom, and third-party applications and equipment and networking configurations, which may cause errors, failures, bugs, or defects in the IT environment into which such software and technology are deployed. This diversity increases the likelihood of errors, failures, bugs, or defects in those IT environments. Despite testing by us, real or perceived errors, failures, bugs, or defects may not be found until our customers use our products. Real or perceived errors, failures, bugs or defects in our products could result in negative publicity, loss of or delay in market acceptance of our products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products could also impair our ability to attract new customers, retain existing customers or expand their use of our products, which would adversely affect our business, results of operations, and financial condition.</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4" w:name="page25"/>
    <w:bookmarkEnd w:id="24"/>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if customers fail to adequately deploy protection measures or updates to our products, customers and the public may incorrectly perceive that our products are especially susceptible to cyber-attacks. Real or perceived security breaches against our products could cause disruption or damage to our customers’ networks or other negative consequences and could result in negative publicity to us, damage to our reputation, lead to other customer relations issues and adversely affect our revenue and results of operations. We may also be subject to liability claims for damages related to real or perceived errors, failures, bugs, or defects in our products. A material liability claim or other occurrence that harms our reputation or decreases market acceptance of our products may harm our business and results of operations. Finally, since some of our customers use our products for compliance reasons, any errors, failures, bugs, defects, disruptions in service, or other performance problems with our products may damage our customers’ business and could hurt our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expected benefits of our acquisition of Sterling could adversely affect our business and the value of our common stock.</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expect significant benefits to result from the acquisition of Sterling, there can be no assurance that we will realize any of them, or realize them within the anticipated timeframe. Achieving these benefits will depend, in part, on our ability to integrate Sterling’s business successfully and efficiently. The integration process remains complex and time-consuming and involves challenges such as:</w:t>
      </w:r>
    </w:p>
    <w:p>
      <w:pPr>
        <w:spacing w:after="0" w:line="122" w:lineRule="exact"/>
        <w:rPr>
          <w:sz w:val="20"/>
          <w:szCs w:val="20"/>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customer and other important relationships of Sterling and attracting new business and operational relationships;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information technology, finance and administrative infrastructures;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our capabilities;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operations in countries in which we have not previously operated;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human resource systems and benefits, maintaining employee morale and retaining key employees.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do not successfully manage these risks and the other challenges inherent in integrating an acquired business, then we may not achieve the anticipated benefits of the acquisition of Sterling in our anticipated timeframe or at all and our revenue, expenses, operating results, financial condition and stock price could be materially adversely affected. The successful integration of the Sterling business is requiring significant management attention and may divert it from our business and operational issues.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attractive acquisition targets and strategic partnerships or successfully complete such transactions.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Part of our strategy is to selectively pursue complementary acquisitions and strategic partnerships. Opportunities to grow our business through acquisitions, joint ventures, and other alliances may not be available to us in the future. We cannot guarantee that we will be able to identify attractive targets that are a strategic fit with our business or that we will be able to agree upon acceptable terms. Our ability to successfully identify and complete future acquisitions with reasonable valuations may also be affected by factors out of our control, including general market conditions, volatility in the capital and debt markets, and other macroeconomic and geopolitical risks. Furthermore, a number of our competitors expand and diversify through acquisitions, and we likely will experience competition in our effort to execute our acquisition strategy. As a result, we may be unable to continue to make acquisitions or may be forced to pay more for the companies we are able to acquire.</w:t>
      </w:r>
    </w:p>
    <w:p>
      <w:pPr>
        <w:spacing w:after="0" w:line="1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not be able to integrate or manage acquired businesses, including Sterling, and strategic partnerships so as to produce returns that justify the investment. Integrating acquisitions or other business relationships, including the acquisition of Sterling, may result in unforeseen operating difficulties and expenditures, disrupt our ongoing business, divert our resources, and require significant management attention that would otherwise be available for the ongoing development of our business. In particular, it may prove difficult to integrate the personnel, operations, intellectual property, and/or technology systems of any acquired organizations, and to maintain uniform standards, policies, and procedures across multiple platforms and locations, including for those located outside of the United States. This may result in a greater than anticipated increase in the transaction, remediation, and integration costs and could discourage us from pursuing acquisitions where the potential for such costs outweigh the perceived benefit. Further, although we conduct due diligence with respect to the business and operations of each of the companies we acquire, we may not identify all material facts concerning these acquired companies, including Sterling, which could result in unanticipated events or liabilities. We cannot guarantee that any acquisitions we pursue will be carried out on favorable terms or that the anticipated benefits of any acquisition, investment, or business relationship, including the acquisition of Sterling, will materialize as intended or that no unanticipated liabilities will arise.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economic and trade sanctions, and anti-money laundering laws and regulations could have an adverse effect on our business.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evolving anti-corruption laws, economic and trade sanctions, and anti-money laundering rules in several jurisdictions in which we operate, including the U.S. FCPA and the U.K. Bribery Act, and similar laws globally. The evolution of this regulatory regime has generally brought about more aggressive investigations and enforcement, which, if targeted towards us, could materially adversely impact our business. We have policies and procedures in place to assist us with monitoring the evolution of these laws and ensuring our ongoing compliance. We are continuously in the process of reviewing, upgrading, and enhancing these protocols. However, we cannot guarantee that our employees, consultants, or agents will not take actions that amount to a violation of these laws and regulations for which we may be ultimately responsible or that our policies and procedures will be adequate in protecting us from liability. Further, our services agreements with several customers contain contractual provisions mandating our ongoing compliance with applicable anti-corruption, economic, and trade sanctions or anti-money laundering laws or regulations. If we are deemed to be in violation of any such rules, our business activities could be restricted or terminated. In addition, we could face civil and criminal penalties, including fines, which could damage our reputation and customer relationships and materially impact our results of operations or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Operation Centers of Excellence and other operational sites could adversely impact our business.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Operation Centers of Excellence in Manila, Philippines, and in Bangalore and Mumbai, India provide critical support for our operations by processing screening requests, performing manual review of records and verifications work, handling certain customer calls and interactions, and completing certain internal shared service support functions. We also have other important operational sites, including Fishers, Indiana and Atlanta, Georgia. If our operations at our Operation Centers of Excellence or such other sites are disrupted, even for a brief period of time, whether due to malevolent acts, defects, computer viruses, climate change, natural disasters such as earthquakes, fires, hurricanes or floods, power or telecommunications failures, or other external events beyond our control, it could result in interruptions in service to our customers, damage to our reputation, harm to our customer relationships, and reduced revenues and profitability.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occur. In the case of such an event, customers could elect to terminate our relationship, delay or withhold payment to us, or even make claims against us.</w:t>
      </w:r>
    </w:p>
    <w:p>
      <w:pPr>
        <w:spacing w:after="0" w:line="13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guaranteed exclusivity or volumes in all of our contracts with our customers and our customers may experience major business changes that impact our current or future revenue streams.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long-standing relationships with many of our customers; however, many of our customer contracts and services agreements do not typically require our customers to use our products exclusively or commit to minimum engagement or order volumes. As a result, we rely on our customers’ continuing demand for our products and solutions, our technology, our value proposition, and our brand and reputation to compete. Our customers can stop doing business with us for any reason at any time with minimal notice and without penalty, and may leverage this flexibility to renegotiate arrangements on terms less favorable to us. The loss of a significant customer or any reduced demand for our products and solutions by our customers, particularly from large customers, would negatively impact our business. For the year ended December 31, 2025, no customer accounted for 10% or more of our revenues. We cannot guarantee that we will maintain relationships with any of our customers on acceptable terms or at all or retain, renew or expand upon our existing agreements. The failure to do so could adversely affect our business, financial condition, and results of operations.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with our technology and network infrastructure, including our data centers, servers, and third-party cloud and internet providers, and our migration to the cloud, could have an adverse impact on our business.</w:t>
      </w:r>
    </w:p>
    <w:p>
      <w:pPr>
        <w:spacing w:after="0" w:line="1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Our operating model depends on the efficient and unimpeded operation of our global technology and data processing systems. We currently operate data centers and servers around the world and rely on our third-party cloud providers to host certain of our websites, databases, and web-based services. Our property and business interruption insurance coverage may not be adequate to fully compensate us for losses that may occur. Severe impairment or total destruction of our data centers could occur, and recovery could be difficult and may not be possible at all. In the event of an accessibility outage or other incident at our data centers or with respect to our third-party cloud providers, our operations could be disrupted, data could be lost, and our systems or the quality of our products and solutions could be compromised. Such events could result in financial loss, reputation damage, potential liability, or customer loss, any of which could have an adverse impact on our business, results of operations, and financial condition. Such outages may be impossible to predict, plan for, or avoid.</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rely on such third-party cloud providers, we are subject to risks that we can neither control nor mitigate, including their vulnerability to damage from climate change, earthquakes, hurricanes, floods, acts of terrorism, power loss, telecommunications and other service failures, break-ins, human error, and similar events. Our current or future third-party cloud providers could decide to close their facilities without adequate notice or otherwise cease doing business with us. We cannot guarantee that our current or future third-party cloud providers will keep up with our increasing capacity needs or customer demand. In addition, our users depend on internet service providers, online service providers, and other website operators for access to our systems. These providers could experience outages, delays, and other difficulties due to system failures unrelated to our systems, events which are beyond our control, or mitigation. Any changes in service levels by our current or future third-party cloud providers could result in loss or damage to our stored information and result in operational delays. Any of these events could seriously harm our business, results of operations, and financial condition.</w:t>
      </w:r>
    </w:p>
    <w:p>
      <w:pPr>
        <w:spacing w:after="0" w:line="1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currently integrating certain of our software and our systems as a result of the Sterling Acquisition. This integration is complex and will require significant changes to our platforms. Scaling and adapting our technology will require a significant lead time and investment in financial and human capital. We cannot guarantee that this transition will be without operational interruptions or other forms of disruption, including loss of information, delayed turnaround times, and deficiencies in our design, implementation, or maintenance of the system. If we experience outages or interruptions in the products and solutions we provide for extended periods of time, our customers could face accessibility issues which would have an adverse impact on our business, results of operations, and financial condition.</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105"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We engage and integrate with many third-party human resource software providers, including applicant tracking systems and human capital management systems, to deliver an integrated solution that enables customers to easily perform both human resource functions and screenings and verifications through a core platform. This depends on our ability to seamlessly integrate our platforms and systems with those of the human resource software providers. If our engagement or arrangements with such providers are terminated for any reason, we risk losing the opportunity for continued integration with the software applications of these companies, which could jeopardize our ability to provide a seamless interface for our customers, result in service disruptions, errors, or delays, increase costs and reduce the quality of our products, and ultimately put us at a competitive disadvantage in retaining and acquiring customers.</w:t>
      </w:r>
    </w:p>
    <w:p>
      <w:pPr>
        <w:spacing w:after="0" w:line="5"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Further, if a provider updates its products without providing sufficient notice to us, there could be disruptions to the integration, which could result in errors, delays, interruptions, operational inefficiencies, and customer dissatisfaction.</w:t>
      </w:r>
    </w:p>
    <w:p>
      <w:pPr>
        <w:spacing w:after="0" w:line="1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these third-party human resource software providers are often sources of positive references when a customer is looking to make a purchase or contract renewal decision and may also be a source of new business referrals. If our relationships with these third parties were to deteriorate or if our arrangements with them were to expire, our business and our ability to win new customers and retain existing customers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public opinion, which may be magnified by incidents or adverse publicity concerning our industry or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in an industry that is highly sensitive to public perception, especially regarding cybersecurity, privacy, and data protection, and adverse developments with respect to our industry may also, by association, negatively impact our reputation. For example, when information services companies are involved in high-profile events involving data theft, these events could result in increased legal and regulatory scrutiny, adverse publicity, and potential litigation concerning the commercial use of such information for our industry in general. If there is a perception that the practices of our business or our industry constitute an invasion of privacy, our business and results of operations may be negatively impacted. There have been and may continue to be perception issues, social stigmas, and negative media attention regarding the collection, use, accuracy, correction, and sharing of personal data, which could materially adversely affect our business, results of operations, and financial condition.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deliver products and services to our customers effectively requires us to work with certain third-party vendors and service providers. For example, we engage third-party vendors to maintain and upgrade portions of our software and technology. In addition, from time to time and in certain geographic locations, we engage third-party support service providers depending on demand requirements on our operations and customer service call centers. Our business, therefore, depends on such third parties meeting our expectations and the expectations of our customers in timeliness, quality, and volume. We cannot guarantee our third-party providers will be able to do so on a cost-effective basis or at all due to a number of factors. Some of the third-party vendors that we rely on conduct operations outside of the United States, which subjects us to the risk that economic, political, and military events in foreign jurisdictions might cause an interruption to our operations. We may not be able to ensure that our third-party vendors perform in accordance with agreed-upon, regulated, and expected standards. We could be held accountable for their failure to do so, which may subject us to fines or other sanctions. If our third-party vendors do not meet our expectations and those of our customers, it could negatively affect our reputation, harm our relationships with existing customers, and hamper our ability to win new customers.</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we have entered into agreements with some of these third-party service providers, they have no obligation to renew their agreements with us on commercially reasonable terms or at all. If any one of our third-party service provider’s ability to perform their obligations is impaired, we may not be able to find an alternative supplier in a timely manner or on acceptable financial terms, which could result in operational interruptions and increased costs.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any shift in business strategy, corporate reorganization, or financial difficulties, such as bankruptcy faced by our third-party providers, may have negative effects on our ability to execute our business strategy.</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termination of our agreements with, or disruption in the performance of, one or more of these third-party providers could result in operational disruptions and delayed turnaround times. This could adversely impact our relationships with our existing customers, reduce our ability to attract new customers, impact our ability to innovate and introduce new products and solutions, and result in an inability to meet our obligations or require us to seek alternative service providers on less favorable terms, any of which can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in large part on the service of our key executives and our ability to find and retain qualified employees.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depend to a large degree on the personal efforts, abilities, and performance of the members of our senior leadership team and other key personnel. Over the past several years, our management team has driven strategic and transformational initiatives across operations, product, engineering, and sales to accelerate growth and product development. Although we maintain employment contracts with certain of our officers, the possibility remains they may terminate their employment relationship with us at any time. If any of our key personnel were unable or unwilling to continue in their present positions, it may be difficult to replace them, and their departure could adversely affect our business, financial condition, and results of operations.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grow our business and provide our customers with the products and solutions they have grown to expect from us is also dependent on our ability to attract and retain highly motivated and qualified people. Competition for skilled employees in our industry is intense and, if we are unable to attract and retain an able workforce, our business, results of operations, and financial condition may suffer. Any unplanned turnover or sustained labor shortage, or failure to attract, develop, and maintain a highly skilled and diverse workforce, including key capabilities such as product development, sales, customer success, and operations, can deplete our institutional knowledge base, erode our competitive advantage or result in increased costs due to increased competition for employees, higher employee turnover or increased employee benefit costs.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and other proprietary rights are important to our business, and our ability to compete and our success depend, in part, on obtaining, maintaining, protecting, and enforcing such rights. In particular, the technology solutions we have created to deliver screening solutions, automate and integrate our platforms with third-party human capital management and applicant tracking systems, and gather and process information from various data sources and suppliers are critical to the success of our business. We rely on a combination of patent, copyright, trademark, and trade secret laws, as well as licensing agreements, intellectual property assignment agreements, third-party nondisclosure agreements, and other confidentiality agreements with our employees, customers, vendors, partners, and others to protect our intellectual property rights. These protections may not be adequate to prevent our competitors from copying our products and solutions or otherwise infringing on, misappropriating, or violating our intellectual property rights, and we may need to devote significant additional resources and time to ensure our intellectual property rights are adequately protected, including by bringing litigation against third parties to enforce our intellectual property rights. We cannot guarantee that we will be successful in prevailing in any such matters, regardless of our expenditures and efforts.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In addition, some of the laws in foreign markets in which we operate do not protect intellectual property and other proprietary rights to the same level of protection as do the laws of the United States, and the mechanisms for enforcement of intellectual property and other proprietary rights in such countries may be inadequate.</w:t>
      </w:r>
    </w:p>
    <w:p>
      <w:pPr>
        <w:spacing w:after="0" w:line="14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 third parties may also design around or independently develop similar technology or otherwise duplicate or mimic our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Furthermore, we may also be subject to claims of intellectual property infringement, misappropriation, or violation by third parties, including our competitors. Even if we are unaware of such rights, we may be found by courts to be infringing upon, misappropriating, or violating them. If such claims are successfully asserted against us or if we decide to settle such matters, we could be required to pay substantial damages or ongoing royalty payments, obtain licenses, which may not be available on commercially reasonable terms, or at all, modify our products and solutions (including our applications), or discontinue certain products. We may also be obligated to indemnify applicants, customers, vendors, or partners in connection with any such claim or litigation. Even if we prevail in a dispute, any litigation regarding intellectual property could be costly, time-consuming, and require the deployment of significant resources, and could result in lasting harm being done to our brand and reputation, results of operations or financial condition, or have other adverse consequences.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protect and enforce the confidentiality of our trade secrets, our business and competitive position would be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safeguard our innovations and maintain competitive advantages, we partially rely on trade secrets. We cannot guarantee that we will be successful in maintaining, protecting, or enforcing the confidentiality of our trade secrets or that our non-disclosure agreements will provide sufficient protection of our trade secrets, know-how, or other proprietary information in the event of any unauthorized use, misappropriation, or other disclosure. Although we have implemented measures to protect our trade secrets, including entering into confidentiality agreements with third parties and confidential information and inventions agreements with employees, consultants, and advisors, we cannot provide any assurances that any of these parties may not breach the agreements and disclose our proprietary information, including our trade secrets. For example, if a party to one of our non-disclosure agreements were to breach said agreement, we cannot guarantee that adequate remedies will be available to rectify any subsequent damages or losses of confidential and proprietary information.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It is also possible that our trade secrets will become known by some other mechanism or independently developed by our competitors, and we would have no right to prevent them from using that technology or information to compete with us. For example, a significant portion of our proprietary databases is assembled from publicly available information sources, and third parties, including our competitors, could compile similar or competing databases by accessing the same publicly available information sources.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open-source software in our applications may expose us to additional risks and harm our intellectual property rights.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 the past incorporated, and may in the future continue to incorporate, certain “open-source” software into our codebase and our products and solutions. Open-source software is generally licensed by its authors or other third parties under open-source licenses, which typically do not provide any representations, warranties, or indemnity coverage by the licensor. Some of these licenses provide that combinations of open-source software with a licensee’s proprietary software are subject to the open-source license and require that the combination be made available to third parties in source code form, at no cost, or subject to other unfavorable conditions. Some open-source licenses may also require the licensee to grant licenses under certain of its own intellectual property to third parties. From time to time, there have been claims challenging the ownership of open-source software against companies that incorporate such software into their products or applications. The terms of various open-source licenses have not been interpreted by courts, and there is a risk that such licenses could be construed in a manner that imposes unanticipated conditions or restrictions on our use of open-source software or our proprietary rights. In addition, if we were to combine our applications with open-source software in a certain manner, we could, under certain of the open-source licenses, be required to publicly release or license, at no cost, our products that incorporate the open-source software or the affected portions of our source code, which could allow our competitors or other third parties to create similar products and solutions with lower development effort, time, and costs, and could ultimately result in a loss of transaction volume for us. If we inappropriately use open-source software, we may be required to redesign our applications, seek licenses from third parties in order to continue offering our products, which may not be available on commercially reasonable terms, or at all, discontinue the sale of our products or solutions, or take other remedial actions, each of which could reduce or eliminate the value of our technologies and could adversely impact our business, operating results, or financial condition.</w:t>
      </w:r>
    </w:p>
    <w:p>
      <w:pPr>
        <w:spacing w:after="0" w:line="1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cannot ensure that we have not incorporated open-source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open-source licenses, we could be required to incur significant legal expenses defending such allegations, be subject to significant damages, be enjoined from the sale of our products and solutions, and be required to comply with onerous conditions or restrictions on our products and solutions, any of which could be materially disruptive to our business. Litigation could be costly for us to defend, have a negative effect on our operating results and financial condition, or require us to devote additional development resources to change our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our operating results to fluctuate from quarter to quarter.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we service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customers may elect to complete post-onboarding screening such as workforce re-screens and other products at different periods and intervals during any given year. It is not always possible to accurately forecast the timing and magnitude of these programs.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changes in consumer behavior, labor market conditions, technological innovation, and broader macroeconomic factors can impact seasonality trends, making it difficult for us to predict how our seasonality may evolve in the future. As a result, it may be difficult to forecast our results of operations accurately, and there can be no assurance that the results of any particular quarter or other period will serve as an indication of our future performance.</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implementation cycles can be lengthy and variable, depend upon factors outside our control, and could cause us unexpected delays in generating revenues or result in lower than anticipated revenues.</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Unexpected delays and difficulties can occur as customers implement and test our products and solutions. Implementation typically involves integration with our customers’ and third-party systems and internal processes, as well as adding customer and third-party data to our platforms. This can be complex and time-consuming for our customers and can result in delays. We provide our customers with upfront estimates regarding the duration and resources associated with the implementation of our products and solutions. However, delays may occur due to discoveries made during the implementation process, such as unique or unusual customer requirements or our internal limitations. If we are unable to resolve these issues and we fail to meet the upfront estimates and the expectations of our customers, it could result in customer dissatisfaction, loss of customers, delays in generating revenues, or negative brand perception about us and our products and solutions. Our implementation cycles could also be disrupted by factors outside of our control, such as deficiencies in the platform of our customers or third-party ATS or HCM systems, which could adversely affect our business, results of operations, and financial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interpretation of tax laws may have a material adverse effect on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Tax laws and related interpretations with respect to income taxation are frequently reviewed and amended by governmental authorities in the U.S. and other jurisdictions in which we operate. In 2023, we fully utilized our remaining U.S. federal income tax net operating loss carryforwards, other than those subject to significant limitation under IRC Section 382. As a result, beginning in 2024, income tax became a material use of funds. Our provision for income taxes and liquidity may be adversely affected by increases in statutory tax rates, implementation of global minimum tax rules under the OECD Pillar Two framework, evolving state and local tax regimes, and heightened enforcement activity. These changes, along with new state-level taxes and digital services tax proposals in certain foreign jurisdictions, may increase our effective tax rate and cash tax obligations. Additionally, changes to our operating model, shifts in the mix of income and expenses across countries with differing tax rates, foreign currency fluctuations, and changes in the valuation of deferred tax assets and liabilities could materially affect our tax position. The timing and scope of future tax law changes remain uncertain, and any enacted changes could require us to modify our tax strategies, increase compliance costs, or result in higher tax liabilities. It is not possible to predict whether or when tax laws, regulations, and rulings may be enacted, issued, or amended, or the impact such changes may have on our financial position, results of operations, or cash flows.</w:t>
      </w:r>
    </w:p>
    <w:p>
      <w:pPr>
        <w:spacing w:after="0" w:line="13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regarding sustainability matters may increase our operational and compliance burdens, expose us to reputational risk, and adversely affect our business, financial condition, or results of operations.</w:t>
      </w:r>
    </w:p>
    <w:p>
      <w:pPr>
        <w:spacing w:after="0" w:line="105" w:lineRule="exact"/>
        <w:rPr>
          <w:sz w:val="20"/>
          <w:szCs w:val="20"/>
          <w:color w:val="auto"/>
        </w:rPr>
      </w:pPr>
    </w:p>
    <w:p>
      <w:pPr>
        <w:ind w:right="160"/>
        <w:spacing w:after="0" w:line="220" w:lineRule="exact"/>
        <w:rPr>
          <w:sz w:val="20"/>
          <w:szCs w:val="20"/>
          <w:color w:val="auto"/>
        </w:rPr>
      </w:pPr>
      <w:r>
        <w:rPr>
          <w:rFonts w:ascii="Times New Roman" w:cs="Times New Roman" w:eastAsia="Times New Roman" w:hAnsi="Times New Roman"/>
          <w:sz w:val="18"/>
          <w:szCs w:val="18"/>
          <w:color w:val="auto"/>
        </w:rPr>
        <w:t>Customers, employees, investors, regulators, community organizations, industry groups, and other stakeholders increasingly expect companies to adopt, disclose, and execute on a broad set of sustainability priorities. These expectations encompass sustainability practices,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initiatives, human capital management, diversity, equity and inclusion, ethical business conduct,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responsibility, and increased transparency in public reporting. Stakeholder expectations in these areas continue to evolve rapidly and are often inconsistent or conflicting across stakeholder groups.</w:t>
      </w:r>
    </w:p>
    <w:p>
      <w:pPr>
        <w:spacing w:after="0" w:line="106" w:lineRule="exact"/>
        <w:rPr>
          <w:sz w:val="20"/>
          <w:szCs w:val="20"/>
          <w:color w:val="auto"/>
        </w:rPr>
      </w:pPr>
    </w:p>
    <w:p>
      <w:pPr>
        <w:ind w:right="360"/>
        <w:spacing w:after="0" w:line="231" w:lineRule="exact"/>
        <w:rPr>
          <w:sz w:val="20"/>
          <w:szCs w:val="20"/>
          <w:color w:val="auto"/>
        </w:rPr>
      </w:pPr>
      <w:r>
        <w:rPr>
          <w:rFonts w:ascii="Times New Roman" w:cs="Times New Roman" w:eastAsia="Times New Roman" w:hAnsi="Times New Roman"/>
          <w:sz w:val="18"/>
          <w:szCs w:val="18"/>
          <w:color w:val="auto"/>
        </w:rPr>
        <w:t>As we develop, communicate, and implement our sustainability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initiatives, we may face challenges balancing these disparate priorities. For example, certain customers or investors may expect sustainability commitments or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disclosure, while others may oppose such actions or express different priorities regarding workforce practices, social impact, or governance. Meeting the expectations of one group may create tension with another or require additional investments, operational changes, or modifications to our internal processes.</w:t>
      </w:r>
    </w:p>
    <w:p>
      <w:pPr>
        <w:spacing w:after="0" w:line="14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emerging and evolving regulatory frameworks—such as climate related reporting rules, state level emissions disclosure mandates, human capital transparency requirements, and supply chain diligence obligations—may require us to devote significant management attention and resources to compliance. These requirements differ by jurisdiction and may impose increased reporting burdens, new assurance or verification requirements, or expanded governance and oversight obligations.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sustainability related statements, goals, disclosures, and performance metrics also expose us to scrutiny, including allegations of “greenwashing” or “social washing,” if such statements are viewed as incomplete, inaccurate, not sufficiently supported by data, or not aligned with stakeholder expectations. This scrutiny could result in reputational harm, media attention, customer dissatisfaction, employee engagement challenges, investor concern, or litigation and regulatory inquiry.</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our ability to achieve sustainability related objectives may depend on factors outside of our control, including the performance of third party vendors, data availability, evolving industry standards, and changes in regulatory guidance. If we are unable to effectively navigate differing sustainability expectations, manage compliance obligations, communicate our strategies and progress transparently and consistently, meet stated goals, implement initiatives as planned, our reputation, competitive position, relationships with customers, employees, and other stakeholders, and ability to attract and retain customers, talent, and investors may be adversely affected. These factors, individually or in the aggregate, could materially adversely affect our business, financial condition, or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impact on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we seek to partner with organizations that mitigate their business risks associated with climate change, we recognize that there are inherent risks wherever business is conducted. Access to clean water and reliable energy in the communities where we conduct our business, whether for our offices or for our vendors, is a priority. Our major sites in the United States, India, and the Philippines are vulnerable to climate change effects. In addition, certain third-party vendors and cloud service providers that support our operations may also be located in regions susceptible to climate-related disruptions, increasing our indirect exposure. Climate-related events, including the increasing frequency of extreme weather events and their impact on the United States, India, the Philippines and other major regions’ critical infrastructure, have the potential to disrupt our business, our third-party suppliers and/or the business of our customers, and may cause us to experience higher attrition, losses, and additional costs to maintain or resume operations. Further, emerging climate-related regulations and disclosure requirements may increase compliance costs and require additional investment in sustainability initiatives.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there were an event of default under any of the agreements relating to our outstanding debt, the holders of the defaulted debt could cause all amounts outstanding with respect to that debt to be due and payable immediately. Our assets or cash flow may not be sufficient to fully repay borrowing under our outstanding debt instruments if accelerated upon an event of default. Further, if we are unable to repay, refinance or restructure our secured debt, the holders of such debt could proceed against the collateral securing such debt. In addition, any event of default or declaration of acceleration under one debt instrument could also result in an event of default under one or more of our other debt instruments. As a result, any default by us on our debt could have a materially adverse effect on our business, results of operations, and financial condition.</w:t>
      </w:r>
    </w:p>
    <w:p>
      <w:pPr>
        <w:spacing w:after="0" w:line="1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ability to raise additional capital to fund our operations, limit our ability to react to changes in the economy or our industry, and prevent us from meeting our obligations.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significant amount of indebtedness. As of December 31, 2025, we had $2,114.5 million of total debt outstanding.</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indebtedness increases the risk that we may be unable to generate cash sufficient to pay amounts due in respect of our indebtedness. Our indebtedness could have other important consequences to us, including:</w:t>
      </w:r>
    </w:p>
    <w:p>
      <w:pPr>
        <w:spacing w:after="0" w:line="108" w:lineRule="exact"/>
        <w:rPr>
          <w:sz w:val="20"/>
          <w:szCs w:val="20"/>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the general economy, industry, and competitive conditions;</w:t>
      </w:r>
    </w:p>
    <w:p>
      <w:pPr>
        <w:spacing w:after="0" w:line="117" w:lineRule="exact"/>
        <w:rPr>
          <w:rFonts w:ascii="Times New Roman" w:cs="Times New Roman" w:eastAsia="Times New Roman" w:hAnsi="Times New Roman"/>
          <w:sz w:val="18"/>
          <w:szCs w:val="18"/>
          <w:color w:val="auto"/>
        </w:rPr>
      </w:pPr>
    </w:p>
    <w:p>
      <w:pPr>
        <w:ind w:left="740" w:right="620" w:hanging="223"/>
        <w:spacing w:after="0" w:line="282"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repatriate cash from our foreign subsidiaries to accommodate debt service payments;</w:t>
      </w:r>
    </w:p>
    <w:p>
      <w:pPr>
        <w:spacing w:after="0" w:line="117" w:lineRule="exact"/>
        <w:rPr>
          <w:rFonts w:ascii="Times New Roman" w:cs="Times New Roman" w:eastAsia="Times New Roman" w:hAnsi="Times New Roman"/>
          <w:sz w:val="18"/>
          <w:szCs w:val="18"/>
          <w:color w:val="auto"/>
        </w:rPr>
      </w:pPr>
    </w:p>
    <w:p>
      <w:pPr>
        <w:ind w:left="740" w:right="300" w:hanging="223"/>
        <w:spacing w:after="0" w:line="312"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interest rates as certain of our borrowings, including borrowings under our term loan facility, are at variable rates, and we may not be able to enter into interest rate swaps, and any swaps we enter into may not fully mitigate our interest rate risk;</w:t>
      </w:r>
    </w:p>
    <w:p>
      <w:pPr>
        <w:spacing w:after="0" w:line="31" w:lineRule="exact"/>
        <w:rPr>
          <w:rFonts w:ascii="Times New Roman" w:cs="Times New Roman" w:eastAsia="Times New Roman" w:hAnsi="Times New Roman"/>
          <w:sz w:val="17"/>
          <w:szCs w:val="17"/>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capitalizing on business opportunities;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to satisfy our financial obligations, including payments on our indebtedness;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740" w:right="280" w:hanging="223"/>
        <w:spacing w:after="0" w:line="282"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debt service requirements, execution of our business strategy, or other general corporate purposes.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credit agreement governing our term loan facility and revolving credit facility contains, and the agreements governing future indebtedness may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receive debt ratings from major credit rating agencies in the U.S. Factors that may impact our credit ratings include debt levels, planned asset purchases or sales. Liquidity, asset quality, cost structure and pricing levels could also be considered by the rating agencies. Any downgrade in our credit ratings or the ratings of our indebtedness, or adverse conditions in the debt capital markets, could:</w:t>
      </w:r>
    </w:p>
    <w:p>
      <w:pPr>
        <w:spacing w:after="0" w:line="122" w:lineRule="exact"/>
        <w:rPr>
          <w:sz w:val="20"/>
          <w:szCs w:val="20"/>
          <w:color w:val="auto"/>
        </w:rPr>
      </w:pPr>
    </w:p>
    <w:p>
      <w:pPr>
        <w:ind w:left="740" w:hanging="223"/>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trading price of, or market for, our debt securities;</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interest expense under our term facilities;</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and adversely affect our ability to refinance, our existing debt; and</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ability to raise additional debt.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2" w:name="page33"/>
    <w:bookmarkEnd w:id="32"/>
    <w:p>
      <w:pPr>
        <w:ind w:right="20"/>
        <w:spacing w:after="0" w:line="256" w:lineRule="auto"/>
        <w:rPr>
          <w:sz w:val="20"/>
          <w:szCs w:val="20"/>
          <w:color w:val="auto"/>
        </w:rPr>
      </w:pPr>
      <w:r>
        <w:rPr>
          <w:rFonts w:ascii="Times New Roman" w:cs="Times New Roman" w:eastAsia="Times New Roman" w:hAnsi="Times New Roman"/>
          <w:sz w:val="18"/>
          <w:szCs w:val="18"/>
          <w:color w:val="auto"/>
        </w:rPr>
        <w:t>We may incur significant additional indebtedness in the future. Although the credit agreement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 associated with our indebtedness described above will increase. See “Management’s Discussion and Analysis of Financial Condition and Results of Operations—Liquidity and Capital Resources—Long-Term Debt.”</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 governing our term loan facility and revolving credit facility,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our term loan facility and revolving credit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instruments restrict our current and future operations, particularly our ability to respond to changes or take certain actions.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term loan facility and revolving credit facility impose significant operating and financial restrictions and limit our ability to:</w:t>
      </w:r>
    </w:p>
    <w:p>
      <w:pPr>
        <w:spacing w:after="0" w:line="108" w:lineRule="exact"/>
        <w:rPr>
          <w:sz w:val="20"/>
          <w:szCs w:val="20"/>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and advances;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changes in the nature of our business.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includes financial covenants requiring us to maintain specified leverage ratios and other financial condition tests, which may become more restrictive if macroeconomic conditions deteriorate or if our operating performance declines. As a result of these covenants and restrictions, we are and will be limited in how we conduct our business, and we may be unable to raise additional debt or equity financing to compete effectively or to take advantage of new business opportunities. In addition, we are required to maintain specified financial ratios and satisfy other financial condition tests.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results of operations and financial condition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Silver Lake controls us and its interests may conflict with yours in the future.</w:t>
      </w:r>
    </w:p>
    <w:p>
      <w:pPr>
        <w:spacing w:after="0" w:line="1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Silver Lake beneficially owned 51.4% of our outstanding common stock as of December 31, 2025. As a result, Silver Lake is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This concentration of our ownership may delay or deter possible changes in control of the Company, which may reduce the value of an investment in our common stock.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Silver Lake and its affiliates are able to determine the outcome of all matters requiring stockholder approval and are able to cause or prevent a change of control of the Company or a change in the composition of our Board of Directors and could preclude any acquisition of the Company.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deprive you of an opportunity to receive a premium for your shares of common stock as part of a sale of the Company and ultimately might affect the market price of our common stock.</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1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108" w:lineRule="exact"/>
        <w:rPr>
          <w:sz w:val="20"/>
          <w:szCs w:val="20"/>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17" w:lineRule="exact"/>
        <w:rPr>
          <w:rFonts w:ascii="Times New Roman" w:cs="Times New Roman" w:eastAsia="Times New Roman" w:hAnsi="Times New Roman"/>
          <w:sz w:val="18"/>
          <w:szCs w:val="18"/>
          <w:color w:val="auto"/>
        </w:rPr>
      </w:pPr>
    </w:p>
    <w:p>
      <w:pPr>
        <w:ind w:left="740" w:right="460" w:hanging="223"/>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740" w:right="100" w:hanging="223"/>
        <w:spacing w:after="0" w:line="282"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740" w:right="620" w:hanging="223"/>
        <w:spacing w:after="0" w:line="282"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cybersecurity incidents, geopolitical instability, natural disasters, war, acts of terrorism or responses to these events.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The Company’s payment of a one-time special cash dividend of $1.50 per share in August 2023 should not be regarded as any indication of an intention to pay dividends in the future.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you may not receive any return on an investment in our common stock unless you sell our common stock for a price greater than your purchase price.</w:t>
      </w:r>
    </w:p>
    <w:p>
      <w:pPr>
        <w:spacing w:after="0" w:line="1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First Advantage Corporation is a holding company with no operations of its own and, as such, it depends on its subsidiaries for cash to fund all of its operations and expenses, including future dividend payments, if any.</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currently do not intend to pay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5" w:name="page36"/>
    <w:bookmarkEnd w:id="3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“controlled company” within the meaning of Nasdaq rules and the rules of the SEC and, as a result, qualify for exemptions from certain corporate governance requirements.</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Silver Lake controls a majority of the voting power of our outstanding common stock. As a result, we qualify as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126" w:lineRule="exact"/>
        <w:rPr>
          <w:sz w:val="20"/>
          <w:szCs w:val="20"/>
          <w:color w:val="auto"/>
        </w:rPr>
      </w:pPr>
    </w:p>
    <w:p>
      <w:pPr>
        <w:ind w:left="740" w:hanging="223"/>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Nasdaq rules;</w:t>
      </w:r>
    </w:p>
    <w:p>
      <w:pPr>
        <w:spacing w:after="0" w:line="117" w:lineRule="exact"/>
        <w:rPr>
          <w:rFonts w:ascii="Times New Roman" w:cs="Times New Roman" w:eastAsia="Times New Roman" w:hAnsi="Times New Roman"/>
          <w:sz w:val="18"/>
          <w:szCs w:val="18"/>
          <w:color w:val="auto"/>
        </w:rPr>
      </w:pPr>
    </w:p>
    <w:p>
      <w:pPr>
        <w:ind w:left="740" w:right="380" w:hanging="223"/>
        <w:spacing w:after="0" w:line="28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53" w:lineRule="exact"/>
        <w:rPr>
          <w:rFonts w:ascii="Times New Roman" w:cs="Times New Roman" w:eastAsia="Times New Roman" w:hAnsi="Times New Roman"/>
          <w:sz w:val="18"/>
          <w:szCs w:val="18"/>
          <w:color w:val="auto"/>
        </w:rPr>
      </w:pPr>
    </w:p>
    <w:p>
      <w:pPr>
        <w:ind w:left="740" w:right="440" w:hanging="223"/>
        <w:spacing w:after="0" w:line="28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we are not relying on the exemptions from these corporate governance requirements, if we do rely on such exemptions in the future, you will not have the same protections afforded to stockholders of companies that are subject to all of the corporate governance requirements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825,809,539 shares of authorized but unissued common stock. Our amended and restated certificate of incorporation authorizes us to issue these shares of common stock and securities relating to common stock for the consideration and on the terms and conditions established by our Board of Directors in its sole discretion, whether in connection with acquisitions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Silver Lake,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has the right, subject to certain conditions, to require us to register the sale of their shares of our common stock under the Securities Act of 1933 (as amended, the “Securities Act”). Certain of our stockholders will also have “piggyback” registration rights with respect to future registered offerings of our common stock.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such registration rights are exercised, the market price of our shares of common stock could drop significantly. This could also make it more difficult for us to raise additional funds through future offerings of our shares of common stock or other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71" w:lineRule="exact"/>
        <w:rPr>
          <w:sz w:val="20"/>
          <w:szCs w:val="20"/>
          <w:color w:val="auto"/>
        </w:rPr>
      </w:pPr>
    </w:p>
    <w:p>
      <w:pPr>
        <w:ind w:left="740" w:right="420" w:hanging="223"/>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three-year terms;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6" w:name="page37"/>
    <w:bookmarkEnd w:id="36"/>
    <w:p>
      <w:pPr>
        <w:ind w:left="740" w:right="120" w:hanging="223"/>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23" w:lineRule="exact"/>
        <w:rPr>
          <w:rFonts w:ascii="Times New Roman" w:cs="Times New Roman" w:eastAsia="Times New Roman" w:hAnsi="Times New Roman"/>
          <w:sz w:val="18"/>
          <w:szCs w:val="18"/>
          <w:color w:val="auto"/>
        </w:rPr>
      </w:pPr>
    </w:p>
    <w:p>
      <w:pPr>
        <w:ind w:left="740" w:right="20" w:hanging="223"/>
        <w:spacing w:after="0" w:line="238"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the shares of common stock entitled to vote generally in the election of directors if Silver Lake and its affiliates cease to beneficially own at least 50% of shares of common stock entitled to vote generally in the election of directors; and</w:t>
      </w:r>
    </w:p>
    <w:p>
      <w:pPr>
        <w:spacing w:after="0" w:line="98" w:lineRule="exact"/>
        <w:rPr>
          <w:rFonts w:ascii="Times New Roman" w:cs="Times New Roman" w:eastAsia="Times New Roman" w:hAnsi="Times New Roman"/>
          <w:sz w:val="18"/>
          <w:szCs w:val="18"/>
          <w:color w:val="auto"/>
        </w:rPr>
      </w:pPr>
    </w:p>
    <w:p>
      <w:pPr>
        <w:jc w:val="both"/>
        <w:ind w:left="740" w:right="20" w:hanging="223"/>
        <w:spacing w:after="0" w:line="238"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of shares of common stock entitled to vote generally in the election of directors if Silver Lake and its affiliates cease to beneficially own at least 50% of shares of common stock entitled to vote generally in the election of directors.</w:t>
      </w:r>
    </w:p>
    <w:p>
      <w:pPr>
        <w:spacing w:after="0" w:line="14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Securities Exchange Act of 1934 (as amended,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processes in place for assessing, identifying, and managing material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mitigate or remediate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impacting our data at a third-party vendor or customer. Contracts with third-party vendors, who have access to our network or who hold or store personal information on our behalf, contain provisions requiring such vendors to maintain a program that meets our information security standards. We periodically assess risk of vendor compliance with our information security program requirements, including the obligation that our vendors must notify First Advantage within a designated time period upon identifying certain cybersecurity events. 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cybersecurity team is led by our Chief Information Security Officer (“CISO”), who directs a unified cross-functional team that is responsible for implementing and maintaining centralized cybersecurity and data protection practices at First Advantage. Our CISO has numerous years of experience managing security infrastructure, providing a variety of security services, and overseeing incident response and management, escalation of security events, vulnerability scanning, and security defect management. Collectively, our CISO and our cybersecurity team act in close coordination with senior leadership and other teams across First Advantage. In addition to our extensive in-house cybersecurity capabilities, we engage assessors, consultants, auditors, or other third parties to help assess, identify, and manage cybersecurity risks.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process forms a critical component of our overall risk management and business strategy. As part of our risk management process, we conduct application security assessments, vulnerability management, penetration testing, security audits, and ongoing risk assessments. Additionally, we utilize data encryption and access control, single sign-on and multi-factor authentication, and malware protection within our control environment. We also maintain a variety of incident response plans that are utilized when incidents are detected. These plans are designed to be flexible so that they may be adapted to an array of potential scenarios and provide for the creation of cross-functional cybersecurity incident response teams in the event of a cybersecurity incident. We regularly review our incident response plans and conduct multiple incident response exercises each year, including sessions with management, to test and assess our preparedness to respond to a cybersecurity incident. Additionally, we require employees with access to our information systems, including all corporate employees, to undertake data protection and cybersecurity training and compliance programs annually.</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our incident detection and response processes, we have established internal teams to investigate and escalate notification of cybersecurity incidents. Pursuant to this process, cybersecurity incidents are reported to appropriate personnel within First Advantage (including the CISO, Chief Financial Officer, and Chief Legal Officer) and to the Audit Committee and Board of Directors based on incident materiality. We track incidents through resolution, conduct post-incident analysis and update our processes and procedures if areas for improvement are identified. On a monthly basis, a summary of prior period cybersecurity investigation escalations is reviewed by management, including our head of Internal Audit, our CISO, and our Chief Legal Officer. We maintain cybersecurity insurance, which provides coverage for certain costs related to cybersecurity incidents; however, coverage may not be adequate to fully offset financial losses associated with a significant event.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cybersecurity risks and associated mitigations are evaluated by senior leadership, including as part of our enterprise risk assessments that are reviewed by the Audit Committee and our Board of Directors. Such risks and related mitigation activities are also subject to oversight by the Audit Committee of our Board of Directors. The Audit Committee, which is comprised of independent directors, oversees our policies and procedures for protecting our cybersecurity infrastructure and for compliance with applicable data protection and security regulations, and related risks, including management’s response to any significant cybersecurity incidents. The Audit Committee receives regular reports, from our CISO and Chief Product and Technology Officer, regarding the cybersecurity control environment, including remediation updates, control posture analyses and other recurring items, and reports to the Board of Directors at least quarterly.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We have implemented enhanced monitoring and reporting processes to ensure timely compliance with SEC requirements for disclosure of material cybersecurity incidents. Additional information about cybersecurity risks we face is discussed in Item 1A of Part I, “Risk Factors,” under the heading “Our business, brand, and reputation may be harmed as a result of security breaches, cyber-attacks, employee or other internal misconduct, computer viruses, or the mishandling of personal data” and should be read in conjunction with the information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corporate office is located at 1 Concourse Parkway NE, Suite 200, Atlanta, GA 30328 under a lease agreement that expires on January 31, 2030, with one five-year renewal option. This property also houses our executive offices. We also lease office space in Manila, Philippines and in Bangalore and Mumbai, India, where our Operations Centers of Excellence are located. Additionally, we lease office space in Fishers, Indiana, for certain significant operational and support functions. We believe that our executive and other offices are adequate for our immediate needs and that we will obtain additional or substitute space, as needed, on commercially reasonable terms.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leveraging public cloud vendors, we maintain data centers across the globe. Our public cloud vendors and data centers are equipped with redundant power, cooling, and fire suppression. We also ensure that our data centers maintain connectivity to major internet service providers and are protected and surveilled by our Global Network Operations Center. In the event of a disaster or emergency, each data center can rely on a backup located outside of the primary site’s region where all critical data is replicated. In the event of a service failure, critical customer-facing solutions are set to resume service at the designated backup location.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3 is set forth in Note 13 within “Notes to Consolidated Financial Statements” included in Part IV, Item 15 of this Annual Report and is incorporated herein by this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39" w:name="page40"/>
    <w:bookmarkEnd w:id="39"/>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23, 2021, our common stock began trading on the Nasdaq under the symbol “FA.” Prior to that time, there was no public market for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February 20, 2026, the closing price of our common stock on the Nasdaq was $9.85 per share and we had 16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The cash dividend was paid on August 31, 2023.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On November 8, 2022, the Company’s Board of Directors increased the total available amount under the Repurchase Program to $150.0 million and extended the program through December 31, 2023. On February 28, 2023, the Company’s Board of Directors further increased the authorization to $200.0 million. On September 14, 2023, the Company announced that its Board of Directors approved a one-year extension of the $200.0 million share repurchase authorization through December 31, 2024.</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suspended purchases under the Repurchase Program on February 28, 2024. The Repurchase Program expired on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August 2, 2022 and through December 31, 2024, the Company repurchased approximately $119.5 million of shares under the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during the year ended December 31, 2025, and there are no other programs under which the Company repurchases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the Company’s purchase of its common stock during the year ended December 31, 2025:</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380" w:type="dxa"/>
            <w:vAlign w:val="bottom"/>
            <w:gridSpan w:val="2"/>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3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380" w:type="dxa"/>
            <w:vAlign w:val="bottom"/>
            <w:gridSpan w:val="2"/>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44"/>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4"/>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Programs </w:t>
            </w:r>
            <w:r>
              <w:rPr>
                <w:rFonts w:ascii="Times New Roman" w:cs="Times New Roman" w:eastAsia="Times New Roman" w:hAnsi="Times New Roman"/>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2025 through December 31, 2025</w:t>
            </w:r>
          </w:p>
        </w:tc>
        <w:tc>
          <w:tcPr>
            <w:tcW w:w="164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740" w:hanging="219"/>
        <w:spacing w:after="0"/>
        <w:tabs>
          <w:tab w:leader="none" w:pos="7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Company’s share repurchase program expired on December 31, 2024. No new share repurchase program was authorized or in effect during the year ended December 31, 2025.</w:t>
      </w:r>
    </w:p>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graph depicts the total cumulative stockholder return on our common stock from the closing price on June 23, 2021, the first day of trading of our common stock on the Nasdaq, through December 31, 2025, relative to the performance of the Russell 2000 and S&amp;P 500 Index. The graph assumes an initial investment of $100.00 at the close of trading on June 23, 2021 and that all dividends paid by the Company and the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81915</wp:posOffset>
            </wp:positionV>
            <wp:extent cx="6172200" cy="3471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is intended to help the reader understand the results of operations and financial condition of First Advantage Corporation and should be read in conjunction with our consolidated financial statements included elsewhere in this Annual Report. The discussion contains forward-looking statements involving risks, uncertainties and assumptions that could cause our results to differ materially from expectations. See “Cautionary Notice Regarding Forward-Looking Statements.” Factors that might cause such differences include those described in Item 1A. “Risk Factors” and elsewhere in this Annual Report.</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First Advantage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31, 2024, we completed our acquisition of Sterling, a global provider of technology-enabled background and identity verification services. This strategic acquisition enhanced our capabilities and expanded our service offerings, allowing us to deliver a comprehensive hiring and risk management solution that begins with identity verification and extends through criminal background screening, credential verification, drug and health screening, and ongoing risk monitoring.</w:t>
      </w:r>
    </w:p>
    <w:p>
      <w:pPr>
        <w:spacing w:after="0" w:line="12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derive a substantial majority of our revenues from pre-onboarding screening and perform screens across over 200 countries and territories, enabling us to serve as a one-stop-shop provider to both multinational companies and growth companies. Our over 80,000 customers are global enterprises, mid-sized companies, and small companies, and our products and solutions are used by personnel in Executive Management, Human Resources, Talent Acquisition, Compliance, Risk, Legal, Safety, and Vendor Management.</w:t>
      </w:r>
    </w:p>
    <w:p>
      <w:pPr>
        <w:spacing w:after="0" w:line="1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out-of-pocket costs, and bundling of products.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 Approximately 90% of the criminal searches performed in the U.S. are completed the same day they are submitted.</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generated revenues of $1,574.4 million for the year ended December 31, 2025, which represents an increase of 83.0% as compared to $860.2 million for the year ended December 31, 2024. Approximately 86% of our revenues for the year ended December 31, 2025 was generated in the U.S., while the remaining 14% was generated abroad. Other than the U.S., no single country accounted for 10% or more of our total revenues for the year ended December 31, 2025.</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in three reportable segments, First Advantage Americas, First Advantage International,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w:t>
      </w:r>
    </w:p>
    <w:p>
      <w:pPr>
        <w:spacing w:after="0" w:line="149" w:lineRule="exact"/>
        <w:rPr>
          <w:sz w:val="20"/>
          <w:szCs w:val="20"/>
          <w:color w:val="auto"/>
        </w:rPr>
      </w:pPr>
    </w:p>
    <w:p>
      <w:pPr>
        <w:ind w:left="520" w:hanging="227"/>
        <w:spacing w:after="0" w:line="282"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First Advantage Americas. </w:t>
      </w:r>
      <w:r>
        <w:rPr>
          <w:rFonts w:ascii="Times New Roman" w:cs="Times New Roman" w:eastAsia="Times New Roman" w:hAnsi="Times New Roman"/>
          <w:sz w:val="17"/>
          <w:szCs w:val="17"/>
          <w:color w:val="auto"/>
        </w:rPr>
        <w:t>This segment pertains to our Legacy First Advantage business and performs a variety of background check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spacing w:after="0" w:line="53" w:lineRule="exact"/>
        <w:rPr>
          <w:rFonts w:ascii="Times New Roman" w:cs="Times New Roman" w:eastAsia="Times New Roman" w:hAnsi="Times New Roman"/>
          <w:sz w:val="17"/>
          <w:szCs w:val="17"/>
          <w:color w:val="auto"/>
        </w:rPr>
      </w:pPr>
    </w:p>
    <w:p>
      <w:pPr>
        <w:ind w:left="520" w:right="180" w:hanging="227"/>
        <w:spacing w:after="0" w:line="268"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First Advantage International. </w:t>
      </w:r>
      <w:r>
        <w:rPr>
          <w:rFonts w:ascii="Times New Roman" w:cs="Times New Roman" w:eastAsia="Times New Roman" w:hAnsi="Times New Roman"/>
          <w:sz w:val="18"/>
          <w:szCs w:val="18"/>
          <w:color w:val="auto"/>
        </w:rPr>
        <w:t>The First Advantage International segment pertains to our Legacy First Advantage business and provides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to our Americas segment in regions outside of the Americas. We primarily deliver our solutions across multiple industry verticals in the Europe, India, and Asia Pacific.</w:t>
      </w:r>
    </w:p>
    <w:p>
      <w:pPr>
        <w:spacing w:after="0" w:line="116" w:lineRule="exact"/>
        <w:rPr>
          <w:rFonts w:ascii="Times New Roman" w:cs="Times New Roman" w:eastAsia="Times New Roman" w:hAnsi="Times New Roman"/>
          <w:sz w:val="18"/>
          <w:szCs w:val="18"/>
          <w:color w:val="auto"/>
        </w:rPr>
      </w:pPr>
    </w:p>
    <w:p>
      <w:pPr>
        <w:ind w:left="520" w:right="240" w:hanging="227"/>
        <w:spacing w:after="0" w:line="28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Sterling. </w:t>
      </w:r>
      <w:r>
        <w:rPr>
          <w:rFonts w:ascii="Times New Roman" w:cs="Times New Roman" w:eastAsia="Times New Roman" w:hAnsi="Times New Roman"/>
          <w:sz w:val="18"/>
          <w:szCs w:val="18"/>
          <w:color w:val="auto"/>
        </w:rPr>
        <w:t>This segment is comprised of the acquired entity, Sterling Check Corp., which was acquired on October 31, 2024. The Sterling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similar services as compared to First Advantage’s Americas and International segments on a global basis.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Operating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future growth and profitability of our business depend on numerous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Job Environment</w:t>
      </w:r>
    </w:p>
    <w:p>
      <w:pPr>
        <w:spacing w:after="0" w:line="175"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Our results continue to be influenced by our customers’ underlying business performance, hiring patterns, and workforce strategies, all of which drive demand for our background screening and adjacent solutions. Customer demand is affected by a variety of macroeconomic and labor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factors, including hiring velocity, turnover rates, sector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employment trends, and broader economic conditions. We are also exposed to macroeconomic cyclicality, as companies often reduce hiring, delay onboarding, and scale back contingent workforce usage during an economic slowdown, which can negatively impact demand for our solutions. Current macroeconomic conditions—including elevated interest rates, persistent inflation, and fluctuations in job openings and hiring activity—continue to affect portions of the global economy and create a more cautious posture across many employers.</w:t>
      </w:r>
    </w:p>
    <w:p>
      <w:pPr>
        <w:spacing w:after="0" w:line="108"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Additionally, global economic volatility—driven by geopolitical tensions, ongoing conflicts, evolving trade and tariff policies, monetary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policy uncertainty, and instability in certain international markets—has contributed to heightened variability in customer hiring plans. These factors have also contributed to supply chain disruptions, higher operating costs for some customers, and increased scrutiny over workforce expansion plans. Emerging and ongoing trade disputes between major global economies have further pressured confidence and slowed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in sectors reliant on global operations.</w:t>
      </w:r>
    </w:p>
    <w:p>
      <w:pPr>
        <w:spacing w:after="0" w:line="14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economic uncertainty is sustained or increases, we may experience a negative impact on new business generation, customer renewals and overall demand levels, sales and marketing efforts, revenues growth rates, customer deployments, customer collections, product development, or other financial metrics. Any of these factors could harm our business, financial condition, and operating results. Our ability to grow our business will also depend on the long-term strength, diversity, and durability of the verticals that we focus on and rely upon to drive our revenues.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Additionally, on July 4, 2025, the One Big Beautiful Bill Act (the “OBBBA”) was enacted into law in the United States, introducing substantial changes to the U.S. Corporate tax regime. Key provisions of the OBBBA include the reinstatement of 100% bonus depreciation, restoration of immediate expensing for domestic research or experimental (“R&amp;E”) expenditures, an elective acceleration of deduction for unamortized domestic R&amp;E expenditures, revised limitations on the deductibility of business interest expense, and modifications to the Global Intangible Low-Tax Income (“GILTI”) and Foreign-Derived Intangible Income (“FDII”) regimes. The OBBBA includes multiple effective dates, with certain provisions effective for tax years beginning after December 31, 2024 and others phased in through 2027.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has reflected the impacts of OBBBA into the Company’s income tax provision for the year ended December 31, 2025, including adjustments to deferred tax assets and liabilities where applicable. The Company continues to evaluate the broader implications of the OBBBA, including potential impacts on future taxable income, the estimated annual effective tax rate, and potential effects of future regulatory guidance issued by the Internal Revenue Service or other relevant tax authorities. Additional impacts, if any, will be recognized in subsequent periods as appropriate.</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Despite these macroeconomic changes, we are confident in the overall long-term health of our business, the strength of our product offerings, and our ability to continue to execute on our strategy and help our customers hire with confidence and manage risk across the entire employee lifecycle. Our continued focus on delivering innovative solutions that enhance workplace safety and address evolving compliance requirements as well as our diversified customer base have contributed to the stability of our business and long-term financial performance.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3" w:name="page44"/>
    <w:bookmarkEnd w:id="43"/>
    <w:p>
      <w:pPr>
        <w:ind w:right="100"/>
        <w:spacing w:after="0" w:line="282" w:lineRule="auto"/>
        <w:rPr>
          <w:sz w:val="20"/>
          <w:szCs w:val="20"/>
          <w:color w:val="auto"/>
        </w:rPr>
      </w:pPr>
      <w:r>
        <w:rPr>
          <w:rFonts w:ascii="Times New Roman" w:cs="Times New Roman" w:eastAsia="Times New Roman" w:hAnsi="Times New Roman"/>
          <w:sz w:val="18"/>
          <w:szCs w:val="18"/>
          <w:color w:val="auto"/>
        </w:rPr>
        <w:t>For additional information, see Part I, Item 1A, “Risk Factors—Risks Related to Our Business—Macroeconomic factors beyond our control, including the state of the economy, could impact demand and the fulfillment costs for our products and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M&amp;A</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selectively evaluate acquisitions as a means to expand our business and to enter new markets. Over the last three years, we have completed the following acquisitions, including those that impact the comparability of our results between periods: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September 2023, the Company acquired 100% of the equity interest of a U.S.-based digital identity and biometrics solutions company. The acquired company operates under the trade name Infinite ID. Results of operations have been included in our First Advantage Americas segment from the date of the acquisition.</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discussed above, on October 31, 2024, the Company completed its acquisition of Sterling. Results of operations have been included in our Sterling segment from the date of the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focused on expanding our customer base, with particular emphasis on strategic Enterprise customers in attractive industry verticals. In 2025,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 over 200 million screens on behalf of over 80,000 customers, spanning the globe and all major industry verticals. Our customer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relies on our ability to continue delivering innovative, comprehensive, and cost effective products and solutions; executing our verticalized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go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strategy; and maintaining the strength of our brand and reputation. New customers typically begin generating revenues within a number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executing a contract and increase order volumes over the subsequent three-to-five-month period. We believe significant opportunity remains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 our domestic and international market share by expanding our global customer base and increasing adoption of our screening and verification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solutions.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Wallet Share with Existing Customers</w:t>
      </w:r>
    </w:p>
    <w:p>
      <w:pPr>
        <w:spacing w:after="0" w:line="175"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Our revenue growth depends in part on our ability to increase sales of products and solutions to existing customers. We typically expand revenue with customers over time as their underlying screening volumes grow and as they deploy our products and solutions across additional divisions or geographies, increase our share of wallet in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provider programs, perform more extensive screens, or adopt additional offerings such as identity solutions, continuous screening, hiring tax credits, employment eligibility, and fleet solutions. Our Customer Success teams work closely with customers to enhance their screening, compliance, and risk management programs and, in doing so, frequently identify opportunities to broaden their use of First Advantage solutions. Revenue growth from existing customers also depends on our ability to retain those customers. In 2025, we achieved a gross retention rate of approximately 96%.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New Products to Expand Our Revenue Opportunity with Existing Customers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to prioritize innovation to expand our data solutions and adjacent sources of revenues. For example, we accelerated investments in advanced criminal and verification data products, identity services, and compliance solutions. Building on the integration of Sterling’s identity verification capabilities and our strategic partnership with ID.me, we launched enhanced digital identity offerings designed to help mitigate fraud and improve candidate authentication. Our product roadmap includes next-generation solutions leveraging automation, artificial intelligence, and machine learning to improve speed, consistency, and efficiency. Key areas of development include biometric verification, synthetic identity fraud prevention, and liveness detection technologies, as well as expanded offerings in driver and vehicle compliance and remote drug and occupational health testing. These innovations are aimed at improving onboarding speed, reducing risk, and supporting regulated industries globally.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Profitably Managing our Growth</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ability to grow profitably depends on our ability to manage our cost structure. Our costs are affected by third-party costs including government fees and data vendors, as these third parties have discretion to adjust pricing, although these third-party fees are typically invoiced to our customers as pass-through costs. Continued pricing increases in third-party fees may lead our existing and potential customers to reduce the scope of their spending.</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historical margin expansion has been largely driven by increased automation and deployment of RPA and AI technologies in the background screening process, which has increased our speed, efficiency, quality, and operating leverage. Additionally, we have gained operating leverage from efficiencies and managing general and administrative costs. In order to grow profitably, we make strategic investments that generate incremental revenues and enable us to deliver our products and solutions and support our customers in a cost-effective manner. Our ability to innovate and drive future reductions of operating costs through automation and digitization does require up-front investment.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elsewhere in this Annual Report for disclosure of the impact that recent accounting pronouncements may have on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derives revenues from a variety of background screening and adjacent products performed across all phases of the workforce lifecycle from pre-onboarding screening services to post-onboarding and ongoing monitoring services, covering employees, contractors, contingent workers,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applicant evaluation process and support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employment eligibility, and investigative research.</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the following expenses related to our cost of revenues and operating expenses:</w:t>
      </w:r>
    </w:p>
    <w:p>
      <w:pPr>
        <w:spacing w:after="0" w:line="169" w:lineRule="exact"/>
        <w:rPr>
          <w:sz w:val="20"/>
          <w:szCs w:val="20"/>
          <w:color w:val="auto"/>
        </w:rPr>
      </w:pPr>
    </w:p>
    <w:p>
      <w:pPr>
        <w:ind w:left="740" w:right="60" w:hanging="223"/>
        <w:spacing w:after="0" w:line="255"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(exclusive of depreciation and amortization below)</w:t>
      </w:r>
      <w:r>
        <w:rPr>
          <w:rFonts w:ascii="Times New Roman" w:cs="Times New Roman" w:eastAsia="Times New Roman" w:hAnsi="Times New Roman"/>
          <w:sz w:val="18"/>
          <w:szCs w:val="18"/>
          <w:color w:val="auto"/>
        </w:rPr>
        <w:t>: Consists of amounts paid to third parties for access to government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6" w:lineRule="exact"/>
        <w:rPr>
          <w:rFonts w:ascii="Times New Roman" w:cs="Times New Roman" w:eastAsia="Times New Roman" w:hAnsi="Times New Roman"/>
          <w:sz w:val="18"/>
          <w:szCs w:val="18"/>
          <w:color w:val="auto"/>
        </w:rPr>
      </w:pPr>
    </w:p>
    <w:p>
      <w:pPr>
        <w:ind w:left="740" w:right="160" w:hanging="223"/>
        <w:spacing w:after="0" w:line="256"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Technology Expense</w:t>
      </w:r>
      <w:r>
        <w:rPr>
          <w:rFonts w:ascii="Times New Roman" w:cs="Times New Roman" w:eastAsia="Times New Roman" w:hAnsi="Times New Roman"/>
          <w:sz w:val="18"/>
          <w:szCs w:val="18"/>
          <w:color w:val="auto"/>
        </w:rPr>
        <w:t>: Consists of salaries and benefits of personnel involved in the maintenance of our technology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4" w:lineRule="exact"/>
        <w:rPr>
          <w:rFonts w:ascii="Times New Roman" w:cs="Times New Roman" w:eastAsia="Times New Roman" w:hAnsi="Times New Roman"/>
          <w:sz w:val="18"/>
          <w:szCs w:val="18"/>
          <w:color w:val="auto"/>
        </w:rPr>
      </w:pPr>
    </w:p>
    <w:p>
      <w:pPr>
        <w:ind w:left="740" w:hanging="223"/>
        <w:spacing w:after="0" w:line="257"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Consists of sales, customer success, marketing, and general and administrative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acquisitions. We do not allocate depreciation and amortization to selling, general, and administrative expenses.</w:t>
      </w:r>
    </w:p>
    <w:p>
      <w:pPr>
        <w:spacing w:after="0" w:line="74" w:lineRule="exact"/>
        <w:rPr>
          <w:rFonts w:ascii="Times New Roman" w:cs="Times New Roman" w:eastAsia="Times New Roman" w:hAnsi="Times New Roman"/>
          <w:sz w:val="18"/>
          <w:szCs w:val="18"/>
          <w:color w:val="auto"/>
        </w:rPr>
      </w:pPr>
    </w:p>
    <w:p>
      <w:pPr>
        <w:ind w:left="740" w:right="260" w:hanging="223"/>
        <w:spacing w:after="0" w:line="267"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w:t>
      </w:r>
      <w:r>
        <w:rPr>
          <w:rFonts w:ascii="Times New Roman" w:cs="Times New Roman" w:eastAsia="Times New Roman" w:hAnsi="Times New Roman"/>
          <w:sz w:val="18"/>
          <w:szCs w:val="18"/>
          <w:color w:val="auto"/>
        </w:rPr>
        <w:t>n: Property and equipment consisting mainly of capitalized software costs, furniture, hardware, and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ind w:right="120"/>
        <w:spacing w:after="0" w:line="219" w:lineRule="exact"/>
        <w:rPr>
          <w:sz w:val="20"/>
          <w:szCs w:val="20"/>
          <w:color w:val="auto"/>
        </w:rPr>
      </w:pPr>
      <w:r>
        <w:rPr>
          <w:rFonts w:ascii="Times New Roman" w:cs="Times New Roman" w:eastAsia="Times New Roman" w:hAnsi="Times New Roman"/>
          <w:sz w:val="18"/>
          <w:szCs w:val="18"/>
          <w:color w:val="auto"/>
        </w:rPr>
        <w:t>We have a flexible cost structure that allows our business to adjust quickly to the impacts of macroeconomic events and scale to meet the needs of large customers. Operating expenses are influenced by revenue levels, customer and product mix, and the progress of acquisition-related integration activities. As revenues grow, we would generally expect cost of services to grow proportionally, although the rate of growth may vary based on automation, productivity initiatives, efficiency gains, shifts in mix,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costs. We regularly review expenses and investments in the context of revenue trends and observed changes in the business to ensure alignment with our financial objectives. While we expect operating expenses to increase in absolute dollars as we support continued growth, we believe that, over the long term, operating expenses as a percentage of total revenues will gradually decline as we scale the business and advance our operating efficiency and automation initiatives.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expense, net consists of the following:</w:t>
      </w:r>
    </w:p>
    <w:p>
      <w:pPr>
        <w:spacing w:after="0" w:line="169" w:lineRule="exact"/>
        <w:rPr>
          <w:sz w:val="20"/>
          <w:szCs w:val="20"/>
          <w:color w:val="auto"/>
        </w:rPr>
      </w:pPr>
    </w:p>
    <w:p>
      <w:pPr>
        <w:jc w:val="both"/>
        <w:ind w:left="740" w:right="300" w:hanging="223"/>
        <w:spacing w:after="0" w:line="267"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Relates primarily to our debt service costs, the interest-related unrealized gains and losses of our interest rate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to a lesser extent, the interest on our finance lease obligations and the amortization of deferred financing costs. Additionally, interest expense, net includes interest income earnings on our cash and cash equivalent balances held in interest-bearing accounts.</w:t>
      </w:r>
    </w:p>
    <w:p>
      <w:pPr>
        <w:spacing w:after="0" w:line="65" w:lineRule="exact"/>
        <w:rPr>
          <w:rFonts w:ascii="Times New Roman" w:cs="Times New Roman" w:eastAsia="Times New Roman" w:hAnsi="Times New Roman"/>
          <w:sz w:val="18"/>
          <w:szCs w:val="18"/>
          <w:color w:val="auto"/>
        </w:rPr>
      </w:pPr>
    </w:p>
    <w:p>
      <w:pPr>
        <w:ind w:left="740" w:right="40" w:hanging="223"/>
        <w:spacing w:after="0" w:line="284"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Represents non-operating expense incurred when we repay or refinance debt prior to maturity. This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write-off of unamortized debt issuance costs and early repayment penalties, if 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Provision for income taxes consists of U.S. domestic and foreign corporate income taxes related to earnings, with applicable statutory tax rates varying by jurisdiction. Our effective tax rate may be affected by many factors including changes in tax laws, regulations, or statutory rates, regulatory guidance, or new administrative interpretations of judicial decisions, and shifts in proportion of income earned in jurisdictions with differing statutory tax rates. As our business continues to expand globally, the distribution of pretax income across domestic and foreign jurisdictions may fluctuate, resulting in volatility in our effective tax rate. Additionally, the effective tax rate may also be affected by the availability of tax credits and incentives, nondeductible expenses, changes in valuation allowances, and the resolution of uncertain tax positions. These factors, individually or collectively, may cause our provision for income taxes and effective tax rate to differ materially from period to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Year Ended December 31, 2025 compared to the Year Ended December 31, 2024 and for the Year Ended December 31, 2024 compared to the Year Ended December 31,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8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1,574,389</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860,205</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120" w:type="dxa"/>
            <w:vAlign w:val="bottom"/>
          </w:tcPr>
          <w:p>
            <w:pPr>
              <w:spacing w:after="0"/>
              <w:rPr>
                <w:sz w:val="18"/>
                <w:szCs w:val="18"/>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855,306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448,911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386,777</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101,853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63,817</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49,263</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8"/>
                <w:szCs w:val="18"/>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236,179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263,942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116,732</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248,583</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145,919</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1,441,921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922,589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682,245</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132,468</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81,516</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168,667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51,848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169,719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52,231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(114,615)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48,476</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(34,824)</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(110,273)</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5"/>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 margin</w:t>
            </w: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4"/>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145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-2356485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-2356485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-2065020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-2065020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-1508125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-1508125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-933450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-916305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Advantage Americas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701,634</w:t>
            </w: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658,758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673,075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First Advantage International</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104,868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96,854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96,832</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Sterling</w:t>
            </w:r>
          </w:p>
        </w:tc>
        <w:tc>
          <w:tcPr>
            <w:tcW w:w="40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777,194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113,068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1,574,389</w:t>
            </w: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860,205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Revenues were $1,574.4 million for the year ended December 31, 2025, compared to $860.2 million for the year ended December 31, 2024. Revenues for the year ended December 31, 2025 increased by $714.2 million, or 83.0%, compared to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revenues is due to:</w:t>
      </w:r>
    </w:p>
    <w:p>
      <w:pPr>
        <w:spacing w:after="0" w:line="171" w:lineRule="exact"/>
        <w:rPr>
          <w:sz w:val="20"/>
          <w:szCs w:val="20"/>
          <w:color w:val="auto"/>
        </w:rPr>
      </w:pPr>
    </w:p>
    <w:p>
      <w:pPr>
        <w:ind w:left="740" w:hanging="223"/>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$659.5 million, or 76.7%, attributable to Sterling as a result of the Sterling Acquisition completed on October 31, 2024;</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$30.2 million, or 3.5%, from new customers, primarily attributable to our First Advantage Americas segment; and,</w:t>
      </w:r>
    </w:p>
    <w:p>
      <w:pPr>
        <w:spacing w:after="0" w:line="171" w:lineRule="exact"/>
        <w:rPr>
          <w:rFonts w:ascii="Times New Roman" w:cs="Times New Roman" w:eastAsia="Times New Roman" w:hAnsi="Times New Roman"/>
          <w:sz w:val="18"/>
          <w:szCs w:val="18"/>
          <w:color w:val="auto"/>
        </w:rPr>
      </w:pPr>
    </w:p>
    <w:p>
      <w:pPr>
        <w:jc w:val="both"/>
        <w:ind w:left="740" w:right="140" w:hanging="223"/>
        <w:spacing w:after="0" w:line="266"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$24.5 million, or 2.8% from existing customers, primarily driven by continued strength from upselling and cross-selling initiatives. These increases were partially offset by declines in existing customer revenues across several verticals, largely due to macroeconomic pressures that contributed to reduced demand and the impact of lost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remained relatively stable across all periods.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were $860.2 million for the year ended December 31, 2024, compared to $763.8 million for the year ended December 31, 2023. Revenues for the year ended December 31, 2024 increased by $96.4 million, or 12.6%, compared to the year ended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revenues is due to:</w:t>
      </w:r>
    </w:p>
    <w:p>
      <w:pPr>
        <w:spacing w:after="0" w:line="171" w:lineRule="exact"/>
        <w:rPr>
          <w:sz w:val="20"/>
          <w:szCs w:val="20"/>
          <w:color w:val="auto"/>
        </w:rPr>
      </w:pPr>
    </w:p>
    <w:p>
      <w:pPr>
        <w:ind w:left="740" w:right="80" w:hanging="223"/>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$121.5 million, or 15.9%, from acquisitions, primarily attributable to the $113.1 million, or 13.1%, of revenue recognized as a result of the acquisition of Sterling on October 31, 2024, and</w:t>
      </w:r>
    </w:p>
    <w:p>
      <w:pPr>
        <w:spacing w:after="0" w:line="10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$28.0 million, or 3.7%, from new customers, primarily attributable to our First Advantage Americas segment.</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revenues was offset by a net decrease of $53.1 million, or 7.0%, in existing customer revenues, primarily driven by the impact of macroeconomic factors affecting the hiring industry which have resulted in reduced demand from our customers and the impact of lost accounts. These consolidated decreases were partially offset by ongoing strength in upselling and cross-selling to existing customers, contributing $40.8 million, or 5.3%, of additional revenues, and increased revenues from certain existing customers that were impacted by macroeconomic conditions to a lesser extent, as compared to other existing customers.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855,306</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448,911</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386,777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1,574,389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860,205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 as a % of revenue</w:t>
            </w:r>
          </w:p>
        </w:tc>
        <w:tc>
          <w:tcPr>
            <w:tcW w:w="1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Cost of services was $855.3 million for the year ended December 31, 2025, compared to $448.9 million for the year ended December 31, 2024. Cost of services for the year ended December 31, 2025 increased by $406.4 million, or 90.5%, compared to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services is due to:</w:t>
      </w:r>
    </w:p>
    <w:p>
      <w:pPr>
        <w:spacing w:after="0" w:line="171" w:lineRule="exact"/>
        <w:rPr>
          <w:sz w:val="20"/>
          <w:szCs w:val="20"/>
          <w:color w:val="auto"/>
        </w:rPr>
      </w:pPr>
    </w:p>
    <w:p>
      <w:pPr>
        <w:ind w:left="780" w:hanging="26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$373.3 million of Sterling costs of services recognized after the Sterling Acquisition; and</w:t>
      </w:r>
    </w:p>
    <w:p>
      <w:pPr>
        <w:spacing w:after="0" w:line="117" w:lineRule="exact"/>
        <w:rPr>
          <w:rFonts w:ascii="Times New Roman" w:cs="Times New Roman" w:eastAsia="Times New Roman" w:hAnsi="Times New Roman"/>
          <w:sz w:val="18"/>
          <w:szCs w:val="18"/>
          <w:color w:val="auto"/>
        </w:rPr>
      </w:pPr>
    </w:p>
    <w:p>
      <w:pPr>
        <w:ind w:left="740" w:right="680" w:hanging="223"/>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$38.4 million increase from variable third-party data expenses of Legacy First Advantage as a result of increased revenue volumes and variation in customer ordering mix.</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Cost of services as a percentage of revenues was 54.3% for the year ended December 31, 2025, compared to 52.2% for the year ended December 31, 2024. Cost of services as a percentage of revenues for the year ended December 31, 2025 was impacted by Sterling’s higher relative cost of services, driven by the segment’s product and customer mix, along with variations in customer ordering mix across our other segments.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Cost of services was $448.9 million for the year ended December 31, 2024, compared to $386.8 million for the year ended December 31, 2023. Cost of services for the year ended December 31, 2024 increased by $62.1 million, or 16.1%, compared to the year ended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services was primarily due to $68.2 million of Sterling costs of services recognized after the Sterling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cost of services was offset by:</w:t>
      </w:r>
    </w:p>
    <w:p>
      <w:pPr>
        <w:spacing w:after="0" w:line="171" w:lineRule="exact"/>
        <w:rPr>
          <w:sz w:val="20"/>
          <w:szCs w:val="20"/>
          <w:color w:val="auto"/>
        </w:rPr>
      </w:pPr>
    </w:p>
    <w:p>
      <w:pPr>
        <w:ind w:left="740" w:right="300" w:hanging="223"/>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 million decrease in variable third-party data expenses of Legacy First Advantage as a result of decreased revenue volumes, variation in customer ordering mix, and increased automation; and</w:t>
      </w:r>
    </w:p>
    <w:p>
      <w:pPr>
        <w:spacing w:after="0" w:line="53" w:lineRule="exact"/>
        <w:rPr>
          <w:rFonts w:ascii="Times New Roman" w:cs="Times New Roman" w:eastAsia="Times New Roman" w:hAnsi="Times New Roman"/>
          <w:sz w:val="18"/>
          <w:szCs w:val="18"/>
          <w:color w:val="auto"/>
        </w:rPr>
      </w:pPr>
    </w:p>
    <w:p>
      <w:pPr>
        <w:ind w:left="740" w:right="40" w:hanging="223"/>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personnel expenses in the operations and customer care functions of Legacy First Advantage as a result of productivity efficiencies from the implementation of additional automation programs.</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Cost of services as a percentage of revenues was 52.2% for the year ended December 31, 2024, compared to 50.6% for the year ended December 31, 2023. The cost of services percentage of revenues for the year ended December 31, 2024 was impacted by Sterling’s higher relative cost of services and variation in customer ordering mix.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Product and Technology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101,853</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63,817</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49,263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$101.9 million for the year ended December 31, 2025, compared to $63.8 million for the year ended December 31, 2024. Product and technology expense for the year ended December 31, 2025 increased by $38.0 million, or 59.6%, compared to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product and technology expense was primarily due to:</w:t>
      </w:r>
    </w:p>
    <w:p>
      <w:pPr>
        <w:spacing w:after="0" w:line="171" w:lineRule="exact"/>
        <w:rPr>
          <w:sz w:val="20"/>
          <w:szCs w:val="20"/>
          <w:color w:val="auto"/>
        </w:rPr>
      </w:pPr>
    </w:p>
    <w:p>
      <w:pPr>
        <w:ind w:left="740" w:hanging="223"/>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 million of Sterling expenses recognized after the Sterling Acquisition; and</w:t>
      </w:r>
    </w:p>
    <w:p>
      <w:pPr>
        <w:spacing w:after="0" w:line="117" w:lineRule="exact"/>
        <w:rPr>
          <w:rFonts w:ascii="Times New Roman" w:cs="Times New Roman" w:eastAsia="Times New Roman" w:hAnsi="Times New Roman"/>
          <w:sz w:val="18"/>
          <w:szCs w:val="18"/>
          <w:color w:val="auto"/>
        </w:rPr>
      </w:pPr>
    </w:p>
    <w:p>
      <w:pPr>
        <w:ind w:left="740" w:right="620" w:hanging="223"/>
        <w:spacing w:after="0" w:line="282" w:lineRule="auto"/>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increase in Legacy First Advantage personnel expenses as a result of additional investments made to enhance our products, solutions, and technology platforms.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$63.8 million for the year ended December 31, 2024, compared to $49.3 million for the year ended December 31, 2023. Product and technology expense for the year ended December 31, 2024 increased by $14.6 million, or 29.5%, compared to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product and technology expense was primarily due to:</w:t>
      </w:r>
    </w:p>
    <w:p>
      <w:pPr>
        <w:spacing w:after="0" w:line="171" w:lineRule="exact"/>
        <w:rPr>
          <w:sz w:val="20"/>
          <w:szCs w:val="20"/>
          <w:color w:val="auto"/>
        </w:rPr>
      </w:pPr>
    </w:p>
    <w:p>
      <w:pPr>
        <w:ind w:left="740" w:right="160" w:hanging="223"/>
        <w:spacing w:after="0" w:line="26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million of Sterling expenses recognized after the Sterling acquisition, of which approximately $2.1 million related to increases in cash compensation expense due to the conversion of Sterling equity awards to cash awards as part of the transaction and $1.8 million related to post-combination restructuring costs;</w:t>
      </w:r>
    </w:p>
    <w:p>
      <w:pPr>
        <w:spacing w:after="0" w:line="67" w:lineRule="exact"/>
        <w:rPr>
          <w:rFonts w:ascii="Times New Roman" w:cs="Times New Roman" w:eastAsia="Times New Roman" w:hAnsi="Times New Roman"/>
          <w:sz w:val="18"/>
          <w:szCs w:val="18"/>
          <w:color w:val="auto"/>
        </w:rPr>
      </w:pPr>
    </w:p>
    <w:p>
      <w:pPr>
        <w:ind w:left="740" w:right="140" w:hanging="223"/>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in Legacy First Advantage personnel expenses as a result of increased share-based compensation expense and additional investments made to enhance our product, solutions, and technology platform; and,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increase in professional service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a $1.8 million decrease in Legacy Fist Advantage software license fees.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236,179</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263,942</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116,732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$236.2 million for the year ended December 31, 2025, compared to $263.9 million for the year ended December 31, 2024. Selling, general, and administrative expense for the year ended December 31, 2025 decreased by $27.8 million, or 10.5%, compared to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selling, general, and administrative expense was primarily due to:</w:t>
      </w:r>
    </w:p>
    <w:p>
      <w:pPr>
        <w:spacing w:after="0" w:line="171" w:lineRule="exact"/>
        <w:rPr>
          <w:sz w:val="20"/>
          <w:szCs w:val="20"/>
          <w:color w:val="auto"/>
        </w:rPr>
      </w:pPr>
    </w:p>
    <w:p>
      <w:pPr>
        <w:ind w:left="1020" w:right="12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$86.3 million decrease in transaction costs attributable to the Sterling Acquisition, of which $29.0 million related to professional service, legal, and other fees, $33.4 million related to cash compensation expense due to the conversion of Sterling equity awards to cash awards as part of the transaction, $16.5 million related to debt refinancing costs, $5.0 million of post-combination restructuring costs, and $2.4 million in transaction related bonuses; and</w:t>
      </w:r>
    </w:p>
    <w:p>
      <w:pPr>
        <w:spacing w:after="0" w:line="71"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$11.8 million decrease in Legacy First Advantage share-based compensation expense as the prior year included the impact of modifications to the equity award agreements for the Company’s former Chief Financial Officer and former President, Americas, made in connection with each executive’s retirement agreement.</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was partially offset by $77.8 million of Sterling expenses recognized after the Sterling acquisition.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$263.9 million for the year ended December 31, 2024, compared to $116.7 million for the year ended December 31, 2023. Selling, general, and administrative expense for the year ended December 31, 2024 increased by $147.2 million, or 126.1%, compared to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jc w:val="both"/>
        <w:ind w:left="520" w:right="60" w:hanging="227"/>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$112.9 million increase in additional costs attributable to the Sterling acquisition, of which $55.1 million related to professional service, legal, and other fees, $38.9 million related to increases in cash compensation expense due to the conversion of Sterling equity awards to cash awards as part of the transaction, $16.5 million related to debt refinancing costs, and $2.4 million in transaction related bonuses;</w:t>
      </w:r>
    </w:p>
    <w:p>
      <w:pPr>
        <w:spacing w:after="0" w:line="6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 million of Sterling expenses recognized after the Sterling acquisition, of which $8.8 million relates to post-combination restructuring costs;</w:t>
      </w:r>
    </w:p>
    <w:p>
      <w:pPr>
        <w:spacing w:after="0" w:line="117" w:lineRule="exact"/>
        <w:rPr>
          <w:rFonts w:ascii="Times New Roman" w:cs="Times New Roman" w:eastAsia="Times New Roman" w:hAnsi="Times New Roman"/>
          <w:sz w:val="18"/>
          <w:szCs w:val="18"/>
          <w:color w:val="auto"/>
        </w:rPr>
      </w:pPr>
    </w:p>
    <w:p>
      <w:pPr>
        <w:ind w:left="520" w:right="60" w:hanging="227"/>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$11.1 million increase in Legacy First Advantage share-based compensation expense primarily as a result of a modification to the vesting terms of outstanding unvested and unearned performance-based equity awards in May 2023 and incremental awards granted and modifications made to the equity award agreements for the Company’s former Chief Financial Officer and former President, Americas, as part of each executive’s retirement agreement; and,</w:t>
      </w:r>
    </w:p>
    <w:p>
      <w:pPr>
        <w:spacing w:after="0" w:line="71"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increase in expenses related to litigation in the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520" w:right="320" w:hanging="2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decrease in Legacy First Advantage personnel expenses due to certain cost savings actions taken by the Company primarily in the second half of 2023 and the nonrecurring separation costs related to these savings not recurring in 2024; and</w:t>
      </w:r>
    </w:p>
    <w:p>
      <w:pPr>
        <w:spacing w:after="0" w:line="53" w:lineRule="exact"/>
        <w:rPr>
          <w:rFonts w:ascii="Times New Roman" w:cs="Times New Roman" w:eastAsia="Times New Roman" w:hAnsi="Times New Roman"/>
          <w:sz w:val="18"/>
          <w:szCs w:val="18"/>
          <w:color w:val="auto"/>
        </w:rPr>
      </w:pPr>
    </w:p>
    <w:p>
      <w:pPr>
        <w:ind w:left="520" w:right="80" w:hanging="2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expenses related to the impairment of certain operating lease assets resulting from office space exited in 2023 that did not reoccur in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248,583</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145,919</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$248.6 million for the year ended December 31, 2025, compared to $145.9 million for the year ended December 31, 2024. Depreciation and amortization for the year ended December 31, 2025 increased by $102.7 million, or 70.4% compared to the year ended December 31, 2024.</w:t>
      </w:r>
    </w:p>
    <w:p>
      <w:pPr>
        <w:spacing w:after="0" w:line="12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$145.9 million for the year ended December 31, 2024, compared to $129.5 million for the year ended December 31, 2023. Depreciation and amortization for the year ended December 31, 2024 increased by $16.4 million, or 12.7% compared to the year ended December 31, 2023.</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increase for the year ended December 31, 2025 and December 31, 2024 was primarily due to the impact of the step up in fair value of property and equipment and intangible assets as a result of the application of purchase accounting related to the Sterling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168,667</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51,848</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was $168.7 million for the year ended December 31, 2025, compared to $51.8 million for the year ended December 31, 2024. Interest expense, net for the year ended December 31, 2025 increased by $116.8 million, or 225.3%, compared to the year ended December 31, 2024.</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net was $51.8 million for the year ended December 31, 2024, compared to $33.0 million for the year ended December 31, 2023. Interest expense, net for the year ended December 31, 2024 increased by $18.8 million, or 56.9%, compared to the year ended December 31, 2023.</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for the year ended December 31, 2025 and December 31, 2024 was primarily driven by higher borrowings under the term loan facility, which included an incremental principal amount of $1,620.3 million and an expanded revolver commitment of $150.0 million, in connection with the Sterling Acquisition. Interest expense, net was further impacted by unrealized gains and losses on the Company’s interest rate swaps.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383</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Loss on extinguishment of debt for the year ended December 31, 2025, relates to the write-off of unamortized deferred financing costs as a result of voluntary principal repayments of $65.0 million on the Company’s outstanding term loan facility.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Loss on extinguishment of debt for the year ended December 31, 2024, relates to expenses stemming from the write-off of debt issuance costs associated with the October 2024 refinancing of the First Lien Credit Agreement in connection with the Sterling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benefit for income taxes was $(2.4) million for the year ended December 31, 2025, compared to $(4.3) million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benefit for income taxes for the year ended December 31, 2025 decreased by $1.9 million, compared to the year ended December 31, 2024.</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decrease in our benefit for income taxes was primarily due to the decrease of net book loss before income taxes, jurisdictional mix of earnings, higher income taxes in the jurisdictions outside of the U.S., and U.S. state income taxes, during the year ended December 31, 2025, as compared to the year ended December 31, 2024.</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(benefit) provision for income taxes was $(4.3) million for the year ended December 31, 2024, compared to $11.2 million for the year ended December 31, 2023. Our provision for income taxes for the year ended December 31, 2024 decreased by $15.5 million, compared to the year ended December 31, 2023.</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loss before income taxes during the year ended December 31, 2024, as compared to income before income taxes during the year ended December 31, 2023, and the increase of the nondeductible share-based compensation and transaction costs incurred in connection with the Sterling acquisition.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and Net (Loss) Income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8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(34,824)</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(110,273)</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margin</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loss was $(34.8) million for the year ended December 31, 2025, compared to $(110.3) million for the year ended December 31, 2024. Net loss for the year ended December 31, 2025 decreased by $75.4 million, or 68.4%, compared to the year ended December 31, 2024.</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loss margin was (2.2)% for the year ended December 31, 2025, compared to (12.8)% the year ended December 31, 2024. The improvement in our net loss margin was primarily driven by a reduction in transaction costs associated with the Sterling Acquisition, our continued ability to leverage operational efficiencies to manage overall expenses, and increased customer demand for our products and services, which contributed to higher profitability. These improvements were offset by increases in depreciation and amortization and interest costs, primarily as a result of the Sterling Acquisition.</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Net (loss) income was $(110.3) million for the year ended December 31, 2024, compared to $37.3 million for the year ended December 31, 2023. Net income for the year ended December 31, 2024 decreased by $147.6 million, or 395.7%, compared to the year ended December 31, 2023.</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(loss) income margin was (12.8)% for the year ended December 31, 2024, compared to 4.9% the year ended December 31, 2023, as increases in selling, general, and administrative expenses, primarily as a result of the Company’s acquisition of Sterling and reduced demand from customers more impacted by macroeconomic events, contributed to lower profitability.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Management believes that Adjusted EBITDA is a strong indicator of our overall operating performance and is useful to management and investors as a measure of comparative operating performance from period to period. 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Adjusted EBITDA was $441.4 million, $249.3 million, and $237.6 million for the years ended December 31, 2025, 2024, and 2023, respectively. This represented an Adjusted EBITDA Margin of 28.0%, 29.0%, and 31.1% for the years ended December 31, 2025, 2024, and 2023, respectively.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2025 increased by $192.1 million, or 77.1%, compared to the year ended December 31, 2024, primarily due to the Sterling Acquisition and related synergies. Adjusted EBITDA for Legacy First Advantage for the year ended December 31, 2025 increased by $0.8 million, compared to the year ended December 31, 2024, driven by higher revenues from existing and new customers, including ongoing strength in upselling and cross-selling, operational efficiencies, and certain other cost savings actions taken by the Company.</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Adjusted EBITDA for the year ended December 31, 2024 increased by $11.7 million, or 4.9%, compared to the year ended December 31, 2023, primarily due to the Sterling Acquisition. Adjusted EBITDA for Legacy First Advantage for the year ended December 31, 2024 decreased by $9.4 million or 3.9%, compared to the year ended December 31, 2023, as macroeconomic events impacted our revenues attributed to existing customers.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5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168,667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145,919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4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128,234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441,395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249,302</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237,556</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240" w:right="20" w:hanging="232"/>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years ended December 31, 2025, 2024, and 2023 includes approximately $7.1 million, $13.1 million, and $6.6 million, respectively, of incrementally recognized expense associated with the May 2023 modification of the vesting terms of outstanding unvested and unearned performance-based options, restricted stock units, and restricted stock awards. Share-based compensation for the year ended December 31, 2024, also includes approximately $4.2 million of incrementally recognized expense associated with the retirements of the Company's former Chief Financial Officer and President, Americas. See Note 10 to the audited consolidated financial statements included elsewhere in this Annual Report for further information.</w:t>
      </w:r>
    </w:p>
    <w:p>
      <w:pPr>
        <w:spacing w:after="0" w:line="114" w:lineRule="exact"/>
        <w:rPr>
          <w:rFonts w:ascii="Times New Roman" w:cs="Times New Roman" w:eastAsia="Times New Roman" w:hAnsi="Times New Roman"/>
          <w:sz w:val="14"/>
          <w:szCs w:val="14"/>
          <w:color w:val="auto"/>
        </w:rPr>
      </w:pPr>
    </w:p>
    <w:p>
      <w:pPr>
        <w:ind w:left="240" w:right="80" w:hanging="232"/>
        <w:spacing w:after="0" w:line="221"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year ended December 31, 2025 include approximately $8.0 million of expense associated with the Sterling Acquisition, primarily consisting of $7.7 million of compensation expense attributable to converted Sterling equity awards. Transaction and acquisition related charges for the year ended December 31, 2024 include approximately $125.7 million of expense associated with the Sterling Acquisition,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The years ended December 31, 2025, 2024, and 2023 also include insurance costs related to the Company's initial public offering.</w:t>
      </w:r>
    </w:p>
    <w:p>
      <w:pPr>
        <w:spacing w:after="0" w:line="1" w:lineRule="exact"/>
        <w:rPr>
          <w:rFonts w:ascii="Times New Roman" w:cs="Times New Roman" w:eastAsia="Times New Roman" w:hAnsi="Times New Roman"/>
          <w:sz w:val="14"/>
          <w:szCs w:val="14"/>
          <w:color w:val="auto"/>
        </w:rPr>
      </w:pPr>
    </w:p>
    <w:p>
      <w:pPr>
        <w:ind w:left="240" w:right="100" w:hanging="232"/>
        <w:spacing w:after="0" w:line="230" w:lineRule="auto"/>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year ended December 31, 2025 include approximately $18.1 million of expense associated with the integration of Sterling, $1.5 million of expenses related to debt refinancing activities, as well as capitalized software impairment charges of approximately $1.2 million.</w:t>
      </w:r>
    </w:p>
    <w:p>
      <w:pPr>
        <w:spacing w:after="0" w:line="1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total revenues. The following table presents the calculation of Adjusted EBITDA Margin for the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8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441,395</w:t>
            </w:r>
          </w:p>
        </w:tc>
        <w:tc>
          <w:tcPr>
            <w:tcW w:w="5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249,302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237,556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7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1,574,389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860,205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ind w:right="145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a calculation of Adjusted EBITDA and Adjusted EBITDA Margin by segment for the periods presented. Refer to Note 17 to the audited consolidated financial statements included elsewhere in this Annual Report for a reconciliation of Adjusted EBITDA for the periods presented by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5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Advantage Americas</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211,560</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210,990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221,645</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First Advantage International</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17,194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15,911</w:t>
            </w:r>
          </w:p>
        </w:tc>
        <w:tc>
          <w:tcPr>
            <w:tcW w:w="0" w:type="dxa"/>
            <w:vAlign w:val="bottom"/>
          </w:tcPr>
          <w:p>
            <w:pPr>
              <w:spacing w:after="0"/>
              <w:rPr>
                <w:sz w:val="1"/>
                <w:szCs w:val="1"/>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Sterling</w:t>
            </w:r>
          </w:p>
        </w:tc>
        <w:tc>
          <w:tcPr>
            <w:tcW w:w="15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212,401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21,118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441,395</w:t>
            </w:r>
          </w:p>
        </w:tc>
        <w:tc>
          <w:tcPr>
            <w:tcW w:w="5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249,302</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237,556</w:t>
            </w: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Advantage Americas</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701,634</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658,758</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673,075</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First Advantage International</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104,868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96,854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96,832</w:t>
            </w:r>
          </w:p>
        </w:tc>
        <w:tc>
          <w:tcPr>
            <w:tcW w:w="0" w:type="dxa"/>
            <w:vAlign w:val="bottom"/>
          </w:tcPr>
          <w:p>
            <w:pPr>
              <w:spacing w:after="0"/>
              <w:rPr>
                <w:sz w:val="1"/>
                <w:szCs w:val="1"/>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Sterling</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777,194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113,068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15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(8,475)</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1,574,389</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860,205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First Advantage Americas</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Advantage International</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Sterling</w:t>
            </w: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-1856740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-1839595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-1856740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-1839595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-1007745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-1007745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ind w:left="240" w:right="240" w:hanging="232"/>
        <w:spacing w:after="0" w:line="261"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reconciliation of net (loss)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(loss)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was $181.7 million, $123.7 million, and $145.8 million for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Diluted Earnings Per Share was $1.04, $0.82, and $1.00 for the years ended December 31, 2025, 2024, and 2023, respectively.</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Net Income for the year ended December 31, 2025 increased by $58.0 million, or 46.9%, compared to the year ended December 31, 2024. Adjusted Diluted Earnings Per Share for the year ended December 31, 2025 increased by $0.22, or 26.8%, compared to the year ended December 31, 2024. Adjusted Net Income and Adjusted Diluted Earnings Per Share increased during the year ended December 31, 2025, primarily due to the Sterling Acquisition. This increase was offset by fluctuations in interest expense resulting from changes in our capital structure and the dilutive impact of the new shares issued for the Sterling Acquisition.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Net Income for the year ended December 31, 2024 decreased by $22.1 million, or 15.1%, compared to the year ended December 31, 2023. Adjusted Diluted Earnings Per Share for the year ended December 31, 2024 decreased by $0.18, or 18.0%, compared to the year ended December 31, 2023. Adjusted Net Income and Adjusted Diluted Earnings Per Share declined during the year ended December 31, 2024, as reduced demand from customers more impacted by macroeconomic events contributed to lower revenues and profitability. Adjusted Net Income and Adjusted Diluted Earnings Per Share were further impacted by changes in acquisition-related depreciation and amortization and our capital structure that are captured in interest expense.</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Gains or losses and actual cash payments and receipts on the Company’s interest rate swaps impact the comparability of Adjusted Net Income and Adjusted Diluted Earnings Per Share across historical periods. Adjusted Diluted Earnings Per Share is further impacted by the acquisition of Sterling and shares repurchased previously under the Company’s Repurchase Program.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700" w:type="dxa"/>
            <w:vAlign w:val="bottom"/>
            <w:gridSpan w:val="2"/>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48,476</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204,678</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112,966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102,659</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128,234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244,489</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164,667</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190,547</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62,809</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40,953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44,759</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181,680</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123,714</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145,788</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Diluted Earnings Per Share for the periods presented.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income per share (GAAP)</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700" w:type="dxa"/>
            <w:vAlign w:val="bottom"/>
            <w:gridSpan w:val="2"/>
            <w:shd w:val="clear" w:color="auto" w:fill="CFF0FC"/>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used in computation of</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number of shares outstanding—diluted (GAAP)</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173,199,004</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148,582,226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r>
        <w:trPr>
          <w:trHeight w:val="198"/>
        </w:trPr>
        <w:tc>
          <w:tcPr>
            <w:tcW w:w="5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Options and restricted stock not included in weighted average number of</w:t>
            </w:r>
          </w:p>
        </w:tc>
        <w:tc>
          <w:tcPr>
            <w:tcW w:w="400" w:type="dxa"/>
            <w:vAlign w:val="bottom"/>
          </w:tcPr>
          <w:p>
            <w:pPr>
              <w:spacing w:after="0"/>
              <w:rPr>
                <w:sz w:val="17"/>
                <w:szCs w:val="17"/>
                <w:color w:val="auto"/>
              </w:rPr>
            </w:pPr>
          </w:p>
        </w:tc>
        <w:tc>
          <w:tcPr>
            <w:tcW w:w="14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1,956,781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2,606,405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outstanding—diluted (GAAP) (using treasury stock method)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Adjusted weighted average number of shares outstanding—diluted (Non-</w:t>
            </w:r>
          </w:p>
        </w:tc>
        <w:tc>
          <w:tcPr>
            <w:tcW w:w="400" w:type="dxa"/>
            <w:vAlign w:val="bottom"/>
            <w:shd w:val="clear" w:color="auto" w:fill="CFF0FC"/>
          </w:tcPr>
          <w:p>
            <w:pPr>
              <w:spacing w:after="0"/>
              <w:rPr>
                <w:sz w:val="16"/>
                <w:szCs w:val="16"/>
                <w:color w:val="auto"/>
              </w:rPr>
            </w:pPr>
          </w:p>
        </w:tc>
        <w:tc>
          <w:tcPr>
            <w:tcW w:w="142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175,155,785</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151,188,631</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GAAP)</w:t>
            </w:r>
          </w:p>
        </w:tc>
        <w:tc>
          <w:tcPr>
            <w:tcW w:w="4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-3076575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-3059430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-3076575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-3059430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-1268095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-1268095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240" w:right="40" w:hanging="232"/>
        <w:spacing w:after="0" w:line="224"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loss on extinguishment and non-cash interest expense related to the amortization of debt issuance costs for the 2021 February and 2024 October refinancing of the Company’s First Lien Credit Facility. This adjustment also includes the impact of the change in fair value of interest rate swaps, which represents the difference between the fair value gains or losses and actual cash payments and receipts on the interest rate swaps.</w:t>
      </w:r>
    </w:p>
    <w:p>
      <w:pPr>
        <w:ind w:left="240" w:right="200" w:hanging="232"/>
        <w:spacing w:after="0" w:line="216"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Represents the depreciation and amortization expense related to incremental intangible and developed technology assets recorded due to the application of ASC 805,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As a result, the purchase accounting related depreciation and amortization expense will recur in future periods until the related assets are fully depreciated or amortized, and the related purchase accounting assets may contribute to revenue generation.</w:t>
      </w:r>
    </w:p>
    <w:p>
      <w:pPr>
        <w:spacing w:after="0" w:line="1" w:lineRule="exact"/>
        <w:rPr>
          <w:rFonts w:ascii="Times New Roman" w:cs="Times New Roman" w:eastAsia="Times New Roman" w:hAnsi="Times New Roman"/>
          <w:sz w:val="13"/>
          <w:szCs w:val="13"/>
          <w:color w:val="auto"/>
        </w:rPr>
      </w:pPr>
    </w:p>
    <w:p>
      <w:pPr>
        <w:ind w:left="240" w:right="120" w:hanging="232"/>
        <w:spacing w:after="0" w:line="216"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for the years ended December 31, 2025, 2024, and 2023 includes approximately $7.1 million, $13.1 million, and $6.6 million, respectively, of incrementally recognized expense associated with the May 2023 modification of the vesting terms of outstanding unvested and unearned performance-based options, restricted stock units, and restricted stock awards. Share-based compensation for the year ended December 31, 2024, also includes approximately $4.2 million of incrementally recognized expense associated with the retirements of the Company's former Chief Financial Officer and President, Americas. See Note 10 to the audited consolidated financial statements included elsewhere in this Annual Report for further information.</w:t>
      </w:r>
    </w:p>
    <w:p>
      <w:pPr>
        <w:spacing w:after="0" w:line="1" w:lineRule="exact"/>
        <w:rPr>
          <w:rFonts w:ascii="Times New Roman" w:cs="Times New Roman" w:eastAsia="Times New Roman" w:hAnsi="Times New Roman"/>
          <w:sz w:val="13"/>
          <w:szCs w:val="13"/>
          <w:color w:val="auto"/>
        </w:rPr>
      </w:pPr>
    </w:p>
    <w:p>
      <w:pPr>
        <w:ind w:left="240" w:hanging="232"/>
        <w:spacing w:after="0" w:line="234" w:lineRule="auto"/>
        <w:tabs>
          <w:tab w:leader="none" w:pos="2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charges incurred related to acquisitions and similar transactions, primarily consisting of change in control-related costs, professional service fees, and other third-party costs. Transaction and acquisition related charges for the year ended December 31, 2025 include approximately $8.0 million of expense associated with the Sterling Acquisition, primarily consisting of $7.7 million of compensation expense attributable to converted Sterling equity awards. Transaction and acquisition related charges for the year ended December 31, 2024 include approximately $125.7 million of expense associated with the Sterling Acquisition,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The years ended December 31, 2025, 2024, and 2023 also include insurance costs related to the Company's initial public offering.</w:t>
      </w:r>
    </w:p>
    <w:p>
      <w:pPr>
        <w:spacing w:after="0" w:line="2" w:lineRule="exact"/>
        <w:rPr>
          <w:rFonts w:ascii="Times New Roman" w:cs="Times New Roman" w:eastAsia="Times New Roman" w:hAnsi="Times New Roman"/>
          <w:sz w:val="12"/>
          <w:szCs w:val="12"/>
          <w:color w:val="auto"/>
        </w:rPr>
      </w:pPr>
    </w:p>
    <w:p>
      <w:pPr>
        <w:ind w:left="240" w:hanging="232"/>
        <w:spacing w:after="0" w:line="216"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year ended December 31, 2025 include approximately $18.1 million of expense associated with the integration of Sterling, $1.5 million of expenses related to debt refinancing activities, as well as capitalized software impairment charges of approximately $1.2 million.</w:t>
      </w:r>
    </w:p>
    <w:p>
      <w:pPr>
        <w:spacing w:after="0" w:line="1" w:lineRule="exact"/>
        <w:rPr>
          <w:rFonts w:ascii="Times New Roman" w:cs="Times New Roman" w:eastAsia="Times New Roman" w:hAnsi="Times New Roman"/>
          <w:sz w:val="13"/>
          <w:szCs w:val="13"/>
          <w:color w:val="auto"/>
        </w:rPr>
      </w:pPr>
    </w:p>
    <w:p>
      <w:pPr>
        <w:ind w:left="240" w:right="140" w:hanging="232"/>
        <w:spacing w:after="0" w:line="219"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tax rates of approximately 25.7%, 24.9% and 23.5% have been used to compute Adjusted Net Income and Adjusted Diluted Earnings Per Share for the years ended December 31, 2025, 2024, and 2023, respectively. As of December 31, 2025, we had net operating loss carryforwards of approximately $15.1 million for federal income tax purposes available to reduce future income subject to income taxes. The federal net operating loss carryforward is subject to annual limitation under IRC Section 382, which affects the timing of when these attributes can be used. As a result, the amount of actual cash taxes we may pay for federal income taxes differs significantly from the effective income tax rate computed in accordance with GAAP and from the normalized rate shown above.</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primary liquidity requirements are for working capital, debt service, ongoing investments in software development and other capital expenditures, as well as other strategic initiatives such as the integration of Sterling. In addition, income taxes represent, and are expected to continue to represent, a significant use of cash depending on future profitability and applicable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Sterling Acquisition. Our cash flows from operations include cash received from customers, less cash costs to provide services to our customers, which includes general and administrative costs and interest payments.</w:t>
      </w:r>
    </w:p>
    <w:p>
      <w:pPr>
        <w:spacing w:after="0" w:line="13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December 31, 2025, we had $240.0 million in cash and cash equivalents and $249.3 million available under our revolving credit facility. As of December 31, 2025, we had $2,114.5 million of total debt outstanding. We believe our cash on hand, together with amounts available under our revolving credit facility and cash provided by operating activities are and will continue to be adequate to meet our operational and business needs in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“Risk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Since August 31, 2023 through December 31, 2025, the Company has paid an aggregate cash dividend of $218.1 million with cash from the balance sheet.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First Advantage Holdings, LLC, an indirect wholly-owned subsidiary of the Company, was a party to a First Lien Credit Agreement (as amended, “First Lien Credit Agreement”), which provided for a term loan of $766.6 million due January 31, 2027, carrying an interest rate prior to the effectiveness of the 2024 First Lien Credit Agreement of 2.75% to 3.00%, based on the first lien ratio, plus the Secured Overnight Financing Rate as administered by the Federal Reserve Bank of New York (“SOFR”) (subsequent to an amendment in June 2023 to transition the reference rate from LIBOR (the London Interbank Offer Rate)), and a $100.0 million revolving credit facility due July 31, 2026.</w:t>
      </w:r>
    </w:p>
    <w:p>
      <w:pPr>
        <w:spacing w:after="0" w:line="1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connection with the Sterling Acquisition, on October 31, 2024, the Company refinanced its existing First Lien Credit Agreement and all related Sterling debt (the “2024 First Lien Credit Agreement”). The 2024 First Lien Credit Agreement provided for a term loan of $2.185 billion due October 31, 2031, carrying an interest rate of 3.00% to 3.25%, based on the first lien ratio, plus SOFR and a $250.0 million revolving credit facility due October 31, 2029.</w:t>
      </w:r>
    </w:p>
    <w:p>
      <w:pPr>
        <w:spacing w:after="0" w:line="10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July 30, 2025, the Company amended its 2024 First Lien Credit Agreement (“2025 Amended First Lien Credit Agreement”) to reduce the interest rate on its term loan facility to a range of 2.50% to 2.75%, based on the first lien ratio, plus SOFR (“First Lien Credit Facility”). The amendment also reduced the interest rate on its revolving credit facility to a range of 2.25% to 2.75%, based on the first lien ratio, plus SOFR (“Amended Revolver”).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2025 Amended First Lien Credit Agreement bear interest at a rate per annum equal to an applicable margin plus, at our option, either</w:t>
      </w:r>
    </w:p>
    <w:p>
      <w:pPr>
        <w:spacing w:after="0" w:line="27" w:lineRule="exact"/>
        <w:rPr>
          <w:sz w:val="20"/>
          <w:szCs w:val="20"/>
          <w:color w:val="auto"/>
        </w:rPr>
      </w:pPr>
    </w:p>
    <w:p>
      <w:pPr>
        <w:ind w:right="40" w:firstLine="8"/>
        <w:spacing w:after="0" w:line="253" w:lineRule="auto"/>
        <w:tabs>
          <w:tab w:leader="none" w:pos="2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Amended Revolver has no amortization.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jc w:val="both"/>
        <w:ind w:right="640"/>
        <w:spacing w:after="0" w:line="258" w:lineRule="auto"/>
        <w:rPr>
          <w:sz w:val="20"/>
          <w:szCs w:val="20"/>
          <w:color w:val="auto"/>
        </w:rPr>
      </w:pPr>
      <w:r>
        <w:rPr>
          <w:rFonts w:ascii="Times New Roman" w:cs="Times New Roman" w:eastAsia="Times New Roman" w:hAnsi="Times New Roman"/>
          <w:sz w:val="18"/>
          <w:szCs w:val="18"/>
          <w:color w:val="auto"/>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Year Ended December 31, 2025 compared to the Year Ended December 31, 2024 and for the Year Ended December 31, 2024 compared to the Year Ended December 31,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cash flow activity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195,126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28,196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(66,847)</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1,581,065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(273,556)</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net cash provided by operating activities was $195.1 million, $28.2 million, and $162.8 million, respectively.</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2025 were positively impacted by revenue growth from existing customers, new customer go-lives, and contributions from the Sterling Acquisition. These benefits were partially offset by interest payments on the Company’s term loan and revolving credit facility totaling approximately $160.8 million and the timing of professional service and legal fee payments related to the acquisition and integration of Sterling.</w:t>
      </w:r>
    </w:p>
    <w:p>
      <w:pPr>
        <w:spacing w:after="0" w:line="12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2024 were impacted by the timing of payments of legal, regulatory, professional service, banking, and other one-time fees related to Sterling Acquisition, as well as the cash payout of Sterling converted cash awards. Cash flows from operating activities were further impacted by the continuation of more modest hiring activity from our customers resulting from changes in the hiring environment.</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for the year ended December 31, 2023 were impacted by the continuation of more modest hiring activity from our customers in the First Advantage Americas segment and softness internationally, resulting from the ongoing uncertainty from the economic environment that began to impact hiring demand in late 2022. Additionally, cash flows from operating activities in 2023 were impacted by a $9.7 million outflow due to working capital.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net cash used in investing activities was $54.1 million, $1,652.0 million, and $66.8 million, respectively.</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for the year ended December 31, 2025 were driven primarily by capitalized software development costs and purchases of property and equipment as the Company continued to make incremental investments in its technology platform.</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cash flows used in investing activities for the year ended December 31, 2024 were primarily impacted by the Sterling Acquisition, of which $1,687.2 million was in the form of cash. The remaining investing cash flows were driven primarily by capitalized software development costs and purchases of property and equipment as the Company continued to make incremental investments in its technology platform.</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cash flows used in investing activities for the year ended December 31, 2023 were primarily impacted by the $41.1 million Infinite ID acquisition, net of cash acquired and other transaction adjustments. The remaining investing cash flows were driven primarily by capitalized software development costs and purchases of property and equipment as the Company continued to make incremental investments in its technology platform.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net cash (used in) provided by financing activities was $(70.8) million, $1,581.1 million, and $(273.6) million, respectively.</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primarily driven by $70.5 million of principal repayments on the Company’s term loan.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driven by the Company’s October 2024 refinancing of the First Lien Credit Agreement in connection with the Sterling Acquisition. Cash inflows related to this refinancing were $1,679.1 million, partially offset by cash outflows of $59.2 million. As part of the refinancing, the Company paid $38.2 million related to new debt issuance costs. The remaining outflows primarily consisted of payments on a deferred purchase of a software platform and dividends paid on vested RSUs as a result of the Company’s August 2023 one-time special dividend. These outflows were offset partially by cash inflows related to share-based compensation activity.</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were impacted by the Company’s one-time special cash dividend of $1.50 per share and shares repurchased under the Company’s Repurchase Program. An aggregate cash dividend of $217.7 million was paid on August 31, 2023. During the year ended December 31, 2023, the Company repurchased 4.4 million shares for a total cost of $59.0 million. These outflows were offset partially by cash inflows related to share-based compensation activity.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Other Contingencies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Contractual obligations, commitments, and other contingencies for the Company are comprised of debt, leases, purchase obligations, uncertain tax positions, and other commitments. The following sections provide details of material cash requirements from known contractual and other obligations as of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$2,114.5 million outstanding under its 2025 Amended First Lien Credit Agreement due October 31, 2031. No principal payments are due within the next 12 months, as detailed further in Note 6 to the audited consolidated financial statements included elsewhere in this Annual Report. Future interest payments associated with the 2025 Amended First Lien Credit Agreement total $788.7 million, with $137.3 million payable within the next twelve months. Estimated future interest payments are based on the actual interest rates on individual debt and swap agreements outstanding at December 31, 2025. Actual interest rates on our variable rate debt and interest rate swap agreements, and the actual amount of our variable indebtedness could vary from the amounts used to compute the amounts.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no borrowings outstanding under our Revolver.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2025, total contractual obligations for operating leases were $10.2 million. This excludes operating leases with original maturities of less than one year, which are not recorded in our consolidated balance sheet. As of December 31, 2025, nominal outstanding amounts were due under finance lease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14 to the audited consolidated financial statements included elsewhere in this Annual Report.</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entered into a twelve month contract with a third-party service provider which contains a minimum volume commitment. The Company expects to exceed the stipulated minimum volume of purchases required in 2026 through the ordinary course of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$5.2 million for uncertain tax positions and accrued interest and penalties of $1.5 million related to the uncertain tax positions as of December 31, 2025. See Note 8 to the audited consolidated financial statements included elsewhere in this Annual Report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accrued $8.7 million relating to legal proceedings in which the Company believes a loss is both probable and estimable. See Note 13 to the audited consolidated financial statements included elsewhere in this Annual Report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elsewhere in this Annual Report for a full description of recent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audited consolidated financial statements and the related notes thereto included elsewhere in this Annual Report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the audited consolidated financial statements included elsewhere in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primary source of revenues is derived from pre-onboarding background screening and related products provided to our customers on a transactional basis, in which a background screening package or selection of products is ordered by a customer related to a single applicant.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its products as the orders are completed and the completed results or reports are transmitted, or otherwise made available. The Company’s remaining products, substantially consisting of post-onboarding monitoring, tax consulting, fleet management, and driver qualification services, are delivered over time as the customer simultaneously receives and consumes the benefits of the products and solutions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 The Company records third-party pass- through fees incurred as part of screening related products on a gross revenue basis, with the related expense recorded as a cost of service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record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recorded in the period in which they occur.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We review long-lived assets held and used by us—including property and equipment primarily consisting of capitalized internal use software, and finite-lived intangible assets—for impairment whenever events or changes in business circumstances indicate that the carrying amount of an asset or asset group may not be fully recoverable. If an impairment is determined to exist, we calculate any related impairment loss based on the difference between the fair value and carrying values of the respective assets or asset groups.</w:t>
      </w:r>
    </w:p>
    <w:p>
      <w:pPr>
        <w:spacing w:after="0" w:line="11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Internal use software development costs are capitalized during the application development stage of initial development or during development of new features and enhancements. The Company amortizes these costs using the straight-line method over the estimated useful life of the software, generally three years. Software costs not meeting the criteria for capitalization are expensed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annually or more frequently if events or changes in business circumstances indicate that it is more likely than not that the carrying value of a reporting unit exceeds its fair value. In performing these assessments, management relies on various factors, including operating results, business plans, economic projections, anticipated future cash flows and other market data. There are inherent uncertainties related to these factors and judgment is required in applying them to the goodwill impairment test. Our annual goodwill impairment test is performed on October 31. We perform additional tests throughout the year when required.</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quantitative goodwill impairment tests, the fair value for each reporting unit is determined using a discounted cash flow method. Key assumptions for computing fair value include discount rate, long term growth rate, foreign currency exchange rate, and cash flow projections for each reporting unit. No goodwill impairment was recognized for 2025. See Note 2 to the audited consolidated financial statements included elsewhere in this Annual Report for more information on our goodwill impairment testing.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determining taxable income for our consolidated financial statements, we must make certain estimates and judgments. These estimates and judgments affect the calculation of certain tax liabilities and the determination of the recoverability of certain deferred tax assets, which arise from temporary differences between the tax and financial statement recognition of revenues and expenses.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income tax assets recorded if, based on the weight of the evidence, it is more likely than not that some or all of the deferred income tax assets will not be realized. The Company evaluates all of the positive and negative evidence quarterly to determine the need for a valuation allowance. After consideration of all of the evidence, the Company has determined that a valuation allowance of $5.9 million and $5.6 million is necessary at December 31, 2025 and 2024, respectively.</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We record the effect of a tax rate or law change on our deferred tax assets and liabilities in the period of enactment. Future tax rate or law changes could have a material effect on our results of operations, financial condition, or cash flows.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calculation of our tax liabilities involves dealing with uncertainties in the application of complex tax regulations in the United States and elsewhere. We recognize potential liabilities and record tax liabilities for anticipated tax audit issues in the U.S. and other tax jurisdictions based on estimates of whether, and the extent to which, additional taxes will be due in accordance with the authoritative guidance regarding the accounting for uncertain tax positions. These tax liabilities are reflected net of related tax loss carryforwards. We adjust these reserves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 The Company classifies interest and penalties associated with its unrecognized tax benefits as a component of income tax expense (see Note 8 to the audited consolidated financial statements included elsewhere in this Annual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global company, we are exposed to a variety of market risks, including the effects of changes in interest rates and foreign currency exchange rates. We monitor and manage these financial exposures as an integral part of our overall risk management program. We use derivative financial instruments for hedging purposes only. We do not use derivatives for speculation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of $240.0 million and $168.7 million as of December 31, 2025 and 2024, respectively. Our cash and cash equivalents consist primarily of bank demand deposits. We hold cash and cash equivalents for working capital purposes. We do not enter into investments for trading or speculative purposes.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our cash and cash equivalents as these consist primarily of highly liquid investments purchased with original maturities of twelve months or less at December 31, 2025 and 2024.</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debt includes variable-rate debt and a revolving credit facility that bear interest based on SOFR. As a result, we are exposed to fluctuations in interest rates on our long-term debt. The carrying value of our long-term debt, excluding finance lease and other long-term obligations, was $2,080.0 million as of December 31, 2025. The carrying value of the Company’s term loan approximates its fair value as of December 31, 2025 as the underlying interest rate is tied to SOFR. As of December 31, 2025, a hypothetical 100 basis point change in the interest rate would increase or decrease the interest expense on the First Lien Credit Facility for the next 12 months by approximately $21.1 million. See Note 6 to the audited consolidated financial statements included elsewhere in this Annual Report for more information on our debt offerings and any outstanding debt.</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To help manage borrowing costs, we may from time to time enter into interest rate derivative transactions with financial institutions acting as principal counterparties. In 2020, the Company entered into an interest rate collar agreement with a notional amount of $405.0 million through February 2022 that was reduced to $300.0 million from March 2022 through February 2024, with a maturity date of February 29, 2024. In the agreement, we and the counterparty bank agreed to a one-month LIBOR floor of 0.48% and cap of 1.50% on a portion of our term loan facility. In June 2023, the Company transitioned the reference rate from one-month LIBOR to one-month SOFR and reduced the cap to 1.47%.</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agreement with a notional amount of $100.0 million that matures on February 28, 2026. The interest rate swap hedged our floating LIBOR rate outstanding debt with a fixed rate of 4.36%. In June 2023, the Company transitioned the reference rate from one-month LIBOR to one-month SOFR and reduced the fixed rate to 4.32%.</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2023, the Company entered into two interest rate swap agreements, each with a notional amount of $150.0 million. Effective December 29, 2023, the first interest rate swap agreement hedged our floating SOFR rate outstanding debt with a fixed rate of 3.86%. Effective March 1, 2024, the second interest rate swap agreement hedged our floating SOFR rate outstanding debt with a fixed rate of 3.76%. The interest rate swaps effective December 29, 2023 and March 1, 2024 each mature on December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the Company entered into an interest rate swap agreement with a notional amount of $160.0 million that matures on December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swap hedged our floating SOFR rate outstanding debt with a fixed rate of 3.72%.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2024, the Company entered into an interest rate swap agreement with a notional amount of $275.0 million that matures on October 31,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swap hedged our floating SOFR rate outstanding debt with a fixed rate of 3.94%.</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interest rate swap agreement with a notional amount of $250.0 million that matures on April 30, 2028. The interest rate swap hedged our floating SOFR rate outstanding debt with a fixed rate of 3.56%.</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Note 7 to the audited consolidated financial statements included elsewhere in this Annual Report for more information about our interest rate collar and swap agreements.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73"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have exposure to the effects of foreign currency exchange rate fluctuations due to our global operations. The functional currency of all of the Company’s foreign subsidiaries is the applicable local currency. Principal foreign currency exposures relate primarily to the British Pound Sterling, Australian Dollar, and Canadian Dollar, and to a lesser extent the Indian Rupee, Singapore Dollar, and Chinese Renminbi.</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Balance sheet adjustments resulting from the translation of foreign currency-denominated subsidiary financial statements are accumulated in a separate component of equity. Gains or losses resulting from foreign currency transactions are included in the Company’s consolidated statements of operations and comprehensive (loss) income, except for gains or losses relating to intercompany transactions of a long-term investment nature, which are presented in a separate component of equity as accumulated other comprehensive loss.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historically have not hedged our investments in foreign subsidiaries or our exposure to transaction gains or losses resulting from fluctuations in foreign currency exchange rates. Currency translation income (loss) included in other comprehensive (loss) income were approximately $17.0 million, $(16.2) million, and $1.2 million, for the years ended December 31, 2025,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that occurred during the quarter ended December 31, 2025 that materially affected, or are reasonably likely to materially affect, our internal control over financial reporting.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(principal executive officer) and Chief Financial Officer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9" w:lineRule="exact"/>
        <w:rPr>
          <w:sz w:val="20"/>
          <w:szCs w:val="20"/>
          <w:color w:val="auto"/>
        </w:rPr>
      </w:pPr>
    </w:p>
    <w:p>
      <w:pPr>
        <w:ind w:left="740" w:hanging="223"/>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transactions and dispositions of our assets;</w:t>
      </w:r>
    </w:p>
    <w:p>
      <w:pPr>
        <w:spacing w:after="0" w:line="117" w:lineRule="exact"/>
        <w:rPr>
          <w:rFonts w:ascii="Times New Roman" w:cs="Times New Roman" w:eastAsia="Times New Roman" w:hAnsi="Times New Roman"/>
          <w:sz w:val="18"/>
          <w:szCs w:val="18"/>
          <w:color w:val="auto"/>
        </w:rPr>
      </w:pPr>
    </w:p>
    <w:p>
      <w:pPr>
        <w:ind w:left="740" w:right="260" w:hanging="223"/>
        <w:spacing w:after="0" w:line="266"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740" w:right="340" w:hanging="223"/>
        <w:spacing w:after="0" w:line="282"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management assessed the effectiveness of the Company’s internal control over financial reporting as of December 31, 2025, using the criteria set forth by the Committee of Sponsoring Organizations of the Treadway Commission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Based on this assessment using those criteria, our management concluded that, as of December 31, 2025, the Company’s internal control over financial reporting was effective.</w:t>
      </w:r>
    </w:p>
    <w:p>
      <w:pPr>
        <w:spacing w:after="0" w:line="2"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Management reviewed the results of its assessment with the Audit Committee of its Board of Directors. The effectiveness of the Company’s internal control over financial reporting as of December 31, 2025 has been audited by Deloitte &amp; Touche LLP, the Company’s independent registered public accounting firm, as stated in their report, which appears in “Item 8. Financial Statements and Supplementary Data” of this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of the Exchange Act) adopted, terminated, or modified a Rule 10b5-1 trading arrangement or non-Rule 10b5-1 trading arrangement (as such terms are defined in Item 408 of Regulation S-K), except as described in the table below.</w:t>
      </w:r>
    </w:p>
    <w:p>
      <w:pPr>
        <w:sectPr>
          <w:pgSz w:w="11900" w:h="16838" w:orient="portrait"/>
          <w:cols w:equalWidth="0" w:num="1">
            <w:col w:w="11220"/>
          </w:cols>
          <w:pgMar w:left="320" w:top="981" w:right="35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Trading Arrangement</w:t>
            </w:r>
          </w:p>
        </w:tc>
        <w:tc>
          <w:tcPr>
            <w:tcW w:w="1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Scheduled Expiration</w:t>
            </w: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Director/Officer</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Rule 10b5-1</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Date of Rule 10b5-1</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 of Adoption/Termination</w:t>
            </w:r>
          </w:p>
        </w:tc>
        <w:tc>
          <w:tcPr>
            <w:tcW w:w="1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Non-Rule 10b5-1</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9"/>
              </w:rPr>
              <w:t>Trading Plan</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Joelle Smith</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President</w:t>
            </w:r>
          </w:p>
        </w:tc>
        <w:tc>
          <w:tcPr>
            <w:tcW w:w="120" w:type="dxa"/>
            <w:vAlign w:val="bottom"/>
          </w:tcPr>
          <w:p>
            <w:pPr>
              <w:spacing w:after="0"/>
              <w:rPr>
                <w:sz w:val="19"/>
                <w:szCs w:val="19"/>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Adopted December 9, 2025</w:t>
            </w:r>
          </w:p>
        </w:tc>
        <w:tc>
          <w:tcPr>
            <w:tcW w:w="1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9" w:lineRule="exact"/>
        <w:rPr>
          <w:sz w:val="20"/>
          <w:szCs w:val="20"/>
          <w:color w:val="auto"/>
        </w:rPr>
      </w:pPr>
    </w:p>
    <w:p>
      <w:pPr>
        <w:ind w:left="240" w:hanging="232"/>
        <w:spacing w:after="0"/>
        <w:tabs>
          <w:tab w:leader="none" w:pos="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satisfy the affirmative defense of Rule 10b5-1(c).</w:t>
      </w:r>
    </w:p>
    <w:p>
      <w:pPr>
        <w:spacing w:after="0" w:line="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plan may also expire on such earlier date that all transactions under the trading plan are completed.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left="40" w:right="120"/>
        <w:spacing w:after="0" w:line="257" w:lineRule="auto"/>
        <w:rPr>
          <w:sz w:val="20"/>
          <w:szCs w:val="20"/>
          <w:color w:val="auto"/>
        </w:rPr>
      </w:pPr>
      <w:r>
        <w:rPr>
          <w:rFonts w:ascii="Times New Roman" w:cs="Times New Roman" w:eastAsia="Times New Roman" w:hAnsi="Times New Roman"/>
          <w:sz w:val="13"/>
          <w:szCs w:val="13"/>
          <w:b w:val="1"/>
          <w:bCs w:val="1"/>
          <w:color w:val="auto"/>
        </w:rPr>
        <w:t>Aggregate Number of Securities to Be Purchased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-3175</wp:posOffset>
            </wp:positionV>
            <wp:extent cx="15773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jc w:val="center"/>
        <w:ind w:right="120"/>
        <w:spacing w:after="0" w:line="239" w:lineRule="auto"/>
        <w:rPr>
          <w:sz w:val="20"/>
          <w:szCs w:val="20"/>
          <w:color w:val="auto"/>
        </w:rPr>
      </w:pPr>
      <w:r>
        <w:rPr>
          <w:rFonts w:ascii="Times New Roman" w:cs="Times New Roman" w:eastAsia="Times New Roman" w:hAnsi="Times New Roman"/>
          <w:sz w:val="14"/>
          <w:szCs w:val="14"/>
          <w:color w:val="auto"/>
        </w:rPr>
        <w:t>Sale of up to 23,334 shares of common stock in one transaction</w:t>
      </w:r>
    </w:p>
    <w:p>
      <w:pPr>
        <w:spacing w:after="0" w:line="585" w:lineRule="exact"/>
        <w:rPr>
          <w:sz w:val="20"/>
          <w:szCs w:val="20"/>
          <w:color w:val="auto"/>
        </w:rPr>
      </w:pPr>
    </w:p>
    <w:p>
      <w:pPr>
        <w:sectPr>
          <w:pgSz w:w="11900" w:h="16838" w:orient="portrait"/>
          <w:cols w:equalWidth="0" w:num="2">
            <w:col w:w="8640" w:space="200"/>
            <w:col w:w="2380"/>
          </w:cols>
          <w:pgMar w:left="320" w:top="981"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New Equity Awards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February 25, 2026, upon the recommendation of the Compensation Committee, the Company’s Board of Directors approved equity awards for the Company’s executive officers as part of its review of annual compensation. The equity awards consist of Restricted Stock Units and Nonqualified Stock Options, as each such term is defined in the First Advantage 2021 Omnibus Incentive Plan, to be granted on March 2, 2026 (the “Grant Date”), as set forth below. The number of Restricted Stock Units to be granted will equal the amount set forth in the table below, divided by the average closing price of First Advantage Common Stock on the twenty days preceding the Grant Date (rounded up to the nearest whole unit), pursuant to the form of Restricted Stock Unit Agreement, substantially in the form attached as Exhibit 10.8 to this report (Form of Restricted Stock Unit Award Grant Notice and Agreement), The number of Nonqualified Stock Options to be granted will equal the amount set forth in the table below divided by the fair market value of one Nonqualified Stock Option on the Grant Date determined using a Black-Scholes valuation (rounded up to the nearest whole option) and a per share exercise price equal to the closing price, as reported on NASDAQ, of a share of First Advantage Common Stock on the Grant Date, pursuant to a form of Option Agreement, substantially in the form attached as Exhibit 10.5 to this report (Form of Standard Option Award Grant Notice and Agreement). Each of the foregoing awards shall vest 25% per year in equal installments, on each of the first four anniversaries of the Vesting Reference Date (shown in the table below), subject to each executive officer’s continued employment through each applicable vesting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3"/>
                <w:szCs w:val="13"/>
                <w:color w:val="auto"/>
              </w:rPr>
            </w:pPr>
          </w:p>
        </w:tc>
        <w:tc>
          <w:tcPr>
            <w:tcW w:w="160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49"/>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 Name</w:t>
            </w:r>
          </w:p>
        </w:tc>
        <w:tc>
          <w:tcPr>
            <w:tcW w:w="100" w:type="dxa"/>
            <w:vAlign w:val="bottom"/>
          </w:tcPr>
          <w:p>
            <w:pPr>
              <w:spacing w:after="0"/>
              <w:rPr>
                <w:sz w:val="12"/>
                <w:szCs w:val="12"/>
                <w:color w:val="auto"/>
              </w:rPr>
            </w:pPr>
          </w:p>
        </w:tc>
        <w:tc>
          <w:tcPr>
            <w:tcW w:w="30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Stock</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Reference Date</w:t>
            </w: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Staples</w:t>
            </w:r>
          </w:p>
        </w:tc>
        <w:tc>
          <w:tcPr>
            <w:tcW w:w="1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3,000,000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3/2/2026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Steven Marks</w:t>
            </w:r>
          </w:p>
        </w:tc>
        <w:tc>
          <w:tcPr>
            <w:tcW w:w="1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1,200,000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3/2/2026</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Nairne</w:t>
            </w:r>
          </w:p>
        </w:tc>
        <w:tc>
          <w:tcPr>
            <w:tcW w:w="1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Chief Operating Officer</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1,200,000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3/2/2026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Joelle M. Smith</w:t>
            </w:r>
          </w:p>
        </w:tc>
        <w:tc>
          <w:tcPr>
            <w:tcW w:w="1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1,800,000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3/2/2026</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Bret T. Jardine</w:t>
            </w:r>
          </w:p>
        </w:tc>
        <w:tc>
          <w:tcPr>
            <w:tcW w:w="1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300,000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committed to promoting high standards of ethical business conduct and compliance with applicable laws, rules and regulations. As part of this commitment, we have adopted a written Global Code of Conduct and Ethics that applies to all of our directors, officers, and employees, including our principal executive officer, principal financial officer and principal accounting officer. Our Global Code of Conduct and Ethics is posted under the “Governance” section on our website, https://investors.fadv.com/. Our Global Code of Conduct and Ethics contains our “code of ethics,” as defined in Item 406(b) of Regulation S-K. We will make any legally required disclosures regarding amendments to, or waivers of, provisions of our code of ethics on our website.</w:t>
      </w:r>
    </w:p>
    <w:p>
      <w:pPr>
        <w:spacing w:after="0" w:line="13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66" w:name="page67"/>
    <w:bookmarkEnd w:id="6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Our consolidated financial statements are included in this Annual Report beginning on page F-1.</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75" w:lineRule="exact"/>
        <w:rPr>
          <w:sz w:val="20"/>
          <w:szCs w:val="20"/>
          <w:color w:val="auto"/>
        </w:rPr>
      </w:pPr>
    </w:p>
    <w:p>
      <w:pPr>
        <w:ind w:left="118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or are incorporated herein by reference, in each case as indicated below.</w:t>
      </w:r>
    </w:p>
    <w:p>
      <w:pPr>
        <w:spacing w:after="0" w:line="3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43" w:right="5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60" w:type="dxa"/>
            <w:vAlign w:val="bottom"/>
            <w:gridSpan w:val="21"/>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20"/>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4"/>
                <w:szCs w:val="14"/>
                <w:color w:val="auto"/>
              </w:rPr>
            </w:pPr>
          </w:p>
        </w:tc>
        <w:tc>
          <w:tcPr>
            <w:tcW w:w="96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Agreement and Plan of Merger, dated as of February 28, 2024, by and among First Advantage Corporation, Sterling Check Corp. and</w:t>
              </w:r>
            </w:hyperlink>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Starter Merger Sub, Inc. (incorporated herein by reference to Exhibit 2.1 of First Advantage’s Form 8-K filed on March 1,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Waiver of Brazil Antitrust Filing Obligation and Closing Condition, dated as of March 25, 2024, related to the Agreement and Plan of</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Merger, dated as of February 28, 2024, by and among First Advantage Corporation, Sterling Check Corp. and Starter Merger Sub, Inc.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(incorporated herein by reference to Exhibit 2.2 of First Advantage’s Form 10-Q filed on May 9,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Certificate of Incorporation of First Advantage Corporation (incorporated by reference to Exhibit 3.1 of First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Advantage’s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Bylaws of First Advantage Corporation (incorporated by reference to Exhibit 3.2 of First Advantage’s Form 8-</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Exhibit 4.1 to First Advantage’s Annual Report on Form 10-K filed on March 23,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First Advantage Corporation 2021 Employee Stock Purchase Plan (incorporated by reference to Exhibit 10.3 of First Advantage’s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Current Report on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First Advantage Corporation 2021 Omnibus Incentive Plan (incorporated by reference to Exhibit 10.2 of First Advantage’s Quarterly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Report on Form 10-Q filed on August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First Advantage Corporation 2021 Omnibus Incentive Plan (incorporated by reference to Exhibit 10.1 to First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Advantage’s Quarterly Report on Form 10-Q filed on August 9,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Standard Option Award Agreement under the First Advantage Corporation 2021 Omnibus Incentive Program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 reference to Exhibit 4.5 to First Advantage’s Registration Statement on Form S-8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Standard Option Award Grant Notice and Agreement under the First Advantage Corporation 2021 Omnibus Incentive Plan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10.3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Non-Employee Director Restricted Stock Unit Initial Award Grant Notice and Agreement under the First Advantage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Corporation 2021 Omnibus Incentive Plan (incorporated by reference to Exhibit 10.1 to First Advantage’s Quarterly Report on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tcBorders>
              <w:left w:val="single" w:sz="8" w:color="0000EE"/>
            </w:tcBorders>
            <w:gridSpan w:val="4"/>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Non-Employee Director Restricted Stock Unit Annual Award Grant Notice and Agreement under the First Advantage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Corporation 2021 Omnibus Incentive Plan (incorporated by reference to Exhibit 10.2 to First Advantage’s Quarterly Report on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Stock Unit Award Grant Notice and Agreement under the First Advantage Corporation 2021 Omnibus Incentive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Plan (incorporated by reference to Exhibit 10.4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Award Agreement under the First Advantage Corporation 2021 Omnibus Incentive Plan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reference to Exhibit 10.6 to First Advantage’s Quarterly Report on Form 10-Q filed on August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Top-Up Option Award Agreement under the First Advantage Corporation 2021 Omnibus Incentive Plan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right w:val="single" w:sz="8" w:color="0000FF"/>
            </w:tcBorders>
            <w:gridSpan w:val="5"/>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reference to Exhibit 10.7 to First Advantage’s Quarterly Report on Form 10-Q filed on August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Restrictive Covenant Agreement under the First Advantage Corporation 2021 Omnibus Incentive Plan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right w:val="single" w:sz="8" w:color="0000FF"/>
            </w:tcBorders>
            <w:gridSpan w:val="5"/>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reference to Exhibit 10.7 to First Advantage’s Registration Statement on Form S-1 filed on June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right w:val="single" w:sz="8" w:color="0000EE"/>
            </w:tcBorders>
            <w:gridSpan w:val="5"/>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Restrictive Covenant Agreement for Named Executive Officers (incorporated by reference to Exhibit 10.3 to First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5"/>
            <w:shd w:val="clear" w:color="auto" w:fill="0000FF"/>
          </w:tcPr>
          <w:p>
            <w:pPr>
              <w:spacing w:after="0" w:line="20" w:lineRule="exact"/>
              <w:rPr>
                <w:sz w:val="1"/>
                <w:szCs w:val="1"/>
                <w:color w:val="auto"/>
              </w:rPr>
            </w:pPr>
          </w:p>
        </w:tc>
        <w:tc>
          <w:tcPr>
            <w:tcW w:w="3860" w:type="dxa"/>
            <w:vAlign w:val="bottom"/>
            <w:gridSpan w:val="8"/>
            <w:shd w:val="clear" w:color="auto" w:fill="0000FF"/>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Advantage’s Quarterly Report on Form 10-Q filed on May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4640" w:type="dxa"/>
            <w:vAlign w:val="bottom"/>
            <w:gridSpan w:val="1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 †</w:t>
            </w: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Option Conversion Notice (incorporated by reference to Exhibit 4.12 to First Advantage’s Registration Statement on Form 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760" w:type="dxa"/>
            <w:vAlign w:val="bottom"/>
            <w:gridSpan w:val="2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5"/>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8 filed on June 25, 2021).</w:t>
              </w:r>
            </w:hyperlink>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Borders>
              <w:top w:val="single" w:sz="8" w:color="0000FF"/>
            </w:tcBorders>
          </w:tcPr>
          <w:p>
            <w:pPr>
              <w:spacing w:after="0"/>
              <w:rPr>
                <w:sz w:val="20"/>
                <w:szCs w:val="20"/>
                <w:color w:val="auto"/>
              </w:rPr>
            </w:pPr>
          </w:p>
        </w:tc>
        <w:tc>
          <w:tcPr>
            <w:tcW w:w="3120" w:type="dxa"/>
            <w:vAlign w:val="bottom"/>
            <w:gridSpan w:val="5"/>
          </w:tcPr>
          <w:p>
            <w:pPr>
              <w:jc w:val="right"/>
              <w:ind w:right="708"/>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60" w:type="dxa"/>
            <w:vAlign w:val="bottom"/>
            <w:gridSpan w:val="18"/>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6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10.14 †</w:t>
            </w:r>
          </w:p>
        </w:tc>
        <w:tc>
          <w:tcPr>
            <w:tcW w:w="260" w:type="dxa"/>
            <w:vAlign w:val="bottom"/>
          </w:tcPr>
          <w:p>
            <w:pPr>
              <w:spacing w:after="0"/>
              <w:rPr>
                <w:sz w:val="14"/>
                <w:szCs w:val="14"/>
                <w:color w:val="auto"/>
              </w:rPr>
            </w:pPr>
          </w:p>
        </w:tc>
        <w:tc>
          <w:tcPr>
            <w:tcW w:w="93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Notice re Amendment to Performance Award Vesting for previously issued grants, dated May 10, 2023 (incorporated by</w:t>
              </w:r>
            </w:hyperlink>
          </w:p>
        </w:tc>
        <w:tc>
          <w:tcPr>
            <w:tcW w:w="3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10.2 to First Advantage’s Quarterly Report on Form 10-Q filed on August 9,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Employment Offer Letter, dated March 1, 2017, between First Advantage Corporation and Scott Staples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10.3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Employment Offer Letter, dated August 14, 2015, between First Advantage Corporation and Joseph Jaeger (incorporated by reference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Exhibit 10.4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Employment Offer Letter, dated May 19, 2016, between First Advantage Corporation and Joseph Jaeger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by reference to Exhibit 10.5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Employment Offer Letter, dated December 17, 2015, between First Advantage Corporation and David L. Gamsey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10.6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Employment Offer Letter, dated March 30, 2011, between STG-Fairway Holdings, Inc. (a predecessor to First Advantage Corporation)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and Bret Jardine (incorporated by reference to Exhibit 10.1 to First Advantage’s Quarterly Report on Form 10-Q filed on May 10,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20" w:type="dxa"/>
            <w:vAlign w:val="bottom"/>
            <w:gridSpan w:val="2"/>
          </w:tcPr>
          <w:p>
            <w:pPr>
              <w:ind w:left="240"/>
              <w:spacing w:after="0" w:line="19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2023).</w:t>
              </w:r>
            </w:hyperlink>
          </w:p>
        </w:tc>
        <w:tc>
          <w:tcPr>
            <w:tcW w:w="1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Employment Offer Letter, dated May 31, 2017, between First Advantage Corporation and Joelle Smith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Exhibit 10.2 to First Advantage’s Quarterly Report on Form 10-Q filed on May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Class C LP Unit Grant Agreement, dated February 9, 2020, between Fastball Holdco, L.P. and Scott Staples (incorporated by reference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to Exhibit 10.7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EE"/>
            </w:tcBorders>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Class C LP Unit Grant Agreement, dated February 9, 2020, between Fastball Holdco, L.P. and Joseph Jaeger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10.8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Class C LP Unit Grant Agreement, dated February 9, 2020, between Fastball Holdco, L.P. and David L. Gamsey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10.9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 †</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Option Grant Agreement (Class B LP Units), dated February 9, 2020, among Fastball Holdco, L.P., Bret Jardine and First Advantage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Background Services Corp (incorporated by reference to Exhibit 10.16 to First Advantage’s Registration Statement on Form S-1/A</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filed on June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Retirement Agreement, dated as of August 7, 2024, between David L. Gamsey and First Advantage Corporation (incorporated herein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by reference to Exhibit 10.1 of First Advantage’s Form 8-K filed on August 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Retirement Agreement, dated as of September 3, 2024, between Joseph Jaeger and First Advantage Corporation (incorporated herein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by reference to Exhibit 10.1 of First Advantage’s Form 8-K filed on September 3,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Letter Agreement, dated August 6, 2025, between First Advantage Corporation and Steven Marks (incorporated herein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5"/>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10.1 of First Advantage Corporation’s Form 10-Q filed on August 7,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to Employment Agreement, dated August 6, 2025, between First Advantage Limited, First Advantage Corporation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Douglas Nairne (incorporated herein by reference to Exhibit 10.2 of First Advantage Corporation’s Form 10-Q filed on August 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20" w:type="dxa"/>
            <w:vAlign w:val="bottom"/>
            <w:gridSpan w:val="2"/>
          </w:tcPr>
          <w:p>
            <w:pPr>
              <w:ind w:left="240"/>
              <w:spacing w:after="0" w:line="196" w:lineRule="exact"/>
              <w:rPr>
                <w:rFonts w:ascii="Times New Roman" w:cs="Times New Roman" w:eastAsia="Times New Roman" w:hAnsi="Times New Roman"/>
                <w:sz w:val="18"/>
                <w:szCs w:val="18"/>
                <w:color w:val="0000FF"/>
                <w:w w:val="94"/>
              </w:rPr>
            </w:pPr>
            <w:hyperlink r:id="rId152">
              <w:r>
                <w:rPr>
                  <w:rFonts w:ascii="Times New Roman" w:cs="Times New Roman" w:eastAsia="Times New Roman" w:hAnsi="Times New Roman"/>
                  <w:sz w:val="18"/>
                  <w:szCs w:val="18"/>
                  <w:color w:val="0000FF"/>
                  <w:w w:val="94"/>
                </w:rPr>
                <w:t>2025).</w:t>
              </w:r>
            </w:hyperlink>
          </w:p>
        </w:tc>
        <w:tc>
          <w:tcPr>
            <w:tcW w:w="1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Advantage Corporation Non-Employee Director Compensation Policy, as amended on August 6, 2025 (incorporated herein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reference to Exhibit 10.3 of First Advantage Corporation’s Form 10-Q filed on August 7,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Lien Credit Agreement, dated January 31, 2020, among Fastball Parent, Inc., Fastball MergerSub, LLC the lenders from time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time party thereto, and Bank of America, N.A., as administrative agent (incorporated by reference to Exhibit 10.10 to First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1920" w:type="dxa"/>
            <w:vAlign w:val="bottom"/>
            <w:tcBorders>
              <w:left w:val="single" w:sz="8" w:color="0000FF"/>
            </w:tcBorders>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30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1 to First Lien Credit Agreement, dated February 1, 2021, among Fastball Parent, Inc., First Advantage Holdings,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20" w:type="dxa"/>
            <w:vAlign w:val="bottom"/>
            <w:tcBorders>
              <w:right w:val="single" w:sz="8" w:color="0000FF"/>
            </w:tcBorders>
            <w:gridSpan w:val="9"/>
            <w:shd w:val="clear" w:color="auto" w:fill="0000FF"/>
          </w:tcPr>
          <w:p>
            <w:pPr>
              <w:spacing w:after="0" w:line="20" w:lineRule="exact"/>
              <w:rPr>
                <w:sz w:val="1"/>
                <w:szCs w:val="1"/>
                <w:color w:val="auto"/>
              </w:rPr>
            </w:pPr>
          </w:p>
        </w:tc>
        <w:tc>
          <w:tcPr>
            <w:tcW w:w="252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LLC, the lenders from time to time party thereto, and Bank of America, N.A., as administrative agent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20" w:type="dxa"/>
            <w:vAlign w:val="bottom"/>
            <w:tcBorders>
              <w:right w:val="single" w:sz="8" w:color="0000FF"/>
            </w:tcBorders>
            <w:gridSpan w:val="9"/>
            <w:shd w:val="clear" w:color="auto" w:fill="0000FF"/>
          </w:tcPr>
          <w:p>
            <w:pPr>
              <w:spacing w:after="0" w:line="20" w:lineRule="exact"/>
              <w:rPr>
                <w:sz w:val="1"/>
                <w:szCs w:val="1"/>
                <w:color w:val="auto"/>
              </w:rPr>
            </w:pPr>
          </w:p>
        </w:tc>
        <w:tc>
          <w:tcPr>
            <w:tcW w:w="252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10.11 to First Advantage’s Registration Statement on Form S-1 filed on May 28, 2021).</w:t>
              </w:r>
            </w:hyperlink>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00" w:type="dxa"/>
            <w:vAlign w:val="bottom"/>
            <w:tcBorders>
              <w:top w:val="single" w:sz="8" w:color="0000FF"/>
            </w:tcBorders>
            <w:gridSpan w:val="3"/>
          </w:tcPr>
          <w:p>
            <w:pPr>
              <w:jc w:val="right"/>
              <w:ind w:right="1008"/>
              <w:spacing w:after="0"/>
              <w:rPr>
                <w:sz w:val="20"/>
                <w:szCs w:val="20"/>
                <w:color w:val="auto"/>
              </w:rPr>
            </w:pPr>
            <w:r>
              <w:rPr>
                <w:rFonts w:ascii="Times New Roman" w:cs="Times New Roman" w:eastAsia="Times New Roman" w:hAnsi="Times New Roman"/>
                <w:sz w:val="18"/>
                <w:szCs w:val="18"/>
                <w:color w:val="auto"/>
              </w:rPr>
              <w:t>69</w:t>
            </w:r>
          </w:p>
        </w:tc>
        <w:tc>
          <w:tcPr>
            <w:tcW w:w="7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6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260" w:type="dxa"/>
            <w:vAlign w:val="bottom"/>
          </w:tcPr>
          <w:p>
            <w:pPr>
              <w:spacing w:after="0"/>
              <w:rPr>
                <w:sz w:val="24"/>
                <w:szCs w:val="24"/>
                <w:color w:val="auto"/>
              </w:rPr>
            </w:pPr>
          </w:p>
        </w:tc>
        <w:tc>
          <w:tcPr>
            <w:tcW w:w="9740" w:type="dxa"/>
            <w:vAlign w:val="bottom"/>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2 to First Lien Credit Agreement, dated May 28, 2021, among Fastball Parent, Inc., First Advantage Holdings, LLC,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lenders form time to time party thereto, and Bank of America, N.A. as administrative agent (incorporated by reference to Exhibit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filed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No. 3 to First Lien Credit Agreement, dated as of June 23, 2023, among First Advantage Holdings, LLC, the revolving</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lenders party thereto, and Bank of America, N.A. as administrative agent (incorporated by reference to Exhibit 10.3 to First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Advantage’s Quarterly Report on Form 10-Q filed on August 9,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4 to the First Lien Credit Agreement, among Fastball Parent, Inc., First Advantage Holdings, LLC, each lender from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time to time party thereto, Bank of America, N.A., as Administrative Agent and Collateral Agent and the Issuing Banks party thereto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from time to time, dated October 31, 2024 (incorporated by reference to Exhibit 10.2 to First Advantage’s Form 8-K filed on October</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 w:type="dxa"/>
            <w:vAlign w:val="bottom"/>
            <w:gridSpan w:val="2"/>
          </w:tcPr>
          <w:p>
            <w:pPr>
              <w:ind w:left="240"/>
              <w:spacing w:after="0" w:line="196"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31, 2024).</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5 to the First Lien Credit Agreement, among Fastball Parent, Inc., First Advantage Holdings, LLC, each lender from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time to time party thereto, Bank of America, N.A., as Administrative Agent and Collateral Agent and the issuing banks party thereto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from time to time, dated July 30, 2025 (incorporated herein by reference to Exhibit 10.1 of First Advantage Corporation’s Form 8-K</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filed on August 4,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Indemnification Agreement (for directors) (incorporated by reference to Exhibit 10.34 to First Advantage’s Annual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10-K filed on February 29,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Stockholders’ Agreement, dated as of February 28, 2024, by and among First Advantage Corporation, SLP</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Fastball Aggregator, L.P. and certain stockholders of First Advantage Corporation party thereto (incorporated herein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Exhibit 10.3 of First Advantage’s Form 8-K filed on March 1,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First Advantage Corporation Securities Trading Policy.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200" w:type="dxa"/>
            <w:vAlign w:val="bottom"/>
            <w:gridSpan w:val="8"/>
            <w:shd w:val="clear" w:color="auto" w:fill="0000FF"/>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First Advantage Corporation Incentive Compensation Clawback Policy (incorporated by reference to Exhibit 97.1 to First Advantage’s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gridSpan w:val="8"/>
            <w:shd w:val="clear" w:color="auto" w:fill="0000FF"/>
          </w:tcPr>
          <w:p>
            <w:pPr>
              <w:spacing w:after="0" w:line="20" w:lineRule="exact"/>
              <w:rPr>
                <w:sz w:val="1"/>
                <w:szCs w:val="1"/>
                <w:color w:val="auto"/>
              </w:rPr>
            </w:pPr>
          </w:p>
        </w:tc>
        <w:tc>
          <w:tcPr>
            <w:tcW w:w="552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19"/>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Annual Report on Form 10-K filed on February 29,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200" w:type="dxa"/>
            <w:vAlign w:val="bottom"/>
            <w:gridSpan w:val="8"/>
            <w:shd w:val="clear" w:color="auto" w:fill="0000FF"/>
          </w:tcPr>
          <w:p>
            <w:pPr>
              <w:spacing w:after="0" w:line="20" w:lineRule="exact"/>
              <w:rPr>
                <w:sz w:val="1"/>
                <w:szCs w:val="1"/>
                <w:color w:val="auto"/>
              </w:rPr>
            </w:pPr>
          </w:p>
        </w:tc>
        <w:tc>
          <w:tcPr>
            <w:tcW w:w="5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5"/>
        </w:trPr>
        <w:tc>
          <w:tcPr>
            <w:tcW w:w="1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Compensatory arrangements for director(s) and/or executive officer(s).</w:t>
      </w:r>
    </w:p>
    <w:p>
      <w:pPr>
        <w:spacing w:after="0" w:line="225" w:lineRule="exact"/>
        <w:rPr>
          <w:sz w:val="20"/>
          <w:szCs w:val="20"/>
          <w:color w:val="auto"/>
        </w:rPr>
      </w:pPr>
    </w:p>
    <w:p>
      <w:pPr>
        <w:ind w:right="1540"/>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70" w:name="page71"/>
    <w:bookmarkEnd w:id="7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225" w:lineRule="exact"/>
        <w:rPr>
          <w:sz w:val="20"/>
          <w:szCs w:val="20"/>
          <w:color w:val="auto"/>
        </w:rPr>
      </w:pPr>
    </w:p>
    <w:p>
      <w:pPr>
        <w:spacing w:after="0"/>
        <w:tabs>
          <w:tab w:leader="none" w:pos="5400" w:val="left"/>
          <w:tab w:leader="none" w:pos="802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34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981" w:right="43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Staples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Scott Staples</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Marks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&amp; Chief Financial Officer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Marks</w:t>
            </w:r>
          </w:p>
        </w:tc>
        <w:tc>
          <w:tcPr>
            <w:tcW w:w="1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Osnoss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Osnoss</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R. Bell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Susan R. Bell</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L. Clark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James L. Clark</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Bridgett R. Price</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Bridgett R. Price</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Rudella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Rudella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Judith Sim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Judith Sim</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19685</wp:posOffset>
            </wp:positionV>
            <wp:extent cx="1543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465" w:lineRule="exact"/>
        <w:rPr>
          <w:sz w:val="20"/>
          <w:szCs w:val="20"/>
          <w:color w:val="auto"/>
        </w:rPr>
      </w:pPr>
    </w:p>
    <w:p>
      <w:pPr>
        <w:sectPr>
          <w:pgSz w:w="11900" w:h="16838" w:orient="portrait"/>
          <w:cols w:equalWidth="0" w:num="2">
            <w:col w:w="8700" w:space="660"/>
            <w:col w:w="1780"/>
          </w:cols>
          <w:pgMar w:left="320" w:top="981" w:right="4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0"/>
                <w:szCs w:val="20"/>
                <w:color w:val="auto"/>
              </w:rPr>
            </w:pPr>
          </w:p>
        </w:tc>
      </w:tr>
      <w:tr>
        <w:trPr>
          <w:trHeight w:val="432"/>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34)</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100" w:type="dxa"/>
            <w:vAlign w:val="bottom"/>
            <w:tcBorders>
              <w:top w:val="single" w:sz="8" w:color="0000EE"/>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40" w:type="dxa"/>
            <w:vAlign w:val="bottom"/>
            <w:tcBorders>
              <w:top w:val="single" w:sz="8" w:color="0000EE"/>
              <w:bottom w:val="single" w:sz="8" w:color="0000EE"/>
            </w:tcBorders>
          </w:tcPr>
          <w:p>
            <w:pPr>
              <w:spacing w:after="0"/>
              <w:rPr>
                <w:sz w:val="17"/>
                <w:szCs w:val="17"/>
                <w:color w:val="auto"/>
              </w:rPr>
            </w:pPr>
          </w:p>
        </w:tc>
        <w:tc>
          <w:tcPr>
            <w:tcW w:w="2200" w:type="dxa"/>
            <w:vAlign w:val="bottom"/>
            <w:tcBorders>
              <w:top w:val="single" w:sz="8" w:color="0000EE"/>
            </w:tcBorders>
            <w:gridSpan w:val="4"/>
          </w:tcPr>
          <w:p>
            <w:pPr>
              <w:spacing w:after="0"/>
              <w:rPr>
                <w:sz w:val="17"/>
                <w:szCs w:val="17"/>
                <w:color w:val="auto"/>
              </w:rPr>
            </w:pPr>
          </w:p>
        </w:tc>
        <w:tc>
          <w:tcPr>
            <w:tcW w:w="5140" w:type="dxa"/>
            <w:vAlign w:val="bottom"/>
            <w:gridSpan w:val="3"/>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Income</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top w:val="single" w:sz="8" w:color="0000FF"/>
              <w:bottom w:val="single" w:sz="8" w:color="0000EE"/>
            </w:tcBorders>
          </w:tcPr>
          <w:p>
            <w:pPr>
              <w:spacing w:after="0"/>
              <w:rPr>
                <w:sz w:val="17"/>
                <w:szCs w:val="17"/>
                <w:color w:val="auto"/>
              </w:rPr>
            </w:pPr>
          </w:p>
        </w:tc>
        <w:tc>
          <w:tcPr>
            <w:tcW w:w="2460" w:type="dxa"/>
            <w:vAlign w:val="bottom"/>
            <w:tcBorders>
              <w:top w:val="single" w:sz="8" w:color="0000FF"/>
            </w:tcBorders>
            <w:gridSpan w:val="4"/>
          </w:tcPr>
          <w:p>
            <w:pPr>
              <w:spacing w:after="0"/>
              <w:rPr>
                <w:sz w:val="17"/>
                <w:szCs w:val="17"/>
                <w:color w:val="auto"/>
              </w:rPr>
            </w:pPr>
          </w:p>
        </w:tc>
        <w:tc>
          <w:tcPr>
            <w:tcW w:w="4100" w:type="dxa"/>
            <w:vAlign w:val="bottom"/>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4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5020" w:type="dxa"/>
            <w:vAlign w:val="bottom"/>
            <w:gridSpan w:val="2"/>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453"/>
        </w:trPr>
        <w:tc>
          <w:tcPr>
            <w:tcW w:w="2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jc w:val="center"/>
              <w:ind w:right="353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right="3360" w:firstLine="3362"/>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First Advantage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First Advantage Corporation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cs="Times New Roman" w:eastAsia="Times New Roman" w:hAnsi="Times New Roman"/>
          <w:sz w:val="18"/>
          <w:szCs w:val="18"/>
          <w:color w:val="FF0000"/>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right="3360" w:firstLine="3362"/>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First Advantage Corporation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Advantage Corporation and subsidiaries (the “Company”) as of December 31, 2025 and 2024, the related consolidated statements of operations and comprehensive income, cash flows, and changes in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3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2026,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 </w:t>
      </w:r>
      <w:r>
        <w:rPr>
          <w:rFonts w:ascii="Times New Roman" w:cs="Times New Roman" w:eastAsia="Times New Roman" w:hAnsi="Times New Roman"/>
          <w:sz w:val="18"/>
          <w:szCs w:val="18"/>
          <w:b w:val="1"/>
          <w:bCs w:val="1"/>
          <w:i w:val="1"/>
          <w:iCs w:val="1"/>
          <w:color w:val="auto"/>
        </w:rPr>
        <w:t>Refer to Notes 2 and 9 to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majority of the Company’s revenues are derived from pre-onboarding background screening and related services provided to the Company’s customers on a transactional basis, in which an individual background screening package or selection of services is ordered by a customer related to a single individual. The Company’s revenues are mostly comprised of a significant volume of low-dollar services fulfilled by multiple highly automated, proprietary systems and applications. The processing of transactions and recording of revenue is based on contractual terms with the Company’s customers.</w:t>
      </w:r>
    </w:p>
    <w:p>
      <w:pPr>
        <w:spacing w:after="0" w:line="12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 Company’s systems to process and record revenue are highly automated. This required an increased extent of effort including the need for us to involve professionals with expertise in information technology (“IT”) to identify, test, and evaluate the Company’s systems, software applications, and automated controls.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audit procedures related to the Company’s systems to process revenue transactions included the following, among others:</w:t>
      </w:r>
    </w:p>
    <w:p>
      <w:pPr>
        <w:spacing w:after="0" w:line="117" w:lineRule="exact"/>
        <w:rPr>
          <w:sz w:val="20"/>
          <w:szCs w:val="20"/>
          <w:color w:val="auto"/>
        </w:rPr>
      </w:pPr>
    </w:p>
    <w:p>
      <w:pPr>
        <w:ind w:left="300"/>
        <w:spacing w:after="0"/>
        <w:tabs>
          <w:tab w:leader="none" w:pos="500" w:val="left"/>
        </w:tabs>
        <w:rPr>
          <w:sz w:val="20"/>
          <w:szCs w:val="20"/>
          <w:color w:val="auto"/>
        </w:rPr>
      </w:pPr>
      <w:r>
        <w:rPr>
          <w:rFonts w:ascii="Times New Roman" w:cs="Times New Roman" w:eastAsia="Times New Roman" w:hAnsi="Times New Roman"/>
          <w:sz w:val="18"/>
          <w:szCs w:val="18"/>
          <w:color w:val="auto"/>
        </w:rPr>
        <w:t>•</w:t>
        <w:tab/>
        <w:t>With the assistance of our IT specialists, we:</w:t>
      </w:r>
    </w:p>
    <w:p>
      <w:pPr>
        <w:spacing w:after="0" w:line="117" w:lineRule="exact"/>
        <w:rPr>
          <w:sz w:val="20"/>
          <w:szCs w:val="20"/>
          <w:color w:val="auto"/>
        </w:rPr>
      </w:pPr>
    </w:p>
    <w:p>
      <w:pPr>
        <w:ind w:left="1020" w:hanging="219"/>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spacing w:after="0" w:line="53" w:lineRule="exact"/>
        <w:rPr>
          <w:rFonts w:ascii="Times New Roman" w:cs="Times New Roman" w:eastAsia="Times New Roman" w:hAnsi="Times New Roman"/>
          <w:sz w:val="18"/>
          <w:szCs w:val="18"/>
          <w:color w:val="auto"/>
        </w:rPr>
      </w:pPr>
    </w:p>
    <w:p>
      <w:pPr>
        <w:ind w:left="1020" w:right="200" w:hanging="219"/>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testing of monitoring controls, system interface controls, automated controls, and data monitoring controls within the relevant revenue streams.</w:t>
      </w:r>
    </w:p>
    <w:p>
      <w:pPr>
        <w:spacing w:after="0" w:line="53" w:lineRule="exact"/>
        <w:rPr>
          <w:rFonts w:ascii="Times New Roman" w:cs="Times New Roman" w:eastAsia="Times New Roman" w:hAnsi="Times New Roman"/>
          <w:sz w:val="18"/>
          <w:szCs w:val="18"/>
          <w:color w:val="auto"/>
        </w:rPr>
      </w:pPr>
    </w:p>
    <w:p>
      <w:pPr>
        <w:ind w:left="1020" w:right="140" w:hanging="219"/>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internal controls within the relevant revenue business processes, including those in place to reconcile the information from various systems to the Company’s general ledger.</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expectations of revenue and compared them to the recorded balance.</w:t>
      </w:r>
    </w:p>
    <w:p>
      <w:pPr>
        <w:spacing w:after="0" w:line="117" w:lineRule="exact"/>
        <w:rPr>
          <w:rFonts w:ascii="Times New Roman" w:cs="Times New Roman" w:eastAsia="Times New Roman" w:hAnsi="Times New Roman"/>
          <w:sz w:val="18"/>
          <w:szCs w:val="18"/>
          <w:color w:val="auto"/>
        </w:rPr>
      </w:pPr>
    </w:p>
    <w:p>
      <w:pPr>
        <w:ind w:left="740" w:right="440" w:hanging="223"/>
        <w:spacing w:after="0" w:line="282"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revenue transactions, we agreed the recorded amounts to source documents and tested the mathematical accuracy of the recorded revenue.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5" w:right="499" w:bottom="1440" w:gutter="0" w:footer="0" w:header="0"/>
        </w:sectPr>
      </w:pPr>
    </w:p>
    <w:bookmarkStart w:id="75" w:name="page76"/>
    <w:bookmarkEnd w:id="75"/>
    <w:p>
      <w:pPr>
        <w:ind w:left="45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239,998</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168,688</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$8,084 and $3,832 at December 31,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297,281</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266,800</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31,041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9,010</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8,669</w:t>
            </w:r>
          </w:p>
        </w:tc>
        <w:tc>
          <w:tcPr>
            <w:tcW w:w="0" w:type="dxa"/>
            <w:vAlign w:val="bottom"/>
          </w:tcPr>
          <w:p>
            <w:pPr>
              <w:spacing w:after="0"/>
              <w:rPr>
                <w:sz w:val="1"/>
                <w:szCs w:val="1"/>
                <w:color w:val="auto"/>
              </w:rPr>
            </w:pPr>
          </w:p>
        </w:tc>
      </w:tr>
      <w:tr>
        <w:trPr>
          <w:trHeight w:val="209"/>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561,698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475,993</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250,865</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307,539</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2,143,604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2,124,528</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857,111</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987,948</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 net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16,341</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21,203</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3,833,802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3,922,893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109,888</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120,872</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60,537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52,805</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49,140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44,700</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10"/>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230,459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250,688</w:t>
            </w:r>
          </w:p>
        </w:tc>
        <w:tc>
          <w:tcPr>
            <w:tcW w:w="0" w:type="dxa"/>
            <w:vAlign w:val="bottom"/>
          </w:tcPr>
          <w:p>
            <w:pPr>
              <w:spacing w:after="0"/>
              <w:rPr>
                <w:sz w:val="1"/>
                <w:szCs w:val="1"/>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Long-term debt (net of deferred financing costs of $34,498 and $41,861 at December 31, 2025 and</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2,080,039</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2,121,289</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190,255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222,738</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9,149</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13,972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11,990</w:t>
            </w: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2,520,250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2,615,854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$0.001 par value; 1,000,000,000 shares authorized, 174,190,461 and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173,171,145 shares issued and outstanding as of December 31, 2025 and 2024, respectively</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1,528,315</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1,504,007</w:t>
            </w: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(159,808)</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0" w:type="dxa"/>
            <w:vAlign w:val="bottom"/>
          </w:tcPr>
          <w:p>
            <w:pPr>
              <w:spacing w:after="0"/>
              <w:rPr>
                <w:sz w:val="1"/>
                <w:szCs w:val="1"/>
                <w:color w:val="auto"/>
              </w:rPr>
            </w:pPr>
          </w:p>
        </w:tc>
      </w:tr>
      <w:tr>
        <w:trPr>
          <w:trHeight w:val="210"/>
        </w:trPr>
        <w:tc>
          <w:tcPr>
            <w:tcW w:w="7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1,313,552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1,307,039</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3,833,802</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3,922,893</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-4491355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-3659505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-2253615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-316865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1,574,389</w:t>
            </w: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860,205</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3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855,306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448,911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386,777</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101,853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63,817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49,263</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236,179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263,942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116,732</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248,583</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145,919</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r>
        <w:trPr>
          <w:trHeight w:val="209"/>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1,441,921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922,589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682,245</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132,468</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81,516</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168,667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51,848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169,719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52,231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48,476</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5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173,199,004</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144,083,808</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8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173,199,004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-2728595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-2728595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-2437130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-2437130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-1879600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-1305560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-1288415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-1305560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-1288415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-1005205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-1005205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2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4"/>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44"/>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income</w:t>
            </w: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(34,824)</w:t>
            </w:r>
          </w:p>
        </w:tc>
        <w:tc>
          <w:tcPr>
            <w:tcW w:w="480" w:type="dxa"/>
            <w:vAlign w:val="bottom"/>
            <w:gridSpan w:val="2"/>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(110,273)</w:t>
            </w:r>
          </w:p>
        </w:tc>
        <w:tc>
          <w:tcPr>
            <w:tcW w:w="50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37,293</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248,583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145,919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129,473</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extinguishment of debt</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1,052</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383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6,311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2,619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1,807</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Bad debt expense (recovery)</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705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(31,011)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(31,418)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(19,497)</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24,456</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31,762</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15,265</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foreign currency exchange rates</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(gain) on disposal and impairment of long-lived assets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2,155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1,608</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Change in fair value of interest rate swaps</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4,842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(10,511)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(29,672)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20,775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2,339</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12,396</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13,440</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(25,450)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(8,503)</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compensation and accrued liabilities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6,380</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7,176</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(9,301)</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revenues</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762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788</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(1,378)</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Income taxes receivable and payable, net</w:t>
            </w:r>
          </w:p>
        </w:tc>
        <w:tc>
          <w:tcPr>
            <w:tcW w:w="3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338</w:t>
            </w:r>
          </w:p>
        </w:tc>
        <w:tc>
          <w:tcPr>
            <w:tcW w:w="1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321</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(929)</w:t>
            </w:r>
          </w:p>
        </w:tc>
        <w:tc>
          <w:tcPr>
            <w:tcW w:w="0" w:type="dxa"/>
            <w:vAlign w:val="bottom"/>
          </w:tcPr>
          <w:p>
            <w:pPr>
              <w:spacing w:after="0"/>
              <w:rPr>
                <w:sz w:val="1"/>
                <w:szCs w:val="1"/>
                <w:color w:val="auto"/>
              </w:rPr>
            </w:pPr>
          </w:p>
        </w:tc>
      </w:tr>
      <w:tr>
        <w:trPr>
          <w:trHeight w:val="155"/>
        </w:trPr>
        <w:tc>
          <w:tcPr>
            <w:tcW w:w="57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195,126</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28,196</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162,820</w:t>
            </w: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Capitalized software development costs</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(47,619)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(30,545)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(25,614)</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(6,633)</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(1,720)</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(2,085)</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Acquisitions of businesses, net of cash acquired</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(1,619,812)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(41,122)</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investing activities</w:t>
            </w:r>
          </w:p>
        </w:tc>
        <w:tc>
          <w:tcPr>
            <w:tcW w:w="3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122</w:t>
            </w:r>
          </w:p>
        </w:tc>
        <w:tc>
          <w:tcPr>
            <w:tcW w:w="1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89</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1,974</w:t>
            </w:r>
          </w:p>
        </w:tc>
        <w:tc>
          <w:tcPr>
            <w:tcW w:w="0" w:type="dxa"/>
            <w:vAlign w:val="bottom"/>
          </w:tcPr>
          <w:p>
            <w:pPr>
              <w:spacing w:after="0"/>
              <w:rPr>
                <w:sz w:val="1"/>
                <w:szCs w:val="1"/>
                <w:color w:val="auto"/>
              </w:rPr>
            </w:pPr>
          </w:p>
        </w:tc>
      </w:tr>
      <w:tr>
        <w:trPr>
          <w:trHeight w:val="156"/>
        </w:trPr>
        <w:tc>
          <w:tcPr>
            <w:tcW w:w="57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(54,130)</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(1,651,988)</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(66,847)</w:t>
            </w:r>
          </w:p>
        </w:tc>
        <w:tc>
          <w:tcPr>
            <w:tcW w:w="0" w:type="dxa"/>
            <w:vAlign w:val="bottom"/>
          </w:tcPr>
          <w:p>
            <w:pPr>
              <w:spacing w:after="0"/>
              <w:rPr>
                <w:sz w:val="1"/>
                <w:szCs w:val="1"/>
                <w:color w:val="auto"/>
              </w:rPr>
            </w:pPr>
          </w:p>
        </w:tc>
      </w:tr>
      <w:tr>
        <w:trPr>
          <w:trHeight w:val="155"/>
        </w:trPr>
        <w:tc>
          <w:tcPr>
            <w:tcW w:w="5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Repayments of First Lien Credit Facility</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(70,463)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(59,200)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 under share-based compensation plans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3,751</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14,653</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4,565</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Net settlement of share-based compensation plan awards</w:t>
            </w: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(14,305)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Cash dividends paid</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(217,739)</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Borrowings from First Lien Credit Facility</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1,679,093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(38,212)</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Payments on deferred purchase agreements</w:t>
            </w:r>
          </w:p>
        </w:tc>
        <w:tc>
          <w:tcPr>
            <w:tcW w:w="380" w:type="dxa"/>
            <w:vAlign w:val="bottom"/>
          </w:tcPr>
          <w:p>
            <w:pPr>
              <w:spacing w:after="0"/>
              <w:rPr>
                <w:sz w:val="14"/>
                <w:szCs w:val="14"/>
                <w:color w:val="auto"/>
              </w:rPr>
            </w:pP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(938)</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Payments on finance lease obligations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162"/>
        </w:trPr>
        <w:tc>
          <w:tcPr>
            <w:tcW w:w="57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Share repurchases</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(58,990)</w:t>
            </w:r>
          </w:p>
        </w:tc>
        <w:tc>
          <w:tcPr>
            <w:tcW w:w="0" w:type="dxa"/>
            <w:vAlign w:val="bottom"/>
          </w:tcPr>
          <w:p>
            <w:pPr>
              <w:spacing w:after="0"/>
              <w:rPr>
                <w:sz w:val="1"/>
                <w:szCs w:val="1"/>
                <w:color w:val="auto"/>
              </w:rPr>
            </w:pPr>
          </w:p>
        </w:tc>
      </w:tr>
      <w:tr>
        <w:trPr>
          <w:trHeight w:val="155"/>
        </w:trPr>
        <w:tc>
          <w:tcPr>
            <w:tcW w:w="5780" w:type="dxa"/>
            <w:vAlign w:val="bottom"/>
            <w:tcBorders>
              <w:bottom w:val="single" w:sz="8" w:color="CFF0FC"/>
            </w:tcBorders>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38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(70,757)</w:t>
            </w:r>
          </w:p>
        </w:tc>
        <w:tc>
          <w:tcPr>
            <w:tcW w:w="10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1,581,065</w:t>
            </w: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(273,556)</w:t>
            </w:r>
          </w:p>
        </w:tc>
        <w:tc>
          <w:tcPr>
            <w:tcW w:w="0" w:type="dxa"/>
            <w:vAlign w:val="bottom"/>
          </w:tcPr>
          <w:p>
            <w:pPr>
              <w:spacing w:after="0"/>
              <w:rPr>
                <w:sz w:val="1"/>
                <w:szCs w:val="1"/>
                <w:color w:val="auto"/>
              </w:rPr>
            </w:pPr>
          </w:p>
        </w:tc>
      </w:tr>
      <w:tr>
        <w:trPr>
          <w:trHeight w:val="155"/>
        </w:trPr>
        <w:tc>
          <w:tcPr>
            <w:tcW w:w="5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Effect of exchange rate on cash, cash equivalents, and restricted cash</w:t>
            </w:r>
          </w:p>
        </w:tc>
        <w:tc>
          <w:tcPr>
            <w:tcW w:w="380" w:type="dxa"/>
            <w:vAlign w:val="bottom"/>
          </w:tcPr>
          <w:p>
            <w:pPr>
              <w:spacing w:after="0"/>
              <w:rPr>
                <w:sz w:val="13"/>
                <w:szCs w:val="13"/>
                <w:color w:val="auto"/>
              </w:rPr>
            </w:pPr>
          </w:p>
        </w:tc>
        <w:tc>
          <w:tcPr>
            <w:tcW w:w="136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362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(1,702)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(301)</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Increase (decrease) in cash, cash equivalents, and restricted cash</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70,601</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(44,429)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(177,884)</w:t>
            </w:r>
          </w:p>
        </w:tc>
        <w:tc>
          <w:tcPr>
            <w:tcW w:w="0" w:type="dxa"/>
            <w:vAlign w:val="bottom"/>
          </w:tcPr>
          <w:p>
            <w:pPr>
              <w:spacing w:after="0"/>
              <w:rPr>
                <w:sz w:val="1"/>
                <w:szCs w:val="1"/>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169,483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213,912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391,796</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380" w:type="dxa"/>
            <w:vAlign w:val="bottom"/>
            <w:tcBorders>
              <w:bottom w:val="single" w:sz="8" w:color="auto"/>
            </w:tcBorders>
            <w:shd w:val="clear" w:color="auto" w:fill="CFF0FC"/>
          </w:tcPr>
          <w:p>
            <w:pPr>
              <w:jc w:val="right"/>
              <w:ind w:right="2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rPr>
              <w:t>240,084</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rPr>
              <w:t>169,483</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rPr>
              <w:t>213,912</w:t>
            </w:r>
          </w:p>
        </w:tc>
        <w:tc>
          <w:tcPr>
            <w:tcW w:w="0" w:type="dxa"/>
            <w:vAlign w:val="bottom"/>
          </w:tcPr>
          <w:p>
            <w:pPr>
              <w:spacing w:after="0"/>
              <w:rPr>
                <w:sz w:val="1"/>
                <w:szCs w:val="1"/>
                <w:color w:val="auto"/>
              </w:rPr>
            </w:pPr>
          </w:p>
        </w:tc>
      </w:tr>
      <w:tr>
        <w:trPr>
          <w:trHeight w:val="143"/>
        </w:trPr>
        <w:tc>
          <w:tcPr>
            <w:tcW w:w="5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161,803</w:t>
            </w:r>
          </w:p>
        </w:tc>
        <w:tc>
          <w:tcPr>
            <w:tcW w:w="480" w:type="dxa"/>
            <w:vAlign w:val="bottom"/>
            <w:gridSpan w:val="2"/>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65,767</w:t>
            </w:r>
          </w:p>
        </w:tc>
        <w:tc>
          <w:tcPr>
            <w:tcW w:w="50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45,697</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acquired on account</w:t>
            </w: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3,094</w:t>
            </w:r>
          </w:p>
        </w:tc>
        <w:tc>
          <w:tcPr>
            <w:tcW w:w="480" w:type="dxa"/>
            <w:vAlign w:val="bottom"/>
            <w:gridSpan w:val="2"/>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539</w:t>
            </w:r>
          </w:p>
        </w:tc>
        <w:tc>
          <w:tcPr>
            <w:tcW w:w="50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Non-cash property and equipment additions</w:t>
            </w:r>
          </w:p>
        </w:tc>
        <w:tc>
          <w:tcPr>
            <w:tcW w:w="380" w:type="dxa"/>
            <w:vAlign w:val="bottom"/>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FF0FC"/>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540</w:t>
            </w:r>
          </w:p>
        </w:tc>
        <w:tc>
          <w:tcPr>
            <w:tcW w:w="500" w:type="dxa"/>
            <w:vAlign w:val="bottom"/>
            <w:gridSpan w:val="2"/>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Excise taxes on share repurchases incurred but not paid</w:t>
            </w:r>
          </w:p>
        </w:tc>
        <w:tc>
          <w:tcPr>
            <w:tcW w:w="380" w:type="dxa"/>
            <w:vAlign w:val="bottom"/>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Dividends declared but not paid</w:t>
            </w:r>
          </w:p>
        </w:tc>
        <w:tc>
          <w:tcPr>
            <w:tcW w:w="380" w:type="dxa"/>
            <w:vAlign w:val="bottom"/>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FF0FC"/>
          </w:tcPr>
          <w:p>
            <w:pPr>
              <w:jc w:val="right"/>
              <w:ind w:right="22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FF0FC"/>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-3171190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-3171190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-2536825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-2536825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-1276350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-1276350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-847725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-830580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-830580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1,176,163</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w:t>
            </w:r>
          </w:p>
        </w:tc>
        <w:tc>
          <w:tcPr>
            <w:tcW w:w="3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1,126,618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$1.50 per share</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(218,353)</w:t>
            </w:r>
          </w:p>
        </w:tc>
        <w:tc>
          <w:tcPr>
            <w:tcW w:w="0" w:type="dxa"/>
            <w:vAlign w:val="bottom"/>
          </w:tcPr>
          <w:p>
            <w:pPr>
              <w:spacing w:after="0"/>
              <w:rPr>
                <w:sz w:val="1"/>
                <w:szCs w:val="1"/>
                <w:color w:val="auto"/>
              </w:rPr>
            </w:pPr>
          </w:p>
        </w:tc>
      </w:tr>
      <w:tr>
        <w:trPr>
          <w:trHeight w:val="198"/>
        </w:trPr>
        <w:tc>
          <w:tcPr>
            <w:tcW w:w="4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4,566</w:t>
            </w: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37,293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3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906,733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31,762</w:t>
            </w:r>
          </w:p>
        </w:tc>
        <w:tc>
          <w:tcPr>
            <w:tcW w:w="0" w:type="dxa"/>
            <w:vAlign w:val="bottom"/>
          </w:tcPr>
          <w:p>
            <w:pPr>
              <w:spacing w:after="0"/>
              <w:rPr>
                <w:sz w:val="1"/>
                <w:szCs w:val="1"/>
                <w:color w:val="auto"/>
              </w:rPr>
            </w:pPr>
          </w:p>
        </w:tc>
      </w:tr>
      <w:tr>
        <w:trPr>
          <w:trHeight w:val="198"/>
        </w:trPr>
        <w:tc>
          <w:tcPr>
            <w:tcW w:w="4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the acquisition of</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Sterling Check Corp.</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490,072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490,099</w:t>
            </w: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assumed Sterling equity awards to receive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attributable to pre-combination service</w:t>
            </w:r>
          </w:p>
        </w:tc>
        <w:tc>
          <w:tcPr>
            <w:tcW w:w="1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Excise tax on repurchase of common stock</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4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14,655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settlement of restricted stock units and option awards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1,504,007</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(159,808)</w:t>
            </w:r>
          </w:p>
        </w:tc>
        <w:tc>
          <w:tcPr>
            <w:tcW w:w="3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1,307,039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24,456</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198"/>
        </w:trPr>
        <w:tc>
          <w:tcPr>
            <w:tcW w:w="4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17,028</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3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1,528,315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(194,632)</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1,313,552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1974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Nature of Business, and Basis of Presentation</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formed on November 15, 2019. Hereafter, First Advantage Corporation and its subsidiaries will collectively be referred to as the “Company.”</w:t>
      </w:r>
    </w:p>
    <w:p>
      <w:pPr>
        <w:spacing w:after="0" w:line="10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derives its revenues from a variety of background check, identity, and compliance services performed across all phases of the employee lifecycle from pre-onboarding services to post-onboarding and ongoing monitoring services, covering employees, contractors, contingent workers, and drivers. We generally classify our service offerings into three categories: pre-onboarding, post-onboarding, and adjacent products.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Adjacent products include products that complement our pre-onboarding and post-onboarding products and solutions. This includes fleet and vehicle compliance, hiring tax credits and incentives, employment eligibility, and investigative research.</w:t>
      </w:r>
    </w:p>
    <w:p>
      <w:pPr>
        <w:spacing w:after="0" w:line="10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accordance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 Certain customers across various industries also historically increase their hiring throughout the second quarter of the year as winter concludes, and the school year ends, giving rise to student and graduate hiring, and increased commercial activity tied to outdoor activities.</w:t>
      </w:r>
    </w:p>
    <w:p>
      <w:pPr>
        <w:spacing w:after="0" w:line="1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 Operating segments are businesses for which separate financial information is available and evaluated regularly by our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maker (“CODM”) in deciding how to allocate resources and assess performance. The Company’s CODM is determined to be the Chief Executive Officer (“CEO”).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reportable segments include:</w:t>
      </w:r>
    </w:p>
    <w:p>
      <w:pPr>
        <w:spacing w:after="0" w:line="167" w:lineRule="exact"/>
        <w:rPr>
          <w:sz w:val="20"/>
          <w:szCs w:val="20"/>
          <w:color w:val="auto"/>
        </w:rPr>
      </w:pPr>
    </w:p>
    <w:p>
      <w:pPr>
        <w:ind w:left="740" w:right="20" w:hanging="223"/>
        <w:spacing w:after="0" w:line="259"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First Advantage Americas. </w:t>
      </w:r>
      <w:r>
        <w:rPr>
          <w:rFonts w:ascii="Times New Roman" w:cs="Times New Roman" w:eastAsia="Times New Roman" w:hAnsi="Times New Roman"/>
          <w:sz w:val="18"/>
          <w:szCs w:val="18"/>
          <w:color w:val="auto"/>
        </w:rPr>
        <w:t>This segment pertains to our Legacy First Advantage business and performs a variety of background check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spacing w:after="0" w:line="125" w:lineRule="exact"/>
        <w:rPr>
          <w:rFonts w:ascii="Times New Roman" w:cs="Times New Roman" w:eastAsia="Times New Roman" w:hAnsi="Times New Roman"/>
          <w:sz w:val="18"/>
          <w:szCs w:val="18"/>
          <w:color w:val="auto"/>
        </w:rPr>
      </w:pPr>
    </w:p>
    <w:p>
      <w:pPr>
        <w:ind w:left="740" w:hanging="223"/>
        <w:spacing w:after="0" w:line="268"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First Advantage International. </w:t>
      </w:r>
      <w:r>
        <w:rPr>
          <w:rFonts w:ascii="Times New Roman" w:cs="Times New Roman" w:eastAsia="Times New Roman" w:hAnsi="Times New Roman"/>
          <w:sz w:val="18"/>
          <w:szCs w:val="18"/>
          <w:color w:val="auto"/>
        </w:rPr>
        <w:t>The First Advantage International segment pertains to our Legacy First Advantage business and provides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similar to our Americas segment in regions outside of the Americas. We primarily deliver our solutions across multiple industry verticals in the Europe, India, and Asia Pacific.</w:t>
      </w:r>
    </w:p>
    <w:p>
      <w:pPr>
        <w:spacing w:after="0" w:line="116" w:lineRule="exact"/>
        <w:rPr>
          <w:rFonts w:ascii="Times New Roman" w:cs="Times New Roman" w:eastAsia="Times New Roman" w:hAnsi="Times New Roman"/>
          <w:sz w:val="18"/>
          <w:szCs w:val="18"/>
          <w:color w:val="auto"/>
        </w:rPr>
      </w:pPr>
    </w:p>
    <w:p>
      <w:pPr>
        <w:ind w:left="740" w:right="20" w:hanging="223"/>
        <w:spacing w:after="0" w:line="286"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Sterling. </w:t>
      </w:r>
      <w:r>
        <w:rPr>
          <w:rFonts w:ascii="Times New Roman" w:cs="Times New Roman" w:eastAsia="Times New Roman" w:hAnsi="Times New Roman"/>
          <w:sz w:val="18"/>
          <w:szCs w:val="18"/>
          <w:color w:val="auto"/>
        </w:rPr>
        <w:t>This segment is comprised of the acquired entity, Sterling Check Corp., which was acquired on October 31, 2024. The Sterling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similar services as compared to First Advantage’s Americas and International segments on a global basis.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The Company’s segment disclosure provides the users of its consolidated financial statements with a view of the business that is consistent with the view of the CODM of the Company. Details of segment results are discussed in Note 17, “Reportable Segments.”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consolidated financial statements and accompanying notes.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Significant estimates, judgments, and assumptions, include, but are not limited to, the determination of the fair value and useful lives of assets acquired and liabilities assumed through business combinations, goodwill impairment, impairment of long-lived assets,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Certain financial assets and liabilities are reported at fair value in the accompanying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ind w:left="5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model-derived valuations whose inputs are observable or whose significant value drivers are observable.</w:t>
      </w:r>
    </w:p>
    <w:p>
      <w:pPr>
        <w:spacing w:after="0" w:line="104" w:lineRule="exact"/>
        <w:rPr>
          <w:sz w:val="20"/>
          <w:szCs w:val="20"/>
          <w:color w:val="auto"/>
        </w:rPr>
      </w:pPr>
    </w:p>
    <w:p>
      <w:pPr>
        <w:ind w:left="52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inputs to the valuation model are unobservable (supported by little or no market activities). These inputs may be used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internally developed methodologies that reflect the Company’s best estimate of fair value from a market participant.</w:t>
      </w:r>
    </w:p>
    <w:p>
      <w:pPr>
        <w:spacing w:after="0" w:line="1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and accounts payable approximate fair value due to the short-term maturities of these financial instruments (Level 1). The fair values and carrying values of the Company’s debt are disclosed in Note 6, “Debt”.</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and their assigned levels within the valuation hierarchy as of December 31, 2025 (in thousands):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4"/>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4"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cash equivalents to be cash and all short-term investments that have an original maturity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ninety days or less. Interest income earned on short-term investments and interest bearing accounts is included in interest expense, net in the accompanying consolidated statements of operations and comprehensive (loss) income. The Company recorded $3.7 million, $9.6 million, and $13.4 million of interest income for the years ended December 31, 2025, 2024, and 2023, respectively. Outstanding checks in excess of funds on deposit are classified as current liabilities in the accompanying consolidated balance sheets. As of December 31, 2025 and 2024, the Company had no outstanding checks in excess of funds on deposit.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Accounts receivable are due from customers in a broad range of industries located throughout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internationally. Credit is extended based on evaluation of the customer’s financial condition, and generally, collateral is not required.</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allowance for uncollectible receivables is determined based on a comprehensive evaluation of multiple factors, including historical collection experience, cash payment patterns, specific customer issues, write-off trends, general economic conditions, and other relevant considerations. Management reviews these factors on an ongoing basis to estimate the portion of accounts receivable that is not expected to be collected. In circumstances where the Company is aware of a specific customer’s inability to meet its financial obligations, the Company records a specific allowance for doubtful accounts against amounts due in order to reduce the net recognized receivable to the amount it reasonably believes will be collected. The Company believes that the allowance for doubtful accounts at December 31, 2025 and 2024 is reasonably stated.</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Property and equipment include computer software for internal uses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developed internally, acquired by business combination or otherwise purchased. Software development costs, including internal personnel and third-party professional services, are capitalized during the application development stage of initial development or during development of new features and enhancements. Amortization commences when the software is placed into service and is computed using the straight-line method over the useful lives of the underlying software of three to five years. This is based on the historical observed pace of change in the Company’s delivery, technology, and product offerings as well as market competition. The Company amortizes purchased software using the straight-line method over the estimated useful life of three to five years and incremental software acquired by business combination on an accelerated basis over its expected useful life of five years. Software development costs not meeting the criteria for capitalization are expensed as incurred.</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on leasehold improvements is computed on the straight-line method over the shorter of the life of the asset, or the lease term, ranging from one to fifteen years. Depreciation on data processing equipment and furniture and equipment is computed using the straight-line method over their estimated useful lives ranging from three to ten years.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The Company records business combinations using the acquisition method of accounting in accordance with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Trade Names, Customer Lists, and Other Intangible Assets </w:t>
      </w:r>
      <w:r>
        <w:rPr>
          <w:rFonts w:ascii="Times New Roman" w:cs="Times New Roman" w:eastAsia="Times New Roman" w:hAnsi="Times New Roman"/>
          <w:sz w:val="18"/>
          <w:szCs w:val="18"/>
          <w:color w:val="auto"/>
        </w:rPr>
        <w:t>— The Company tests goodwill for impairment annually as of October 31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frequently if an event occurs or circumstances change that would more likely than not reduce the fair value of a reporting unit or indefinite-lived intangible asset below its carrying value. Goodwill is tested for impairment at the reporting unit level using a fair value approach. At October 31, 2025, the Company had three reporting units comprised of First Advantage Americas, First Advantage International, and Sterling.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 charges have been required.</w:t>
      </w:r>
    </w:p>
    <w:p>
      <w:pPr>
        <w:spacing w:after="0" w:line="1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trade names are amortized on an accelerated basis over their expected useful lives ranging from five to twenty years. The Company recorded $19.5 million, $9.3 million, and $7.3 million of amortization expense related to trade names for the years ended December 31, 2025,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lists are amortized on an accelerated basis based upon their estimated useful lives, ranging from thirteen to fourteen years.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recorded $116.7 million, $58.9 million, and $54.6 million of amortization expense related to customer lists for the years ended December 31, 2025, 2024, and 2023, respectively.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2" w:name="page83"/>
    <w:bookmarkEnd w:id="82"/>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Company’s other intangible assets are amortized on a straight-line or accelerated basis over their expected useful life of five years. The Company recorded $0.5 million, $0.5 million and $0.1 million of amortization expense related to other intangible assets for the years ended December 31, 2025, 2024, and 2023 respectively.</w:t>
      </w:r>
    </w:p>
    <w:p>
      <w:pPr>
        <w:spacing w:after="0" w:line="12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amortization period assigned to each intangible asset to determine whether there have been any events or circumstances that warrant revised estimates of useful lives. No impairment charges have been required.</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is a U.S. domiciled corporation for tax purposes. Accordingly, the Company has followed ASC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for income taxes using the liability method, which requires an asset and liability based approach in accounting for income taxes for all periods presented. Deferred income taxes reflect the net tax effect on future years of temporary differences in the carrying amount of assets and liabilities between financial statements and income tax purposes. Valuation allowances are established when the Company determines that it is more likely than not that some portion or the entire deferred tax asset will not be realized. The Company evaluates its effective tax rates regularly and adjusts them when appropriate based on currently available information relative to statutory rates, apportionment factors and the applicable taxable income in the jurisdictions in which the Company operates, among other factors.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calculates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amount recognized is measured as the largest benefit that has a greater than 50% likelihood of being realized upon settlement. The Company adjusts its estimates of uncertain tax positions periodically because of ongoing examinations by, and settlements with, various taxing authorities, as well as changes in tax laws, regulations, and interpretations. The Company classifies interest and penalties associated with its unrecognized tax benefits as a component of income tax expense (see Note 8. “Income Taxes”).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regularly evaluates whether events and circumstances have occurred that indicate the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property and equipment, right of use (“ROU”) assets, capitalized software, and finite-life intangible assets may not be recoverable. Conditions that could indicate an impairment assessment is needed include a significant decline in the observable market value of an asset or asset group, a significant change in the extent or manner in which an asset or asset group is used, or a significant adverse change that would indicate that the carrying amount of an asset or asset group is not recoverable. When factors indicate that these long-lived assets or asset groups should be evaluated for possible impairment, the Company assesses the potential impairment by determining whether the carrying value of such long-lived assets or asset groups will be recovered through the future undiscounted cash flows expected from use of the asset or asset group and its eventual disposition. If the carrying amount of the asset or asset group is determined not to be recoverable, an impairment charge is recorded based on the excess, if any, of the carrying amount over fair value. Fair values are determined based on quoted market values or discounted cash flows analyses as applicable. The Company regularly evaluates whether events and circumstances have occurred that indicate the useful lives of property and equipment, ROU assets, capitalized software, and finite-life intangible assets may warrant revision. For the year ended December 31, 2025, the Company recognized impairment losses of $1.2 million, related to retiring legacy acquired platforms. There were no other material impairment charges for the years ended December 31, 2025, 2024, and 2023.</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accounts for leases in accordance with 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measures ROU assets and liabilities based on the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the implicit rate is not readily determinable for most of the Company’s lease agreements, the Company uses its estimated incremental borrowing rate to determine the initial present value of lease payments. 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6 years. Some leases include one or more options to renew, with renewal terms that can extend the lease term from 1 to 5 years or more. The exercise of these lease renewal options is at the Company’s sole discretion and typically are not reasonably certain to renew at inception. The depreciable life of assets and leasehold improvements are limited by the expected lease term.</w:t>
      </w:r>
    </w:p>
    <w:p>
      <w:pPr>
        <w:spacing w:after="0" w:line="12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are included in selling, general and administrative expense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and comprehensive (loss) income. Advertising costs were $4.8 million, $2.9 million, and $1.9 million for the years ended December 31, 2025, 2024, and 2023,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3" w:name="page84"/>
    <w:bookmarkEnd w:id="83"/>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 The Company is exposed to certain risks relating to its ongoing business operations and mitigates interest rate risk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derivative instruments. Interest rate swaps have been entered into to manage a portion of the interest rate risk associated with the Company’s variable-rate borrowings.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derivative instruments are recognized and subsequently measured on the balance sheet at fair value. The Company reviewed its interest rate swaps and determined they do not meet the definition of cash flow hedges. Therefore, the guidance requires that the change in fair value of the interest rate swaps be recognized as a component of income or expense in the consolidated statements of operations and comprehensive (loss) income (see Note 7. “Derivatives”).</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which potentially subject the Company to concentrations of credit risk consist principally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one customer which represented approximately 12% of its consolidated revenues for both years ended December 31, 2024 and 2023, in its First Advantage Americas segment. No other customer represented 10% or more of its revenue for any period presented. No customers represented 10% or more of its consolidated accounts receivable, net for any period presented.</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Revenues are recognized when control of the Company’s services is transferred to customers, in an amount that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the Company expects to be entitled to in exchange for those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revenues are recognized based on the following steps:</w:t>
      </w:r>
    </w:p>
    <w:p>
      <w:pPr>
        <w:spacing w:after="0" w:line="121"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revenue arrangements containing multiple services, the Company accounts for the individual service as separate performance obligations if they are distinct, the service is separately identifiable from other terms in the contract, and if a customer can benefit from it on its own or with other resources that are readily available to the customer. If these criteria are not met, the promised services are accounted for as a combined performance obligation. The Company allocates the contract price to each performance obligation based on the standalone selling prices of each distinct product or service in the contract.</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considers negotiated and anticipated incentives and estimated adjustments, including historical collections experience, when recording revenues.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4" w:name="page85"/>
    <w:bookmarkEnd w:id="84"/>
    <w:p>
      <w:pPr>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generally one year or less, but can extend up to three years in limited circumstances. Incremental costs of obtaining a contract with a customer are recognized as an asset if the benefit of such costs is expected to be longer than one year. Beginning in 2024, incremental costs primarily consist of sales commissions and are amortized over three years, for certain contracts, as management estimates that this corresponds to the period over which a customer benefits from the contract. Deferred commissions as of December 31, 2025 were $2.6 million, of which $1.4 million was included in prepaid expenses and other current assets, and $1.2 million was included in other assets in the accompanying consolidated balance sheets. Deferred commissions as of December 31, 2024 were immaterial.</w:t>
      </w:r>
    </w:p>
    <w:p>
      <w:pPr>
        <w:spacing w:after="0" w:line="13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The Company recognizes these contract assets as accounts receivable, in the accompanying consolidated balance sheets, when a conditional right to consideration exists and transfer of control has occurred. A contract liability is created when the Company transfers a good or service to a customer and recognizes less than what has been billed. The Company recognizes these contract liabilities as deferred revenues, in the accompanying consolidated balance sheets, when the Company has an obligation to perform services for a customer in the future and has already received consideration from the customer.</w:t>
      </w:r>
    </w:p>
    <w:p>
      <w:pPr>
        <w:spacing w:after="0" w:line="12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 The functional currency of all of the Company’s foreign subsidiaries is the applicable local currency. The translation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Foreign currency translation income (loss) included in accumulated other comprehensive (loss) income were approximately $17.0 million, $(16.2) million, and $1.2 million, for the years ended December 31, 2025, 2024, and 2023, respectively.</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Gains or losses resulting from foreign currency transactions are included in the accompanying consolidated statements of operations and comprehensive (loss) income, except for those relating to intercompany transactions of a long-term investment nature, which are captured in a separate component of equity as accumulated other comprehensive (loss) income. Foreign currency transaction income (loss) included in the accompanying consolidated statements of operations and comprehensive (loss) income was approximately $1.0 million, $0.4 million, and $(0.1) million, for the years ended December 31, 2025, 2024, and 2023, respectively.</w:t>
      </w:r>
    </w:p>
    <w:p>
      <w:pPr>
        <w:spacing w:after="0" w:line="1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Prior to the Company’s 2021 Initial Public Offering (“IPO”), all share-based awards were issued by a parent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individual grant agreements and the partnership agreement (collectively the “2020 Equity Plan”). Following the IPO, share-based awards are issued to employees and non-employee directors under the 2021 Omnibus Incentive Plan (as amended by the First Amendment, dated as of May 10, 2023, the “2021 Equity Plan”). Both plans were designed with the intention of promoting the long-term success of the Company by attracting, motivating, and retaining key employees of the Company. Additionally, as part of the Sterling Acquisition, certain outstanding equity awards held by Sterling employees were converted into equity awards of the Company (“Sterling Acquisition Awards”).</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awards issued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Management expects to allow its employees granted awards under all plans to bear the risks and rewards normally associated with equity ownership for a reasonable period of time when all requisite vesting requirements have been rendered. No outstanding awards are callable, and therefore, the related share-based awards are classified as equity.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spacing w:after="0" w:line="253" w:lineRule="auto"/>
        <w:rPr>
          <w:sz w:val="20"/>
          <w:szCs w:val="20"/>
          <w:color w:val="auto"/>
        </w:rPr>
      </w:pPr>
      <w:r>
        <w:rPr>
          <w:rFonts w:ascii="Times New Roman" w:cs="Times New Roman" w:eastAsia="Times New Roman" w:hAnsi="Times New Roman"/>
          <w:sz w:val="18"/>
          <w:szCs w:val="18"/>
          <w:color w:val="auto"/>
        </w:rPr>
        <w:t>The calculation of share-based employee compensation expense involves estimates that require management’s judgment. These estimates include the fair value of each of the share-based awards granted, which is estimated on the date of grant using a Black-Scholes option-pricing model. There are four inputs into the Black-Scholes option-pricing model: expected volatility, risk-free interest rates, expected term, and estimated fair value of the underlying unit. The Company estimates expected volatility based on an analysis of guidelines of publicly traded peer companies’ historical volatility. The risk-free interest rate is based on the treasury constant maturities rate based on data published by the U.S. Federal Reserve. The expected term of share-based awards granted is derived from historical exercise experience under the Company’s share-based plans and represents the period of time that awards granted are expected to be outstanding. Because of the limitations on the sale or transfer of our equity as a privately held company and a lack of historical option exercises as a public company, the Company does not believe our historical exercise pattern is indicative of the pattern we will experience in future periods. The Company has consequently used the simplified method to calculate the expected term, which is the average of the contractual term and vesting period, and plans to continue to use the simplified method until we have sufficient exercise and pricing history. Finally, prior to the IPO, the estimated fair value of the underlying equity was determined using either a transaction valuation or a blend of income and market approaches. After the IPO, the estimated fair value of the underlying equity was based on the observable market price of the Company’s equity.</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share-based compensation expenses could be materially different in the future. In addition, for awards with a service condition, the Company has elected to account for forfeitures as they occur. Therefore, the Company will reverse compensation costs previously recognized when an unvested award is forfeited. For awards with a performance condition, the Company is required to estimate the expected forfeiture rate, and only recognize expenses for those shares expected to vest. The Company estimates the expected forfeiture rate based on the Company’s historical data, grant terms, and anticipated plan participant turnover. If the Company’s actual forfeiture rate is materially different from its estimate, the share-based compensation expense could be significantly different from what the Company has recorded in the current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Comprehensive Income </w:t>
      </w:r>
      <w:r>
        <w:rPr>
          <w:rFonts w:ascii="Times New Roman" w:cs="Times New Roman" w:eastAsia="Times New Roman" w:hAnsi="Times New Roman"/>
          <w:sz w:val="18"/>
          <w:szCs w:val="18"/>
          <w:color w:val="auto"/>
        </w:rPr>
        <w:t>— Comprehensive income includes gains and losses from foreign currency translation adjustments, net.</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 Basic net income per share are computed by dividing net income by the weighted average number of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during the period. Basic weighted-average shares outstanding excludes nonvested restricted stock. Diluted net income per share is computed by dividing net income by the weighted average number of shares outstanding during the period after adjusting for the impact of securities that would have a dilutive effect on net income per share.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uses the treasury stock method to incorporate potentially dilutive securities in diluted net income per share.</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potentially dilutive securities outstanding during the years ended December 31, 2025 and 2024, had an anti-dilutive effect and were therefore not included in the calculation of diluted net loss per share for the period. The potentially dilutive securities outstanding during the year ended December 31, 2023 had a dilutive effect and were included in the calculation of diluted net income per share for the period.</w:t>
      </w:r>
    </w:p>
    <w:p>
      <w:pPr>
        <w:spacing w:after="0" w:line="1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November 2024, the FASB issued ASU No.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3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ASU removes all references to “development stages” from ASC 350-40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how to evaluate whether the probable-to-complete recognition threshold has been met. This guidance is effective for annual reporting periods beginning after December 15, 2027, and interim reporting periods within those annual reporting periods. Early adoption is permitted as of the beginning on an annual reporting period. The Company does not expect a material impact to its consolidated financial statements and related disclosures.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6" w:name="page87"/>
    <w:bookmarkEnd w:id="86"/>
    <w:p>
      <w:pPr>
        <w:ind w:right="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requires a public business entity to disclose specific categories in its annual effective tax rate reconciliation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significant reconciling items by jurisdiction and by nature. The ASU also requires entities to disclose their income tax payments, net of refunds, to international, federal, and state and local jurisdictions. We adopted this guidance effective January 1, 2025, resulting in expanded disclosures that improve transparency into our tax positions and payments across jurisdictions.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Sterling Check Corp. (“Sterling” and such acquisition, the “Sterling Acquisition”), a leading provider of background screening and identity verification services. The cash-and-stock transaction valued Sterling at approximately $2.2 billion and was financed through cash on hand and the issuance of new debt and common stock as described in Note 6, “Debt”. The Sterling stockholders received consideration of approximately $1,168.1 million in cash and 27.15 million shares of First Advantage common stock with a fair value of $494.6 million. The acquisition extended First Advantage’s high-quality and cost-effective background screening, identity, and verification technology solutions for the benefit of both companies' customers across industry verticals and geographies.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Sterling was determined to constitute a business and the Company was deemed to be the acquirer under ASC 805. The Company recorded a preliminary allocation of the purchase price to assets acquired and liabilities assumed based on their estimated fair values as of October 31, 2024.</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measurement period adjustments related to its preliminary allocation of the purchase price. The measurement period adjustments were due to revisions to estimates for working capital and tax balances, resulting in a $0.7 million decrease to current assets, a $5.8 million increase to current liabilities, a $0.1 million increase to deferred tax liabilities, and a $0.2 million decrease to other liabilities. The net impact of these adjustments was a $6.4 million increase to goodwill. The purchase price allocation was finalized as of June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consideration paid and the amounts recognized for the assets acquired and liabilities assumed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1,152,163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62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fair value of assumed Sterling equity awards to receive cash attributable to pre-combination service</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repayment of Sterling's outstanding debt</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fair value of First Advantage common stock issued</w:t>
            </w:r>
          </w:p>
        </w:tc>
        <w:tc>
          <w:tcPr>
            <w:tcW w:w="1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490,098</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 w:type="dxa"/>
            <w:vAlign w:val="bottom"/>
          </w:tcPr>
          <w:p>
            <w:pPr>
              <w:spacing w:after="0"/>
              <w:rPr>
                <w:sz w:val="17"/>
                <w:szCs w:val="17"/>
                <w:color w:val="auto"/>
              </w:rPr>
            </w:pPr>
          </w:p>
        </w:tc>
        <w:tc>
          <w:tcPr>
            <w:tcW w:w="86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Plus: fair value of assumed Sterling equity awards to receive equity awards attributable to pre-combination</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tc>
        <w:tc>
          <w:tcPr>
            <w:tcW w:w="1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2,197,699</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0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including software developed for internal use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273,370</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58,100</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(155,596)</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(238,221)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56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877,894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vMerge w:val="continue"/>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1,319,805</w:t>
            </w:r>
          </w:p>
        </w:tc>
        <w:tc>
          <w:tcPr>
            <w:tcW w:w="5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fair values and useful lives of the acquired intangible assets by category were as follows (in thousands):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0" w:type="dxa"/>
            <w:vAlign w:val="bottom"/>
          </w:tcPr>
          <w:p>
            <w:pPr>
              <w:spacing w:after="0"/>
              <w:rPr>
                <w:sz w:val="24"/>
                <w:szCs w:val="24"/>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655,000</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259,000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62,000</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18"/>
          <w:szCs w:val="18"/>
          <w:color w:val="auto"/>
        </w:rPr>
        <w:t>Goodwill recognized is not deductible for tax purposes. Costs incurred by the Company related to the Acquisition were primarily composed of deferred financing costs associated with the new financing structure which have been capitalized within long-term debt in the accompanying consolidated balance sheets (see Note 6. “Debt”) and transaction costs. For the years ended December 31, 2025 and 2024 the Company recognized approximately $0.4 million and $68.1 million, respectively, of transaction costs in the accompanying consolidated statements of operations and comprehensive (loss) income, primarily consisting of change in control-related costs, professional service fees, and other third-party costs.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for the years ended December 31, 2025 and 2024, the Company recognized $7.7 million and $41.2 million, respectively, in compensation expense related to converted cash awards for post-combination services in the accompanying consolidated statements of operations and comprehensive (loss) income. As of December 31, 2025 and 2024, $4.6 million and $5.6 million, respectively, remained unpaid and was included in accrued compensation in the accompanying consolidated balance sheet. The Company recognized $6.7 million and $4.4 million in share-based compensation expense for the years ended December 31, 2025 and 2024, respectively, related to converted equity awards for post-combination services in the accompanying consolidated statements of operations and comprehensive (loss) income. See Note 10. “Share-based Compensation” for further discussion.</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Results of operations for the year ended December 31, 2025 included revenues of $777.2 million and a net income of $46.3 million related to the Company’s Sterling segment. For the year ended December 31, 2024, results of operations included revenues of $113.1 million and a net loss of $57.4 million related to the Company’s Sterling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Results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summary, prepared on a pro forma basis pursuant to ASC 805, presents the Company’s consolidated results of operations for the years ended December 31, 2024 and 2023, as if the Sterling Acquisition had been completed on January 1, 2023.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Sterling Acquisition. This pro forma presentation does not include any impact of transaction synergies. The pro forma results are not necessarily indicative of the results of operations that actually would have been achieved had the Sterling Acquisition been consummated as of January 1, 2023.</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unaudited)</w:t>
            </w:r>
          </w:p>
        </w:tc>
        <w:tc>
          <w:tcPr>
            <w:tcW w:w="2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1,509,560</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1,482,850</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(193,293)</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1, 2023, the Company acquired 100% of the equity interest of a digital identity and biometrics solutions company headquartered in New York for $41.0 million, expanding the Company’s network and portfolio of identity solutions in the United States. The acquired company operates under the trade name Infinite ID. The Company recognized $26.2 million of goodwill. Identifiable intangible assets related to this acquisition totaled $13.6 million, of which $3.8 million was attributable to a customer related intangible asset with an estimated useful life of thirteen years, $5.1 million was attributable to developed technology with a useful life of five years, $2.3 million was attributable to a trade name with an estimated useful life of twenty years, and $2.4 million was attributable to other intangible assets with an estimated useful life of five years. Goodwill recognized is not deductible for tax purposes. Results of operations have been included in the consolidated financial statements of the Company’s First Advantage Americas segment since the date of acquisition.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2025 and 2024 consisted of the following (in thousands):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36,460</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32,054</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 acquired by business combination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490,346</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for internal use, developed internally or otherwise purchased</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125,973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3,007</w:t>
            </w: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668,487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651,380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(343,841)</w:t>
            </w: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250,865</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307,539</w:t>
            </w: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approximately $111.8 million, $77.2 million, and $67.4 million, for the years ended December 31, 2025, 2024, and 2023, respectively.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2025 and 2024 by reportable segment were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First Advantage</w:t>
            </w: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First Advantage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703,797</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116,857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820,654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1,313,365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1,313,365</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703,294</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114,341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1,306,893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2,124,528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12,636</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703,383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116,401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1,323,820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2,143,604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summarizes the gross carrying value and accumulated amortization for the Company’s trade names, customer lists, and other intangible assets as of December 31, 2025 and 2024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Life</w:t>
            </w:r>
          </w:p>
        </w:tc>
        <w:tc>
          <w:tcPr>
            <w:tcW w:w="20" w:type="dxa"/>
            <w:vAlign w:val="bottom"/>
          </w:tcPr>
          <w:p>
            <w:pPr>
              <w:spacing w:after="0"/>
              <w:rPr>
                <w:sz w:val="10"/>
                <w:szCs w:val="10"/>
                <w:color w:val="auto"/>
              </w:rPr>
            </w:pPr>
          </w:p>
        </w:tc>
      </w:tr>
      <w:tr>
        <w:trPr>
          <w:trHeight w:val="173"/>
        </w:trPr>
        <w:tc>
          <w:tcPr>
            <w:tcW w:w="528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158,382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99,480</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 years</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1,176,608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756,345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c>
          <w:tcPr>
            <w:tcW w:w="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r>
      <w:tr>
        <w:trPr>
          <w:trHeight w:val="209"/>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1,337,390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(480,279)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857,111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5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Life</w:t>
            </w:r>
          </w:p>
        </w:tc>
        <w:tc>
          <w:tcPr>
            <w:tcW w:w="20" w:type="dxa"/>
            <w:vAlign w:val="bottom"/>
          </w:tcPr>
          <w:p>
            <w:pPr>
              <w:spacing w:after="0"/>
              <w:rPr>
                <w:sz w:val="10"/>
                <w:szCs w:val="10"/>
                <w:color w:val="auto"/>
              </w:rPr>
            </w:pPr>
          </w:p>
        </w:tc>
      </w:tr>
      <w:tr>
        <w:trPr>
          <w:trHeight w:val="173"/>
        </w:trPr>
        <w:tc>
          <w:tcPr>
            <w:tcW w:w="528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157,740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118,475</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 years</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1,170,327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867,695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c>
          <w:tcPr>
            <w:tcW w:w="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r>
      <w:tr>
        <w:trPr>
          <w:trHeight w:val="210"/>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1,330,467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987,948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-1190625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-1190625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-1190625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2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Amortization expense of trade names, customer lists, and other intangible assets was approximately $136.7 million, $68.7 million, and $62.1 million, for the years ended December 31, 2025, 2024, and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relating to trade names, customer lists, and other intangible assets is expected to be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Years Ending December 31,</w:t>
            </w:r>
          </w:p>
        </w:tc>
        <w:tc>
          <w:tcPr>
            <w:tcW w:w="6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137,906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123,251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309,487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1"/>
                <w:szCs w:val="21"/>
                <w:color w:val="auto"/>
              </w:rPr>
            </w:pPr>
          </w:p>
        </w:tc>
        <w:tc>
          <w:tcPr>
            <w:tcW w:w="6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857,111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2140" w:type="dxa"/>
            <w:vAlign w:val="bottom"/>
            <w:tcBorders>
              <w:top w:val="single" w:sz="8" w:color="CFF0FC"/>
            </w:tcBorders>
          </w:tcPr>
          <w:p>
            <w:pPr>
              <w:spacing w:after="0"/>
              <w:rPr>
                <w:sz w:val="24"/>
                <w:szCs w:val="24"/>
                <w:color w:val="auto"/>
              </w:rPr>
            </w:pPr>
          </w:p>
        </w:tc>
        <w:tc>
          <w:tcPr>
            <w:tcW w:w="6160" w:type="dxa"/>
            <w:vAlign w:val="bottom"/>
            <w:tcBorders>
              <w:top w:val="single" w:sz="8" w:color="CFF0FC"/>
            </w:tcBorders>
          </w:tcPr>
          <w:p>
            <w:pPr>
              <w:ind w:left="2740"/>
              <w:spacing w:after="0"/>
              <w:rPr>
                <w:sz w:val="20"/>
                <w:szCs w:val="20"/>
                <w:color w:val="auto"/>
              </w:rPr>
            </w:pPr>
            <w:r>
              <w:rPr>
                <w:rFonts w:ascii="Times New Roman" w:cs="Times New Roman" w:eastAsia="Times New Roman" w:hAnsi="Times New Roman"/>
                <w:sz w:val="18"/>
                <w:szCs w:val="18"/>
                <w:color w:val="auto"/>
              </w:rPr>
              <w:t>F-19</w:t>
            </w:r>
          </w:p>
        </w:tc>
        <w:tc>
          <w:tcPr>
            <w:tcW w:w="6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obligation approximated its book value as of December 31, 2025 and 2024 and consisted of the following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Credit Facility</w:t>
            </w:r>
          </w:p>
        </w:tc>
        <w:tc>
          <w:tcPr>
            <w:tcW w:w="2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2,114,537</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2,185,000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2,114,537</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2,163,150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w:t>
            </w:r>
          </w:p>
        </w:tc>
      </w:tr>
      <w:tr>
        <w:trPr>
          <w:trHeight w:val="230"/>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debt, net</w:t>
            </w:r>
          </w:p>
        </w:tc>
        <w:tc>
          <w:tcPr>
            <w:tcW w:w="2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2,080,039</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2,121,289</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First Advantage Holdings, LLC, an indirect wholly-owned subsidiary of the Company, was a party to a First Lien Credit Agreement (as amended, “First Lien Credit Agreement”), which provided for a term loan of $766.6 million due January 31, 2027, carrying an interest rate prior to the effectiveness of the 2024 First Lien Credit Agreement of 2.75% to 3.00%, based on the first lien ratio, plus the Secured Overnight Financing Rate as administered by the Federal Reserve Bank of New York (“SOFR”) (subsequent to an amendment in June 2023 to transition the reference rate from LIBOR (the London Interbank Offer Rate)), and a $100.0 million revolving credit facility due July 31, 2026.</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Sterling Acquisition, on October 31, 2024, the Company refinanced its existing First Lien Credit Agreement and all related Sterling debt (the “2024 First Lien Credit Agreement”). The 2024 First Lien Credit Agreement provided for a term loan of $2.185 billion due October 31, 2031, carrying an interest rate of 3.00% to 3.25%, based on the first lien ratio, plus SOFR and a $250.0 million revolving credit facility due October 31, 2029. As a result of the refinancing, the Company incurred $0.4 million of loss on extinguishment of debt during the year ended December 31, 2024, related to the write-off of unamortized deferred financing costs.</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30, 2025, the Company amended its 2024 First Lien Credit Agreement (“2025 Amended First Lien Credit Agreement”) to reduce the interest rate on its term loan facility to a range of 2.50% to 2.75%, based on the first lien ratio, plus SOFR (“First Lien Credit Facility”). The amendment also reduced the interest rate on its revolving credit facility to a range of 2.25% to 2.75%, based on the first lien ratio, plus SOFR (“Amended Revolver”). The effective interest rate on the First Lien Credit Facility, which is calculated as the contractual interest rates adjusted for the debt issuance costs was 6.97%.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2025 Amended First Lien Credit Agreement bear interest at a rate per annum equal to an applicable margin plus, at our option, either</w:t>
      </w:r>
    </w:p>
    <w:p>
      <w:pPr>
        <w:spacing w:after="0" w:line="27" w:lineRule="exact"/>
        <w:rPr>
          <w:sz w:val="20"/>
          <w:szCs w:val="20"/>
          <w:color w:val="auto"/>
        </w:rPr>
      </w:pPr>
    </w:p>
    <w:p>
      <w:pPr>
        <w:ind w:firstLine="8"/>
        <w:spacing w:after="0" w:line="253"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Amended Revolver has no amortization.</w:t>
      </w:r>
    </w:p>
    <w:p>
      <w:pPr>
        <w:spacing w:after="0" w:line="133"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18"/>
          <w:szCs w:val="18"/>
          <w:color w:val="auto"/>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made voluntary principal prepayments totaling $65.0 million on its outstanding term loan. As a result of these prepayments, the Company recognized a loss on extinguishment of debt of $1.1 million, primarily related to the write-off of unamortized deferred financing costs. No prepayment penalties were incurred.</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As of December 31, 2025, there were no outstanding borrowings under the Amended Revolver and $2,114.5 million outstanding under the First Lien Credit Facility. As the Company had no outstanding amounts under the Amended Revolver, it was not subject to the consolidated first lien leverage ratio covenant. The Company was compliant with all covenants under the agreement as of December 31, 2025.</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Scheduled maturities of the Company’s debt as of December 31, 2025, are as follows (in thousands):</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21,645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2,050,900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5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2,114,537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the following outstanding derivatives that were not designated as a hedge in qualifying hedging relationships: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09"/>
        </w:trPr>
        <w:tc>
          <w:tcPr>
            <w:tcW w:w="2360" w:type="dxa"/>
            <w:vAlign w:val="bottom"/>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8"/>
              </w:rPr>
              <w:t>Interest rate swap</w:t>
            </w:r>
            <w:r>
              <w:rPr>
                <w:rFonts w:ascii="Times New Roman" w:cs="Times New Roman" w:eastAsia="Times New Roman" w:hAnsi="Times New Roman"/>
                <w:sz w:val="24"/>
                <w:szCs w:val="24"/>
                <w:color w:val="auto"/>
                <w:w w:val="98"/>
                <w:vertAlign w:val="superscript"/>
              </w:rPr>
              <w:t>(a)</w:t>
            </w: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2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4.32%</w:t>
            </w: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2023</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2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3.86%</w:t>
            </w:r>
          </w:p>
        </w:tc>
      </w:tr>
      <w:tr>
        <w:trPr>
          <w:trHeight w:val="216"/>
        </w:trPr>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2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3.76%</w:t>
            </w: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31, 2024</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$160.0 million</w:t>
            </w:r>
          </w:p>
        </w:tc>
        <w:tc>
          <w:tcPr>
            <w:tcW w:w="2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3.72%</w:t>
            </w:r>
          </w:p>
        </w:tc>
      </w:tr>
      <w:tr>
        <w:trPr>
          <w:trHeight w:val="216"/>
        </w:trPr>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31, 2024</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31, 2027</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$275.0 million</w:t>
            </w:r>
          </w:p>
        </w:tc>
        <w:tc>
          <w:tcPr>
            <w:tcW w:w="2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3.94%</w:t>
            </w:r>
          </w:p>
        </w:tc>
      </w:tr>
      <w:tr>
        <w:trPr>
          <w:trHeight w:val="234"/>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2028</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 million</w:t>
            </w:r>
          </w:p>
        </w:tc>
        <w:tc>
          <w:tcPr>
            <w:tcW w:w="2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3.56%</w:t>
            </w:r>
          </w:p>
        </w:tc>
      </w:tr>
    </w:tbl>
    <w:p>
      <w:pPr>
        <w:spacing w:after="0" w:line="1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  In conjunction with the June 2023 transition of the reference rate from LIBOR to SOFR, the fixed rate was reduced from 4.36% to 4.32%.</w:t>
      </w:r>
    </w:p>
    <w:p>
      <w:pPr>
        <w:spacing w:after="0" w:line="1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therefore, the Company has not elected to apply hedge accounting for these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fair value of the financial positions recorded related to the derivative instruments (in thousands):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vMerge w:val="restart"/>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shd w:val="clear" w:color="auto" w:fill="CFF0FC"/>
          </w:tcPr>
          <w:p>
            <w:pPr>
              <w:spacing w:after="0"/>
              <w:rPr>
                <w:sz w:val="18"/>
                <w:szCs w:val="18"/>
                <w:color w:val="auto"/>
              </w:rPr>
            </w:pPr>
          </w:p>
        </w:tc>
        <w:tc>
          <w:tcPr>
            <w:tcW w:w="3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6,492</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amount of gains and (losses) recorded related to the derivative instruments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vMerge w:val="restart"/>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5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20" w:type="dxa"/>
            <w:vAlign w:val="bottom"/>
            <w:shd w:val="clear" w:color="auto" w:fill="CFF0FC"/>
          </w:tcPr>
          <w:p>
            <w:pPr>
              <w:spacing w:after="0"/>
              <w:rPr>
                <w:sz w:val="18"/>
                <w:szCs w:val="18"/>
                <w:color w:val="auto"/>
              </w:rPr>
            </w:pPr>
          </w:p>
        </w:tc>
        <w:tc>
          <w:tcPr>
            <w:tcW w:w="2580" w:type="dxa"/>
            <w:vAlign w:val="bottom"/>
            <w:shd w:val="clear" w:color="auto" w:fill="CFF0FC"/>
          </w:tcPr>
          <w:p>
            <w:pPr>
              <w:jc w:val="center"/>
              <w:ind w:left="456"/>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gridSpan w:val="3"/>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20" w:type="dxa"/>
            <w:vAlign w:val="bottom"/>
          </w:tcPr>
          <w:p>
            <w:pPr>
              <w:spacing w:after="0"/>
              <w:rPr>
                <w:sz w:val="20"/>
                <w:szCs w:val="20"/>
                <w:color w:val="auto"/>
              </w:rPr>
            </w:pPr>
          </w:p>
        </w:tc>
        <w:tc>
          <w:tcPr>
            <w:tcW w:w="258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gridSpan w:val="3"/>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9,560</w:t>
            </w:r>
          </w:p>
        </w:tc>
        <w:tc>
          <w:tcPr>
            <w:tcW w:w="4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4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F-21</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is a U.S. domiciled corporation for tax purposes. The Company’s income tax expense and balance sheet accounts reflect the results of the Company and its subsidiaries.</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domestic and foreign components of (loss) income before provision for income taxes for the years ended December 31, 2025, 2024, and 2023, respectively, were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(Loss) income before provision for income taxes from United States</w:t>
            </w: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23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0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(83,184)</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(144,187)</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25,250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 from foreign operations</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29,572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23,226</w:t>
            </w:r>
          </w:p>
        </w:tc>
      </w:tr>
      <w:tr>
        <w:trPr>
          <w:trHeight w:val="229"/>
        </w:trPr>
        <w:tc>
          <w:tcPr>
            <w:tcW w:w="5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48,476</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domestic and foreign components of the provision for income taxes for the years ended December 31, 2025, 2024, and 2023, respectively,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980" w:type="dxa"/>
            <w:vAlign w:val="bottom"/>
            <w:gridSpan w:val="2"/>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14,859</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18,486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5,772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6,480</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w:t>
            </w:r>
          </w:p>
        </w:tc>
        <w:tc>
          <w:tcPr>
            <w:tcW w:w="2980" w:type="dxa"/>
            <w:vAlign w:val="bottom"/>
            <w:gridSpan w:val="2"/>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30,447</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25,594</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30,738</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980" w:type="dxa"/>
            <w:vAlign w:val="bottom"/>
            <w:gridSpan w:val="2"/>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Deferred</w:t>
            </w:r>
          </w:p>
        </w:tc>
        <w:tc>
          <w:tcPr>
            <w:tcW w:w="206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(32,874)</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11,183</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rPr>
              <w:t>F-22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-1645285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-1645285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-1088390</wp:posOffset>
            </wp:positionV>
            <wp:extent cx="59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-1088390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-796290</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-779145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-796290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-779145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3" w:name="page94"/>
    <w:bookmarkEnd w:id="93"/>
    <w:p>
      <w:pPr>
        <w:ind w:right="120"/>
        <w:spacing w:after="0" w:line="261" w:lineRule="auto"/>
        <w:rPr>
          <w:sz w:val="20"/>
          <w:szCs w:val="20"/>
          <w:color w:val="auto"/>
        </w:rPr>
      </w:pPr>
      <w:r>
        <w:rPr>
          <w:rFonts w:ascii="Times New Roman" w:cs="Times New Roman" w:eastAsia="Times New Roman" w:hAnsi="Times New Roman"/>
          <w:sz w:val="18"/>
          <w:szCs w:val="18"/>
          <w:color w:val="auto"/>
        </w:rPr>
        <w:t>Effective with annual reporting for the year ended December 31, 2025, the Company adopted ASU 2023-09. See Note 2 — Summary of Significant Accounting Policies – Recently Adopted Accounting Pronouncements for additional information on the adoption of ASU 2023-09. A reconciliation of the U.S. federal statutory income tax rate to the Company’s effective tax rate pursuant to the disclosure requirements of ASU 2023-09 for the years ended December 31, 2025, 2024, and 2023, respectively, is as follows (in thousands, except percentages):</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0"/>
        </w:trPr>
        <w:tc>
          <w:tcPr>
            <w:tcW w:w="3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8"/>
                <w:szCs w:val="18"/>
                <w:color w:val="auto"/>
              </w:rPr>
            </w:pPr>
          </w:p>
        </w:tc>
      </w:tr>
      <w:tr>
        <w:trPr>
          <w:trHeight w:val="209"/>
        </w:trPr>
        <w:tc>
          <w:tcPr>
            <w:tcW w:w="3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174"/>
        </w:trPr>
        <w:tc>
          <w:tcPr>
            <w:tcW w:w="39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8"/>
        </w:trPr>
        <w:tc>
          <w:tcPr>
            <w:tcW w:w="3960" w:type="dxa"/>
            <w:vAlign w:val="bottom"/>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Income Tax Effect</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194"/>
        </w:trPr>
        <w:tc>
          <w:tcPr>
            <w:tcW w:w="39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Changes in Tax Laws or Rates Enacted</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238"/>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 the Current Period</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Tax</w:t>
            </w: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16"/>
        </w:trPr>
        <w:tc>
          <w:tcPr>
            <w:tcW w:w="39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foreign jurisdictions</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9,986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Prior Period Provision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-170815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9" w:lineRule="exact"/>
        <w:rPr>
          <w:sz w:val="20"/>
          <w:szCs w:val="20"/>
          <w:color w:val="auto"/>
        </w:rPr>
      </w:pPr>
    </w:p>
    <w:p>
      <w:pPr>
        <w:ind w:left="740" w:hanging="223"/>
        <w:spacing w:after="0"/>
        <w:tabs>
          <w:tab w:leader="none" w:pos="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income taxes in Arkansas, Pennsylvania, and Tennessee make up the majority (greater than 50%) of the tax effect within this category for the year ended December 31, 2025. State income taxes in California, Georgia, Ohio (RITA), and Pennsylvania make up the majority (greater than 50%) of the tax effect within this category for the year ended December 31, 2024. State income taxes in Illinois, Maryland, and Pennsylvania make up the majority (greater than 50%) of the tax effect within this category for the year ended December 31, 2023.</w:t>
      </w:r>
    </w:p>
    <w:p>
      <w:pPr>
        <w:spacing w:after="0" w:line="127" w:lineRule="exact"/>
        <w:rPr>
          <w:rFonts w:ascii="Times New Roman" w:cs="Times New Roman" w:eastAsia="Times New Roman" w:hAnsi="Times New Roman"/>
          <w:sz w:val="14"/>
          <w:szCs w:val="14"/>
          <w:color w:val="auto"/>
        </w:rPr>
      </w:pPr>
    </w:p>
    <w:p>
      <w:pPr>
        <w:ind w:left="740" w:hanging="223"/>
        <w:spacing w:after="0"/>
        <w:tabs>
          <w:tab w:leader="none" w:pos="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foreign withholding taxes for the year ended December 31, 2025.</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domestic and foreign payments, net of refunds received, related to federal and state income taxes for the years ended December 31, 2025, 2024, and 2023, respectively, were as follows (in thousands) pursuant to the disclosure requirements of ASU 2023-09: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272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12,161</w:t>
            </w: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11,100</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Pennsylvania</w:t>
            </w:r>
          </w:p>
        </w:tc>
        <w:tc>
          <w:tcPr>
            <w:tcW w:w="1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States</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1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countries</w:t>
            </w:r>
          </w:p>
        </w:tc>
        <w:tc>
          <w:tcPr>
            <w:tcW w:w="16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1,944</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30,420</w:t>
            </w:r>
          </w:p>
        </w:tc>
        <w:tc>
          <w:tcPr>
            <w:tcW w:w="4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23,388</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31,623</w:t>
            </w: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298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F-23</w:t>
            </w: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-796290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-779145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-796290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-779145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4" w:name="page95"/>
    <w:bookmarkEnd w:id="94"/>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approximately $164.2 million of accumulated unremitted earnings generated by its foreign subsidiaries. Under the U.S. Tax Cuts and Jobs Act of 2017 (“2017 Tax Act”), a portion of these earnings was subject to U.S. federal taxation with the one-time transition tax. With the exception of certain unremitted earnings in Canada, China, India, and the United Kingdom, the Company asserted indefinite reinvestment on its unremitted earnings as well as any other additional outside basis differences of its foreign subsidiaries at December 31, 2025. Any future reversals could be subject to additional foreign withholding taxes, U.S. state taxes, and certain tax impacts relating to foreign currency exchange effects on any future repatriations of the unremitted earnings.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primary components of temporary differences that give rise to the Company’s net deferred tax liability as of December 31, 2025 and 2024 consist of the following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3,163</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3,219</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7,952</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7,613</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Disallowed interest</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21,815</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Bad debt reserves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5,565</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3,473</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 and loss reserves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Related-party accrued expenses</w:t>
            </w: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5,272</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09"/>
        </w:trPr>
        <w:tc>
          <w:tcPr>
            <w:tcW w:w="6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74,358</w:t>
            </w:r>
          </w:p>
        </w:tc>
        <w:tc>
          <w:tcPr>
            <w:tcW w:w="5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56,695</w:t>
            </w:r>
          </w:p>
        </w:tc>
      </w:tr>
      <w:tr>
        <w:trPr>
          <w:trHeight w:val="210"/>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lists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(168,833)</w:t>
            </w:r>
          </w:p>
        </w:tc>
        <w:tc>
          <w:tcPr>
            <w:tcW w:w="5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(191,705)</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assets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asset</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Depreciable and other amortizable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(27,104)</w:t>
            </w:r>
          </w:p>
        </w:tc>
      </w:tr>
      <w:tr>
        <w:trPr>
          <w:trHeight w:val="216"/>
        </w:trPr>
        <w:tc>
          <w:tcPr>
            <w:tcW w:w="6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6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deferred liabilities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6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(260,430)</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(273,751)</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(186,072)</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(217,056)</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-1559560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believes that federal, state, and foreign net operating loss carryforwards will be available to reduce future taxable income after taking into account various federal and foreign limitations on the utilization of such net operating loss carryforwards. The net operating loss carryforward balances as of December 31, 2025 and 2024,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4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15,061</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108,951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91,612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4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32,258</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32,296</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156,270</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139,237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gridSpan w:val="2"/>
          </w:tcPr>
          <w:p>
            <w:pPr>
              <w:jc w:val="right"/>
              <w:ind w:right="2080"/>
              <w:spacing w:after="0"/>
              <w:rPr>
                <w:sz w:val="20"/>
                <w:szCs w:val="20"/>
                <w:color w:val="auto"/>
              </w:rPr>
            </w:pPr>
            <w:r>
              <w:rPr>
                <w:rFonts w:ascii="Times New Roman" w:cs="Times New Roman" w:eastAsia="Times New Roman" w:hAnsi="Times New Roman"/>
                <w:sz w:val="18"/>
                <w:szCs w:val="18"/>
                <w:color w:val="auto"/>
              </w:rPr>
              <w:t>F-24</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-942340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5" w:name="page96"/>
    <w:bookmarkEnd w:id="95"/>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$15.1 million of U.S. federal net operating loss (“NOL”) carryforwards acquired in the Sterling Acquisition. These federal NOLs are subject to annual utilization limitations and will begin to expire in 2026. The Company also had a $7.2 million deferred tax asset related to U.S. state NOL carryforwards. These state NOLs include amounts with various expiration dates beginning in 2026, as well as certain state NOLs that may be carried forward indefinitely. In addition, the Company had a $7.8 million deferred tax asset related to foreign NOL carryforwards. These foreign NOLs include amounts that will begin to expire in 2026, along with other foreign NOLs that do not expire and may be carried forward indefinitely.</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After consideration of all of the evidence, the Company has determined that a valuation allowance of approximately $5.9 million and $5.6 million is necessary as of December 31, 2025 and 2024, respectively, for certain federal and foreign net operating loss carryforwards and other foreign deferred tax assets. The increase in the valuation allowance in 2025 is primarily due to the additional valuation allowance in Australia during the year.</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examinations by tax authorities for years before 2012, and state, local, and non-U.S. income tax examinations by tax authorities before 2012.</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changes in the balance of our gross unrecognized tax benefits, excluding accrued interest, for the years ended December 31, 2025, 2024, and 2023, were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5,662</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 made during purchase accounting window</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Increases for tax positions related to prior years</w:t>
            </w: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Acquired tax positions related to prior years</w:t>
            </w: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Effects of foreign currency</w:t>
            </w:r>
          </w:p>
        </w:tc>
        <w:tc>
          <w:tcPr>
            <w:tcW w:w="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5,198</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5,662</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-25400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 income tax benefit of approximately $5.2 million would be recorded if these unrecognized tax benefits are recognized. The Company recognizes accrued interest related to unrecognized tax benefits and penalties in income tax expense. For the years ended December 31, 2025, 2024, and 2023, the Company accrued $1.5 million, $1.2 million, and $0.5 million, respectively, for interest and penalties related to uncertain tax positions.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15, 2022, member states of the European Union (“EU”) formally adopted the EU Pillar Two Directive, which implements a global minimum effective tax rate of 15% consistent with the Organization for Economic Co-operating and Development (“OECD”) Pillar Two Framework. Various provisions of the directive became effective beginning on January 1, 2024 and January 1, 2025. In addition, several other jurisdictions enacted Pillar Two legislation during 2025, with varying effective dates. As a result of the Sterling acquisition, the Company exceeded the applicable consolidated revenue threshold in 2024 and became subject to Pillar Two rules for the years ended December 31, 2025 and December 31, 2024. In evaluating its exposure under the Income Inclusion Rule (“IIR”), Undertaxed Profit Rule (“UTPR”), and any applicable Qualified Domestic Minimum Top-Up Taxes (“QDMTT”), the Company applied the Transitional Country-by-Country Reporting (“CbCR”) Safe Harbor in accordance with the OECD Administrative Guidance. Based on this assessment, the Company determined that it did not incur any material Pillar Two top-up tax obligations for either of the years ended December 31 2025 and December 31, 2024. The Company will continue to monitor global legislative developments and evaluate the potential impact of Pillar Two on future reporting periods as additional jurisdictions adopt or modify their implementing rules.</w:t>
      </w:r>
    </w:p>
    <w:p>
      <w:pPr>
        <w:spacing w:after="0" w:line="14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in the United States, introducing substantial changes to the U.S. Corporate tax regime. Key provisions of the OBBBA include the reinstatement of 100% bonus depreciation, the restoration of immediate expensing for domestic research or experimental (“R&amp;E”) expenditures, an elective acceleration of deduction for unamortized domestic R&amp;E expenditures, revised limitations on the deductibility of business interest expense, and modifications to the Global Intangible Low-Tax Income (“GILTI”) and Foreign-Derived Intangible Income (“FDII”) regimes. The OBBBA includes multiple effective dates, with certain provisions effective tax years beginning after December 31, 2024, and others phased in through 2027. In accordance with ASC 740, Income Taxes, the Company reflected the impacts of OBBBA in the interim period that includes the enactment date. The effects of the new legislation, including the remeasurement of applicable deferred tax assets and liabilities, have been incorporated into the Company’s income tax provision for the year ended December 31, 2025. The Company continues to evaluate the broader implications of the OBBBA, including potential impacts on future taxable income, the estimated annual effective tax rate, and potential effects of future regulatory or administrative guidance issued by the Internal Revenue Service or other relevant tax authorities. Additional impacts, if any, will be recognized in subsequent periods as appropriate.</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from transactional contracts with a defined price but an undefined quantity are recognized utilizing the right to invoice expedient, with revenue recognized as the services are provided and become billable. Additionally, under this practical expedient, the Company is not required to estimate the transaction price.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Accordingly, in any period, the Company does not recognize a significant amount of revenues from performance obligations satisfied or partially satisfied in prior periods and the amount of such revenues recognized for the years ended December 31, 2025, 2024, and 2023,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contract asset balance was $16.9 million and $5.9 million as of December 31, 2025 and 2024, respectively, and is included in accounts receivable, net in the accompanying consolidated balance sheets. The contract liability balance was $5.0 million and $4.3 million as of December 31, 2025 and 2024, respectively, and is included in deferred revenues in the accompanying consolidated balance sheets. An immaterial amount of revenue was recognized in the current period related to the beginning balance of deferred revenues.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in cost of services, product and technology expense, and selling, general, and administrative expense in the accompanying consolidated statements of operations and comprehensive (loss) income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2,198</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5,296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16,962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26,776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11,740</w:t>
            </w: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24,456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31,762</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15,265</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IPO, all share-based awards were issued by Fastball Holdco, L.P., the Company’s previous parent company, under individual grant agreements and the partnership agreement of such parent company under the 2020 Equity Plan. In connection with the IPO, the Company adopted the 2021 Omnibus Incentive Plan (as amended by the First Amendment, dated as of May 10, 2023, the “2021 Equity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Company’s Board of Directors approved a modification of the vesting terms of outstanding unvested and unearned performance-based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restricted stock units, and restricted stock (collectively, “Performance Awards”) previously issued under its equity plans. The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May 10, 2023, allowed for unvested and unearned Performance Awards outstanding as of the date of the modification to vest based on time 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fifth, and sixth anniversaries of the relevant vesting commencement date, as set forth in each grant agreement (the “Vesting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preserving the eligibility to vest upon the Company’s investors receiving a targeted money-on-money return, subject to continued service.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date, unrecognized pre-tax non-cash compensation expense related to the Performance Awards, after accounting for the modification,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million. The Company is recognizing pre-tax non-cash compensation expense related to the modification of Performance Awards prospectively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modification, on a straight-line basis.</w:t>
      </w:r>
    </w:p>
    <w:p>
      <w:pPr>
        <w:spacing w:after="0" w:line="15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fair value of the modified restricted stock units and restricted stock was estimated using the closing stock price on the date of modification. The fair value of the modified stock options was estimated on the date of modification using the Black-Scholes option-pricing model with the following weighted average assumptions: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0"/>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4.67</w:t>
            </w: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12.61</w:t>
            </w:r>
          </w:p>
        </w:tc>
      </w:tr>
    </w:tbl>
    <w:p>
      <w:pPr>
        <w:spacing w:after="0" w:line="1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declaration of a one-time special dividend in August 2023, the exercise price of outstanding stock option awards and stock purchases under the Company’s employee stock purchase plan (“ESPP”) was reduced by $1.50, in accordance with the non-discretionary anti-dilution provisions of the equity and stock purchase plans.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August 2024 and September 2024, the Company modified the equity award agreements for its former Chief Financial Officer and President, Americas, respectively, as part of each executive’s retirement agreement. The modifications allowed for accelerated vesting of certain unvested equity awards that would have otherwise been forfeited at retirement and modified certain provisions of the outstanding stock option agreements. As a result of the modifications, the related awards were revalued, resulting in an incremental $4.2 million of compensation expense recognized in 2024. Historical exercise prices noted in the below tables have not been adjusted.</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at the holder’s election. Converted awards are subject to the same terms and conditions (including vesting) as applied to the replaced Sterling equity award. All out-of-the-money Sterling stock options, whether vested or unvested, were canceled for no consideration.</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approximately $23.3 million of unrecognized pre-tax non-cash compensation expense, related to its equity-based compensation plans. This amount includes approximately $1.3 million related to restricted stock, $11.5 million related to RSUs, and approximately $10.5 million related to stock options. The Company expects to recognize this expense over a weighted average period of 1.0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Awards issued under the 2020 Equity Plan consist of options and profit interests and vest based on two criteria: (1) Time — awards vest over five years at a rate of 20% per year; and (2) Performance — awards vest based upon a combination of the five-year time vesting, subject to the Company’s investors receiving a targeted money-on-money return. Options issued under the 2020 Equity Plan generally expire ten years after the grant date. No awards have been issued under the plan since the Company’s IPO.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year ended December 31, 2025 is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Grants outstanding</w:t>
            </w:r>
          </w:p>
        </w:tc>
        <w:tc>
          <w:tcPr>
            <w:tcW w:w="12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1,602,966</w:t>
            </w:r>
          </w:p>
        </w:tc>
        <w:tc>
          <w:tcPr>
            <w:tcW w:w="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(295,955)</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bottom w:val="single" w:sz="8" w:color="CFF0FC"/>
            </w:tcBorders>
            <w:shd w:val="clear" w:color="auto" w:fill="CFF0FC"/>
          </w:tcPr>
          <w:p>
            <w:pPr>
              <w:spacing w:after="0"/>
              <w:rPr>
                <w:sz w:val="18"/>
                <w:szCs w:val="18"/>
                <w:color w:val="auto"/>
              </w:rPr>
            </w:pPr>
          </w:p>
        </w:tc>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8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 outstanding</w:t>
            </w: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1,275,393</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4.2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million</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December 31, 2025</w:t>
            </w:r>
          </w:p>
        </w:tc>
        <w:tc>
          <w:tcPr>
            <w:tcW w:w="33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Grants vested</w:t>
            </w:r>
          </w:p>
        </w:tc>
        <w:tc>
          <w:tcPr>
            <w:tcW w:w="124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901,704</w:t>
            </w:r>
          </w:p>
        </w:tc>
        <w:tc>
          <w:tcPr>
            <w:tcW w:w="86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00"/>
              <w:spacing w:after="0" w:line="196" w:lineRule="exact"/>
              <w:rPr>
                <w:sz w:val="20"/>
                <w:szCs w:val="20"/>
                <w:color w:val="auto"/>
              </w:rPr>
            </w:pPr>
            <w:r>
              <w:rPr>
                <w:rFonts w:ascii="Times New Roman" w:cs="Times New Roman" w:eastAsia="Times New Roman" w:hAnsi="Times New Roman"/>
                <w:sz w:val="18"/>
                <w:szCs w:val="18"/>
                <w:color w:val="auto"/>
              </w:rPr>
              <w:t>4.2 Years</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 million</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Grants unvested</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373,689</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-456565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2024, and 2023 was $3.7 million, $3.2 million, and $3.0 million,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changes in outstanding options and the related weighted-average exercise price per share for the years ended December 31, 2024 and 2023 is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4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0"/>
                <w:szCs w:val="10"/>
                <w:color w:val="auto"/>
              </w:rPr>
            </w:pPr>
          </w:p>
        </w:tc>
        <w:tc>
          <w:tcPr>
            <w:tcW w:w="13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0"/>
                <w:szCs w:val="10"/>
                <w:color w:val="auto"/>
              </w:rPr>
            </w:pPr>
          </w:p>
        </w:tc>
        <w:tc>
          <w:tcPr>
            <w:tcW w:w="1380" w:type="dxa"/>
            <w:vAlign w:val="bottom"/>
            <w:gridSpan w:val="2"/>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beginning of the year</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1,915,252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2,843,342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(255,716)</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(533,715)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outstanding at the end of the year</w:t>
            </w: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1,602,966</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1,915,252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Grants vested</w:t>
            </w:r>
          </w:p>
        </w:tc>
        <w:tc>
          <w:tcPr>
            <w:tcW w:w="14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657,192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760"/>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518,455</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unvested</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945,774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1,396,797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-456565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-456565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December 31, 2025, 22,395,427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Stock options issued immediately prior to the IPO vest based on two criteria: (1) Time — awards vest annually over five years; and (2) Performance — awards vest based upon a combination of the five-year time vesting, subject to the Company’s investors receiving a targeted money-on-money return. Stock options issued after the IPO vest annually, generally over four or five years. Stock options generally expire ten years after the grant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9" w:name="page100"/>
    <w:bookmarkEnd w:id="99"/>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for the years ended December 31, 2025, 2024, and 2023 was estimated at the date of grant using the Black-Scholes option-pricing model with the following weighed 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gridSpan w:val="6"/>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8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6.78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15.25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7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12.56</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6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w w:val="99"/>
              </w:rPr>
              <w:t>A summary of the option activity for the year ended December 31, 2025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4,517,897</w:t>
            </w:r>
          </w:p>
        </w:tc>
        <w:tc>
          <w:tcPr>
            <w:tcW w:w="8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issued</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857,183</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exercised</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8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(126,973)</w:t>
            </w:r>
          </w:p>
        </w:tc>
        <w:tc>
          <w:tcPr>
            <w:tcW w:w="40" w:type="dxa"/>
            <w:vAlign w:val="bottom"/>
            <w:tcBorders>
              <w:bottom w:val="single" w:sz="8" w:color="auto"/>
            </w:tcBorders>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2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5,225,103</w:t>
            </w:r>
          </w:p>
        </w:tc>
        <w:tc>
          <w:tcPr>
            <w:tcW w:w="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6.8 Years</w:t>
            </w:r>
          </w:p>
        </w:tc>
        <w:tc>
          <w:tcPr>
            <w:tcW w:w="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million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December 31, 2025</w:t>
            </w:r>
          </w:p>
        </w:tc>
        <w:tc>
          <w:tcPr>
            <w:tcW w:w="320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Grants vested</w:t>
            </w:r>
          </w:p>
        </w:tc>
        <w:tc>
          <w:tcPr>
            <w:tcW w:w="1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3,011,550</w:t>
            </w:r>
          </w:p>
        </w:tc>
        <w:tc>
          <w:tcPr>
            <w:tcW w:w="84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6.0 Years</w:t>
            </w:r>
          </w:p>
        </w:tc>
        <w:tc>
          <w:tcPr>
            <w:tcW w:w="6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unvested</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2,213,553</w:t>
            </w:r>
          </w:p>
        </w:tc>
        <w:tc>
          <w:tcPr>
            <w:tcW w:w="8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-299085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-281940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2024, and 2023 was $0.1 million, $4.6 million, and $0.1 million,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changes in outstanding options and the related weighted-average exercise price per share for the years ended December 31, 2024 and 2023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4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0"/>
                <w:szCs w:val="10"/>
                <w:color w:val="auto"/>
              </w:rPr>
            </w:pPr>
          </w:p>
        </w:tc>
        <w:tc>
          <w:tcPr>
            <w:tcW w:w="13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0"/>
                <w:szCs w:val="10"/>
                <w:color w:val="auto"/>
              </w:rPr>
            </w:pPr>
          </w:p>
        </w:tc>
        <w:tc>
          <w:tcPr>
            <w:tcW w:w="1380" w:type="dxa"/>
            <w:vAlign w:val="bottom"/>
            <w:gridSpan w:val="2"/>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beginning of the year</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4,686,659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4,311,662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issued</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819,703</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579,745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exercised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(866,864)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(121,601)</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outstanding at the end of the year</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4,517,897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4,686,659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13.61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Grants vested</w:t>
            </w:r>
          </w:p>
        </w:tc>
        <w:tc>
          <w:tcPr>
            <w:tcW w:w="142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1,827,922</w:t>
            </w:r>
          </w:p>
        </w:tc>
        <w:tc>
          <w:tcPr>
            <w:tcW w:w="10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1,600,529</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13.76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Grants unvested</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2,689,975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3,086,130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F-29</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-1070610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-1053465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-1070610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-1053465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(“RSU”) generally vest annually over three to five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for the years ended December 31, 2025, 2024, and 2023 is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80" w:type="dxa"/>
            <w:vAlign w:val="bottom"/>
            <w:vMerge w:val="restart"/>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472,332</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235,903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(150,724)</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507,143</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526,980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(192,361)</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775,651</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(277,313)</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48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RSUs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883,532</w:t>
            </w:r>
          </w:p>
        </w:tc>
        <w:tc>
          <w:tcPr>
            <w:tcW w:w="2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restricted stock issued by the Company. These include grants of unvested 2020 Equity Plan profits interests grants that were converted into restricted stock, as well as restricted stock issued to new recipients. The restricted stock granted as a result of the conversion of 2020 Equity Plan profits interests retain the vesting attributes (including original service period vesting start date) of the original award.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years ended December 31, 2025, 2024, and 2023 is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2,281,300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1,954,630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4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1,177,743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48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448,223</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Sterling Acquisition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RSUs issued by the Company as part of the Sterling Acquisition. These include Sterling restricted stock units and net option shares underlying in-the-money stock option awards that were unvested at close and converted to unvested First Advantage RSUs. The RSUs granted as a result of the conversion retain the vesting attributes (including the original service period vesting start dates) of the original award.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5"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A summary of the RSU activity for the years ended December 31, 2025, 2024, and 2023 is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0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3"/>
                <w:szCs w:val="13"/>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8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Nonvested RSUs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Exchanged for RSUs in the Company</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92,380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58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8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Nonvested RSUs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89,673</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(78,154)</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CFF0FC"/>
            </w:tcBorders>
            <w:shd w:val="clear" w:color="auto" w:fill="CFF0FC"/>
          </w:tcPr>
          <w:p>
            <w:pPr>
              <w:spacing w:after="0"/>
              <w:rPr>
                <w:sz w:val="18"/>
                <w:szCs w:val="18"/>
                <w:color w:val="auto"/>
              </w:rPr>
            </w:pPr>
          </w:p>
        </w:tc>
        <w:tc>
          <w:tcPr>
            <w:tcW w:w="47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5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Nonvested RSUs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9,525</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restricted stock issued by the Company as part of the Sterling Acquisition. These include Sterling restricted stock and net option shares underlying in-the-money stock option awards that were unvested at close and converted to unvested First Advantage restricted stock. The restricted stock granted as a result of the conversion retain the vesting attributes (including the original service period vesting start dates) of the original award.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years ended December 31, 2025, 2024, and 2023 is as follows: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7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4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Exchanged for restricted stock in the Company</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929,475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4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4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692,714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CFF0FC"/>
            </w:tcBorders>
            <w:shd w:val="clear" w:color="auto" w:fill="CFF0FC"/>
          </w:tcPr>
          <w:p>
            <w:pPr>
              <w:spacing w:after="0"/>
              <w:rPr>
                <w:sz w:val="18"/>
                <w:szCs w:val="18"/>
                <w:color w:val="auto"/>
              </w:rPr>
            </w:pPr>
          </w:p>
        </w:tc>
        <w:tc>
          <w:tcPr>
            <w:tcW w:w="47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(63,012)</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4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180,766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$0.7 million, $0.6 million, and $0.8 million for the years ended December 31, 2025,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Tax Benefits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recognized excess tax benefits of approximately $1.0 million, $1.1 million, and $0.3 million associated with equity award exercises and vesting in its income tax expense for the years ended December 31,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Defined Contribution Plan</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plan that principally consists of a contributory 401(k) savings plan. The Company makes discretionary matching contributions to the 401(k) savings plan based on a percentage of employee contributions. The expense recognized related to the Company’s contributions to the 401(k) savings plan for the years ended December 31, 2025, 2024, and 2023 was approximately $2.6 million, $1.3 million, and $1.2 million, respectively.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31, 2024, the Company acquired Sterling in a cash-and-stock transaction where certain existing Sterling Stockholders received 27,150,000 shares of First Advantage common stock, pursuant to the Merger Agreement, with a fair value of $494.6 million. A portion of the shares of First Advantage common stock received by Sterling stockholders was converted into Sterling Acquisition Awards and will vest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preferred stock had been issued.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On November 8, 2022, the Company’s Board of Directors increased the total available amount under the Repurchase Program to $150.0 million and extended the program through December 31, 2023. On February 28, 2023, the Company’s Board of Directors further increased the authorization to $200.0 million. On September 14, 2023, the Company announced that its Board of Directors approved a one-year extension of the $200.0 million share repurchase authorization through December 31, 2024.</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Company suspended purchases under the Repurchase Program on February 28, 2024. The Repurchase Program expired on December 31, 2024. During the term of the program, the Company repurchased 9.0 million shares of its common stock for an aggregate purchase price of approximately $119.5 million.</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years ended December 31, 2025 and 2024. As of December 31, 2025, there have been no additional authorizations for share repurchases.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summary of the stock repurchase activity under the Repurchase Program for the year ended December 31, 2023 is summarized as follows (in thousands, except share and per share amounts):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340" w:type="dxa"/>
            <w:vAlign w:val="bottom"/>
            <w:shd w:val="clear" w:color="auto" w:fill="CFF0FC"/>
          </w:tcPr>
          <w:p>
            <w:pPr>
              <w:spacing w:after="0"/>
              <w:rPr>
                <w:sz w:val="18"/>
                <w:szCs w:val="18"/>
                <w:color w:val="auto"/>
              </w:rPr>
            </w:pPr>
          </w:p>
        </w:tc>
        <w:tc>
          <w:tcPr>
            <w:tcW w:w="2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4,372,879</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recorded to accumulated deficit</w:t>
            </w:r>
          </w:p>
        </w:tc>
        <w:tc>
          <w:tcPr>
            <w:tcW w:w="3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repurchase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58,903</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associated costs</w:t>
            </w:r>
          </w:p>
        </w:tc>
        <w:tc>
          <w:tcPr>
            <w:tcW w:w="34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572</w:t>
            </w: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recorded to accumulated deficit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59,475</w:t>
            </w: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Repurchased shares of common stock were retired. The par value of repurchased shares was deducted from common stock and the excess repurchase price over par value is reflected as a reduction to accumulated deficit. Additional associated costs include the related brokerage commissions and excise taxes on share repurchases.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An aggregate cash dividend of $217.7 million was paid on August 31, 2023. Dividends accrued for unvested RSUs are contingent and payable upon vesting of the underlying award.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all pending matters, the Company believes it has meritorious defenses and intends to defend vigorously or otherwise seek indemnification from other parties as appropriate. However, the Company has recorded a liability of $8.7 million and $11.6 million at December 31, 2025 and 2024, respectively, for matters that it believes entail a loss that is both probable and estimable. This is included in accrued liabilities in the accompanying consolidated balance sheets as of December 31, 2025 and 2024, respectively.</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office facilities and equipment. 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rents or subleases certain real estate to third parties. The Company’s sublease portfolio consists of operating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are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126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w:t>
            </w:r>
          </w:p>
        </w:tc>
        <w:tc>
          <w:tcPr>
            <w:tcW w:w="1260" w:type="dxa"/>
            <w:vAlign w:val="bottom"/>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4,476</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3,852</w:t>
            </w:r>
          </w:p>
        </w:tc>
      </w:tr>
      <w:tr>
        <w:trPr>
          <w:trHeight w:val="216"/>
        </w:trPr>
        <w:tc>
          <w:tcPr>
            <w:tcW w:w="5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Short-term</w:t>
            </w:r>
          </w:p>
        </w:tc>
        <w:tc>
          <w:tcPr>
            <w:tcW w:w="1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w:t>
            </w:r>
          </w:p>
        </w:tc>
        <w:tc>
          <w:tcPr>
            <w:tcW w:w="12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Sub-leases</w:t>
            </w:r>
          </w:p>
        </w:tc>
        <w:tc>
          <w:tcPr>
            <w:tcW w:w="1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9"/>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60" w:type="dxa"/>
            <w:vAlign w:val="bottom"/>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4,691</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4,792</w:t>
            </w:r>
          </w:p>
        </w:tc>
      </w:tr>
      <w:tr>
        <w:trPr>
          <w:trHeight w:val="210"/>
        </w:trPr>
        <w:tc>
          <w:tcPr>
            <w:tcW w:w="57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260" w:type="dxa"/>
            <w:vAlign w:val="bottom"/>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260" w:type="dxa"/>
            <w:vAlign w:val="bottom"/>
            <w:tcBorders>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260" w:type="dxa"/>
            <w:vAlign w:val="bottom"/>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4,706</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4,798</w:t>
            </w:r>
          </w:p>
        </w:tc>
      </w:tr>
      <w:tr>
        <w:trPr>
          <w:trHeight w:val="20"/>
        </w:trPr>
        <w:tc>
          <w:tcPr>
            <w:tcW w:w="5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-1019810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3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3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43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9,264</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3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6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lease assets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9,283</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36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liabilities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36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finance liabilities</w:t>
            </w:r>
          </w:p>
        </w:tc>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shd w:val="clear" w:color="auto" w:fill="CFF0FC"/>
          </w:tcPr>
          <w:p>
            <w:pPr>
              <w:spacing w:after="0"/>
              <w:rPr>
                <w:sz w:val="21"/>
                <w:szCs w:val="21"/>
                <w:color w:val="auto"/>
              </w:rPr>
            </w:pPr>
          </w:p>
        </w:tc>
        <w:tc>
          <w:tcPr>
            <w:tcW w:w="3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9,112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13,425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288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F-34</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-2510790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-1653540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-1088390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-796290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-779145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Maturities of lease liabilities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4,156</w:t>
            </w: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3,166</w:t>
            </w:r>
          </w:p>
        </w:tc>
      </w:tr>
      <w:tr>
        <w:trPr>
          <w:trHeight w:val="216"/>
        </w:trPr>
        <w:tc>
          <w:tcPr>
            <w:tcW w:w="58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58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Pr>
          <w:p>
            <w:pPr>
              <w:spacing w:after="0"/>
              <w:rPr>
                <w:sz w:val="18"/>
                <w:szCs w:val="18"/>
                <w:color w:val="auto"/>
              </w:rPr>
            </w:pPr>
          </w:p>
        </w:tc>
        <w:tc>
          <w:tcPr>
            <w:tcW w:w="51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10,167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10,187</w:t>
            </w:r>
          </w:p>
        </w:tc>
      </w:tr>
      <w:tr>
        <w:trPr>
          <w:trHeight w:val="216"/>
        </w:trPr>
        <w:tc>
          <w:tcPr>
            <w:tcW w:w="580" w:type="dxa"/>
            <w:vAlign w:val="bottom"/>
          </w:tcPr>
          <w:p>
            <w:pPr>
              <w:spacing w:after="0"/>
              <w:rPr>
                <w:sz w:val="18"/>
                <w:szCs w:val="18"/>
                <w:color w:val="auto"/>
              </w:rPr>
            </w:pPr>
          </w:p>
        </w:tc>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9"/>
        </w:trPr>
        <w:tc>
          <w:tcPr>
            <w:tcW w:w="580" w:type="dxa"/>
            <w:vAlign w:val="bottom"/>
          </w:tcPr>
          <w:p>
            <w:pPr>
              <w:spacing w:after="0"/>
              <w:rPr>
                <w:sz w:val="21"/>
                <w:szCs w:val="21"/>
                <w:color w:val="auto"/>
              </w:rPr>
            </w:pPr>
          </w:p>
        </w:tc>
        <w:tc>
          <w:tcPr>
            <w:tcW w:w="514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9,112</w:t>
            </w:r>
          </w:p>
        </w:tc>
      </w:tr>
      <w:tr>
        <w:trPr>
          <w:trHeight w:val="359"/>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term and discount rates are as follows: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2.8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 Years</w:t>
            </w: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4"/>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1.6 Years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2.6 Years</w:t>
            </w: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378"/>
        </w:trPr>
        <w:tc>
          <w:tcPr>
            <w:tcW w:w="6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5,479</w:t>
            </w:r>
          </w:p>
        </w:tc>
        <w:tc>
          <w:tcPr>
            <w:tcW w:w="80" w:type="dxa"/>
            <w:vAlign w:val="bottom"/>
          </w:tcPr>
          <w:p>
            <w:pPr>
              <w:spacing w:after="0"/>
              <w:rPr>
                <w:sz w:val="18"/>
                <w:szCs w:val="18"/>
                <w:color w:val="auto"/>
              </w:rPr>
            </w:pP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4,373</w:t>
            </w: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80" w:type="dxa"/>
            <w:vAlign w:val="bottom"/>
          </w:tcPr>
          <w:p>
            <w:pPr>
              <w:spacing w:after="0"/>
              <w:rPr>
                <w:sz w:val="18"/>
                <w:szCs w:val="18"/>
                <w:color w:val="auto"/>
              </w:rPr>
            </w:pP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9,956</w:t>
            </w: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gridSpan w:val="2"/>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Amortization of right-of-use operating lease assets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4,506</w:t>
            </w:r>
          </w:p>
        </w:tc>
        <w:tc>
          <w:tcPr>
            <w:tcW w:w="8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-3385820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-3368040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-3385820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-3368040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Amortization of right of use operating lease assets during the period is reflected in operating lease liabilities on the consolidated statements of cash flows.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47" w:right="8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16. Net (Loss)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income per share was calculated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4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173,199,004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144,083,808</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options and restricted stock units to purchase units</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2,142,288</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173,199,004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 total of 4,161,657, 3,630,723, and 4,725,584 stock options, RSUs, and restricted stock awards were excluded from the calculation of diluted net (loss) income per share, respectively, because their effect was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Reportable Segments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discussed in Note 1. “Organization, Nature of Business, and Basis of Presentation,” we have three reportable segments, First Advantage Americas, First Advantage International, and Sterling. Our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w:t>
      </w:r>
    </w:p>
    <w:p>
      <w:pPr>
        <w:spacing w:after="0" w:line="13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9.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Segment Adjusted EBITDA to net (loss) income for the years ended December 31, 2025, 2024, and 2023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701,634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104,868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777,194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1,583,696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700,009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99,256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775,124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1,574,389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362,247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61,198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439,194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segment items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127,827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26,236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125,599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211,560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17,434</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212,401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441,395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net loss: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168,667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248,583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acquisition-related charges </w:t>
            </w:r>
            <w:r>
              <w:rPr>
                <w:rFonts w:ascii="Times New Roman" w:cs="Times New Roman" w:eastAsia="Times New Roman" w:hAnsi="Times New Roman"/>
                <w:sz w:val="24"/>
                <w:szCs w:val="24"/>
                <w:color w:val="auto"/>
                <w:vertAlign w:val="superscript"/>
              </w:rPr>
              <w:t>(a)</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Integration, restructuring, and other charges </w:t>
            </w:r>
            <w:r>
              <w:rPr>
                <w:rFonts w:ascii="Times New Roman" w:cs="Times New Roman" w:eastAsia="Times New Roman" w:hAnsi="Times New Roman"/>
                <w:sz w:val="24"/>
                <w:szCs w:val="24"/>
                <w:color w:val="auto"/>
                <w:vertAlign w:val="superscript"/>
              </w:rPr>
              <w:t>(b)</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ind w:right="415"/>
              <w:spacing w:after="0"/>
              <w:rPr>
                <w:sz w:val="20"/>
                <w:szCs w:val="20"/>
                <w:color w:val="auto"/>
              </w:rPr>
            </w:pPr>
            <w:r>
              <w:rPr>
                <w:rFonts w:ascii="Times New Roman" w:cs="Times New Roman" w:eastAsia="Times New Roman" w:hAnsi="Times New Roman"/>
                <w:sz w:val="18"/>
                <w:szCs w:val="18"/>
                <w:color w:val="auto"/>
              </w:rPr>
              <w:t>F-36</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spacing w:after="0" w:line="200" w:lineRule="exact"/>
        <w:rPr>
          <w:sz w:val="20"/>
          <w:szCs w:val="20"/>
          <w:color w:val="auto"/>
        </w:rPr>
      </w:pPr>
    </w:p>
    <w:p>
      <w:pPr>
        <w:spacing w:after="0" w:line="279"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Intersegment revenues</w:t>
      </w:r>
    </w:p>
    <w:p>
      <w:pPr>
        <w:spacing w:after="0" w:line="2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External revenues</w:t>
      </w:r>
    </w:p>
    <w:p>
      <w:pPr>
        <w:spacing w:after="0" w:line="9"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63" w:right="1020" w:firstLine="39"/>
        <w:spacing w:after="0" w:line="256" w:lineRule="auto"/>
        <w:rPr>
          <w:sz w:val="20"/>
          <w:szCs w:val="20"/>
          <w:color w:val="auto"/>
        </w:rPr>
      </w:pPr>
      <w:r>
        <w:rPr>
          <w:rFonts w:ascii="Times New Roman" w:cs="Times New Roman" w:eastAsia="Times New Roman" w:hAnsi="Times New Roman"/>
          <w:sz w:val="18"/>
          <w:szCs w:val="18"/>
          <w:color w:val="auto"/>
        </w:rPr>
        <w:t>Adjusted cost of services Other segment items Segment Adjusted EBITDA Adjustments to reconcile to net loss: Interest expense, net Provision for income taxes</w:t>
      </w:r>
    </w:p>
    <w:p>
      <w:pPr>
        <w:spacing w:after="0" w:line="206"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18"/>
          <w:szCs w:val="18"/>
          <w:color w:val="auto"/>
        </w:rPr>
        <w:t>Loss on extinguishment of debt</w:t>
      </w:r>
    </w:p>
    <w:p>
      <w:pPr>
        <w:ind w:left="103"/>
        <w:spacing w:after="0" w:line="230" w:lineRule="auto"/>
        <w:rPr>
          <w:sz w:val="20"/>
          <w:szCs w:val="20"/>
          <w:color w:val="auto"/>
        </w:rPr>
      </w:pPr>
      <w:r>
        <w:rPr>
          <w:rFonts w:ascii="Times New Roman" w:cs="Times New Roman" w:eastAsia="Times New Roman" w:hAnsi="Times New Roman"/>
          <w:sz w:val="18"/>
          <w:szCs w:val="18"/>
          <w:color w:val="auto"/>
        </w:rPr>
        <w:t>Share-based compensation</w:t>
      </w:r>
    </w:p>
    <w:p>
      <w:pPr>
        <w:ind w:left="103"/>
        <w:spacing w:after="0" w:line="233" w:lineRule="auto"/>
        <w:rPr>
          <w:sz w:val="20"/>
          <w:szCs w:val="20"/>
          <w:color w:val="auto"/>
        </w:rPr>
      </w:pPr>
      <w:r>
        <w:rPr>
          <w:rFonts w:ascii="Times New Roman" w:cs="Times New Roman" w:eastAsia="Times New Roman" w:hAnsi="Times New Roman"/>
          <w:sz w:val="17"/>
          <w:szCs w:val="17"/>
          <w:color w:val="auto"/>
        </w:rPr>
        <w:t xml:space="preserve">Transaction and acquisition-related charges </w:t>
      </w:r>
      <w:r>
        <w:rPr>
          <w:rFonts w:ascii="Times New Roman" w:cs="Times New Roman" w:eastAsia="Times New Roman" w:hAnsi="Times New Roman"/>
          <w:sz w:val="23"/>
          <w:szCs w:val="23"/>
          <w:color w:val="auto"/>
          <w:vertAlign w:val="superscript"/>
        </w:rPr>
        <w:t>(a)</w:t>
      </w:r>
    </w:p>
    <w:p>
      <w:pPr>
        <w:ind w:left="103"/>
        <w:spacing w:after="0" w:line="213" w:lineRule="auto"/>
        <w:rPr>
          <w:sz w:val="20"/>
          <w:szCs w:val="20"/>
          <w:color w:val="auto"/>
        </w:rPr>
      </w:pPr>
      <w:r>
        <w:rPr>
          <w:rFonts w:ascii="Times New Roman" w:cs="Times New Roman" w:eastAsia="Times New Roman" w:hAnsi="Times New Roman"/>
          <w:sz w:val="17"/>
          <w:szCs w:val="17"/>
          <w:color w:val="auto"/>
        </w:rPr>
        <w:t xml:space="preserve">Integration, restructuring, and other charges </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Intersegment revenues</w:t>
      </w:r>
    </w:p>
    <w:p>
      <w:pPr>
        <w:spacing w:after="0" w:line="23"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External revenues</w:t>
      </w:r>
    </w:p>
    <w:p>
      <w:pPr>
        <w:spacing w:after="0" w:line="9"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63" w:right="780" w:firstLine="39"/>
        <w:spacing w:after="0" w:line="256" w:lineRule="auto"/>
        <w:rPr>
          <w:sz w:val="20"/>
          <w:szCs w:val="20"/>
          <w:color w:val="auto"/>
        </w:rPr>
      </w:pPr>
      <w:r>
        <w:rPr>
          <w:rFonts w:ascii="Times New Roman" w:cs="Times New Roman" w:eastAsia="Times New Roman" w:hAnsi="Times New Roman"/>
          <w:sz w:val="18"/>
          <w:szCs w:val="18"/>
          <w:color w:val="auto"/>
        </w:rPr>
        <w:t>Adjusted cost of services Other segment items Segment Adjusted EBITDA Adjustments to reconcile to net income: Interest expense, net Provision for income taxes</w:t>
      </w:r>
    </w:p>
    <w:p>
      <w:pPr>
        <w:spacing w:after="0" w:line="206"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18"/>
          <w:szCs w:val="18"/>
          <w:color w:val="auto"/>
        </w:rPr>
        <w:t>Depreciation and amortization</w:t>
      </w:r>
    </w:p>
    <w:p>
      <w:pPr>
        <w:ind w:left="103"/>
        <w:spacing w:after="0" w:line="230" w:lineRule="auto"/>
        <w:rPr>
          <w:sz w:val="20"/>
          <w:szCs w:val="20"/>
          <w:color w:val="auto"/>
        </w:rPr>
      </w:pPr>
      <w:r>
        <w:rPr>
          <w:rFonts w:ascii="Times New Roman" w:cs="Times New Roman" w:eastAsia="Times New Roman" w:hAnsi="Times New Roman"/>
          <w:sz w:val="18"/>
          <w:szCs w:val="18"/>
          <w:color w:val="auto"/>
        </w:rPr>
        <w:t>Share-based compensation</w:t>
      </w:r>
    </w:p>
    <w:p>
      <w:pPr>
        <w:ind w:left="103"/>
        <w:spacing w:after="0" w:line="233" w:lineRule="auto"/>
        <w:rPr>
          <w:sz w:val="20"/>
          <w:szCs w:val="20"/>
          <w:color w:val="auto"/>
        </w:rPr>
      </w:pPr>
      <w:r>
        <w:rPr>
          <w:rFonts w:ascii="Times New Roman" w:cs="Times New Roman" w:eastAsia="Times New Roman" w:hAnsi="Times New Roman"/>
          <w:sz w:val="17"/>
          <w:szCs w:val="17"/>
          <w:color w:val="auto"/>
        </w:rPr>
        <w:t xml:space="preserve">Transaction and acquisition-related charges </w:t>
      </w:r>
      <w:r>
        <w:rPr>
          <w:rFonts w:ascii="Times New Roman" w:cs="Times New Roman" w:eastAsia="Times New Roman" w:hAnsi="Times New Roman"/>
          <w:sz w:val="23"/>
          <w:szCs w:val="23"/>
          <w:color w:val="auto"/>
          <w:vertAlign w:val="superscript"/>
        </w:rPr>
        <w:t>(a)</w:t>
      </w:r>
    </w:p>
    <w:p>
      <w:pPr>
        <w:ind w:left="103"/>
        <w:spacing w:after="0" w:line="213" w:lineRule="auto"/>
        <w:rPr>
          <w:sz w:val="20"/>
          <w:szCs w:val="20"/>
          <w:color w:val="auto"/>
        </w:rPr>
      </w:pPr>
      <w:r>
        <w:rPr>
          <w:rFonts w:ascii="Times New Roman" w:cs="Times New Roman" w:eastAsia="Times New Roman" w:hAnsi="Times New Roman"/>
          <w:sz w:val="17"/>
          <w:szCs w:val="17"/>
          <w:color w:val="auto"/>
        </w:rPr>
        <w:t xml:space="preserve">Integration, restructuring, and other charges </w:t>
      </w:r>
      <w:r>
        <w:rPr>
          <w:rFonts w:ascii="Times New Roman" w:cs="Times New Roman" w:eastAsia="Times New Roman" w:hAnsi="Times New Roman"/>
          <w:sz w:val="23"/>
          <w:szCs w:val="23"/>
          <w:color w:val="auto"/>
          <w:vertAlign w:val="superscript"/>
        </w:rPr>
        <w:t>(b)</w:t>
      </w:r>
    </w:p>
    <w:p>
      <w:pPr>
        <w:spacing w:after="0" w:line="1" w:lineRule="exact"/>
        <w:rPr>
          <w:sz w:val="20"/>
          <w:szCs w:val="20"/>
          <w:color w:val="auto"/>
        </w:rPr>
      </w:pPr>
    </w:p>
    <w:p>
      <w:pPr>
        <w:ind w:left="63"/>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658,758</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96,854</w:t>
            </w:r>
          </w:p>
        </w:tc>
        <w:tc>
          <w:tcPr>
            <w:tcW w:w="10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113,068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868,680</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656,891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90,415</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112,899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860,205</w:t>
            </w: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335,181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53,726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67,827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112,587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25,934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24,123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210,990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17,194</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249,302</w:t>
            </w: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51,848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145,919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128,234</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(110,273)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-2245360</wp:posOffset>
            </wp:positionV>
            <wp:extent cx="641223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-1962785</wp:posOffset>
            </wp:positionV>
            <wp:extent cx="641223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-1688465</wp:posOffset>
            </wp:positionV>
            <wp:extent cx="641223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-1405255</wp:posOffset>
            </wp:positionV>
            <wp:extent cx="641223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-1130935</wp:posOffset>
            </wp:positionV>
            <wp:extent cx="641223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-856615</wp:posOffset>
            </wp:positionV>
            <wp:extent cx="641223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-582295</wp:posOffset>
            </wp:positionV>
            <wp:extent cx="641223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-307975</wp:posOffset>
            </wp:positionV>
            <wp:extent cx="641223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673,075</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96,832</w:t>
            </w:r>
          </w:p>
        </w:tc>
        <w:tc>
          <w:tcPr>
            <w:tcW w:w="10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ind w:left="8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769,907</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672,105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91,656</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338,797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54,892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112,633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26,029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221,645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237,556</w:t>
            </w: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37,293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-2108200</wp:posOffset>
            </wp:positionV>
            <wp:extent cx="641223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-1824990</wp:posOffset>
            </wp:positionV>
            <wp:extent cx="641223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-1550670</wp:posOffset>
            </wp:positionV>
            <wp:extent cx="641223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-1268095</wp:posOffset>
            </wp:positionV>
            <wp:extent cx="641223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-993775</wp:posOffset>
            </wp:positionV>
            <wp:extent cx="641223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-719455</wp:posOffset>
            </wp:positionV>
            <wp:extent cx="641223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-445135</wp:posOffset>
            </wp:positionV>
            <wp:extent cx="641223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-162560</wp:posOffset>
            </wp:positionV>
            <wp:extent cx="6412230" cy="163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3703" w:space="720"/>
            <w:col w:w="6220"/>
          </w:cols>
          <w:pgMar w:left="837" w:top="1411" w:right="419" w:bottom="1440" w:gutter="0" w:footer="0" w:header="0"/>
        </w:sectPr>
      </w:pPr>
    </w:p>
    <w:p>
      <w:pPr>
        <w:ind w:left="223" w:right="80" w:hanging="223"/>
        <w:spacing w:after="0"/>
        <w:tabs>
          <w:tab w:leader="none" w:pos="22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year ended December 31, 2025 include approximately $8.0 million of expense associated with the Sterling Acquisition, primarily consisting of $7.7 million of compensation expense attributable to converted Sterling equity awards. Transaction and acquisition related charges for the year ended December 31, 2024 include approximately $125.7 million of expense associated with the Sterling Acquisition,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The years ended December 31, 2025, 2024, and 2023 also include insurance costs related to the Company's initial public offering.</w:t>
      </w:r>
    </w:p>
    <w:p>
      <w:pPr>
        <w:spacing w:after="0" w:line="77" w:lineRule="exact"/>
        <w:rPr>
          <w:rFonts w:ascii="Times New Roman" w:cs="Times New Roman" w:eastAsia="Times New Roman" w:hAnsi="Times New Roman"/>
          <w:sz w:val="14"/>
          <w:szCs w:val="14"/>
          <w:color w:val="auto"/>
        </w:rPr>
      </w:pPr>
    </w:p>
    <w:p>
      <w:pPr>
        <w:ind w:left="223" w:hanging="223"/>
        <w:spacing w:after="0" w:line="224" w:lineRule="auto"/>
        <w:tabs>
          <w:tab w:leader="none" w:pos="22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impairment of capitalized software, (gains) losses on the sale of assets, and other non-recurring items. Integration, restructuring, and other charges for the year ended December 31, 2025 include approximately $18.1 million of expense associated with the integration of Sterling, $1.5 million of expenses related to debt refinancing activities, as well as capitalized software impairment charges of approximately $1.2 million.</w:t>
      </w:r>
    </w:p>
    <w:p>
      <w:pPr>
        <w:spacing w:after="0" w:line="1"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471805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411" w:right="4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revenues by geographical region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8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1,351,024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740,506</w:t>
            </w:r>
          </w:p>
        </w:tc>
        <w:tc>
          <w:tcPr>
            <w:tcW w:w="60" w:type="dxa"/>
            <w:vAlign w:val="bottom"/>
          </w:tcPr>
          <w:p>
            <w:pPr>
              <w:spacing w:after="0"/>
              <w:rPr>
                <w:sz w:val="18"/>
                <w:szCs w:val="18"/>
                <w:color w:val="auto"/>
              </w:rPr>
            </w:pPr>
          </w:p>
        </w:tc>
        <w:tc>
          <w:tcPr>
            <w:tcW w:w="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660,583</w:t>
            </w: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All other countries</w:t>
            </w: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223,365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119,699</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103,178</w:t>
            </w:r>
          </w:p>
        </w:tc>
      </w:tr>
      <w:tr>
        <w:trPr>
          <w:trHeight w:val="209"/>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1,574,389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860,205</w:t>
            </w:r>
          </w:p>
        </w:tc>
        <w:tc>
          <w:tcPr>
            <w:tcW w:w="60" w:type="dxa"/>
            <w:vAlign w:val="bottom"/>
          </w:tcPr>
          <w:p>
            <w:pPr>
              <w:spacing w:after="0"/>
              <w:rPr>
                <w:sz w:val="18"/>
                <w:szCs w:val="18"/>
                <w:color w:val="auto"/>
              </w:rPr>
            </w:pPr>
          </w:p>
        </w:tc>
        <w:tc>
          <w:tcPr>
            <w:tcW w:w="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763,761</w:t>
            </w:r>
          </w:p>
        </w:tc>
      </w:tr>
      <w:tr>
        <w:trPr>
          <w:trHeight w:val="20"/>
        </w:trPr>
        <w:tc>
          <w:tcPr>
            <w:tcW w:w="56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6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The following table sets forth net long-lived assets by geographic area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0"/>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8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assets, net</w:t>
            </w: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2,822,176</w:t>
            </w:r>
          </w:p>
        </w:tc>
        <w:tc>
          <w:tcPr>
            <w:tcW w:w="5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2,996,933</w:t>
            </w: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 other countries</w:t>
            </w: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438,668</w:t>
            </w: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436,741</w:t>
            </w:r>
          </w:p>
        </w:tc>
      </w:tr>
      <w:tr>
        <w:trPr>
          <w:trHeight w:val="209"/>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3,260,844</w:t>
            </w:r>
          </w:p>
        </w:tc>
        <w:tc>
          <w:tcPr>
            <w:tcW w:w="5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3,433,674</w:t>
            </w:r>
          </w:p>
        </w:tc>
      </w:tr>
      <w:tr>
        <w:trPr>
          <w:trHeight w:val="20"/>
        </w:trPr>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-1302385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-1302385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2, 2026, the Company entered into an agreement to sell certain customer relationships associated with its Recovery Management Solutions services to an unrelated third party for cash consideration. The customers transferred represented less than 0.5% of the Company’s consolidated revenues for the year ended December 31, 2025. The Company retained the underlying technology, data, and other assets used in servicing these customers and will continue to operate the subsidiary’s remaining drug health business. Because the transaction does not represent a strategic shift and does not constitute the disposal of a separate major line of business, the related operations are not presented as discontinued operations in the accompanying consolidated financial statements. The Company does not expect the transaction to have a material impact on its consolidated financial position. The related accounting impacts of the transaction will be recognized in January 2026.</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23, 2026, the Company provided notice of a voluntary principal repayment in the amount of $25.0 million under its First Lien Credit Facility. The repayment is expected to be made in late February 2026 using available cash on hand. The Company does not expect to incur any prepayment penalties in connection with this repayment.</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19. Condensed Financial Information of Registrant</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1,222,807</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1,240,750</w:t>
            </w:r>
          </w:p>
        </w:tc>
      </w:tr>
      <w:tr>
        <w:trPr>
          <w:trHeight w:val="209"/>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r>
      <w:tr>
        <w:trPr>
          <w:trHeight w:val="20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198"/>
        </w:trPr>
        <w:tc>
          <w:tcPr>
            <w:tcW w:w="72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$0.001 par value; 1,000,000,000 shares authorized, 174,190,461 and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173,171,145 shares issued and outstanding as of December 31, 2025 and 2024, respectively</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1,437,570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1,437,718</w:t>
            </w: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(159,808)</w:t>
            </w: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(37,333)</w:t>
            </w:r>
          </w:p>
        </w:tc>
      </w:tr>
      <w:tr>
        <w:trPr>
          <w:trHeight w:val="20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1,222,807</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1,240,750</w:t>
            </w: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1,222,807</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1,240,750</w:t>
            </w: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-1293495</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these condensed financial statements.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(loss) income of subsidiaries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37,293</w:t>
            </w:r>
          </w:p>
        </w:tc>
      </w:tr>
      <w:tr>
        <w:trPr>
          <w:trHeight w:val="210"/>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37,293</w:t>
            </w:r>
          </w:p>
        </w:tc>
      </w:tr>
      <w:tr>
        <w:trPr>
          <w:trHeight w:val="209"/>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1,174</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(126,449)</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38,467</w:t>
            </w:r>
          </w:p>
        </w:tc>
      </w:tr>
      <w:tr>
        <w:trPr>
          <w:trHeight w:val="210"/>
        </w:trPr>
        <w:tc>
          <w:tcPr>
            <w:tcW w:w="55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37,293</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173,199,004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144,083,808</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0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173,199,004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146,226,096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-1279525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-1279525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-988060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-988060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statement of cash flows has not been presented as First Advantage Corporation (parent company) did not have any cash as of, or at any point in time during, the years ended December 31, 2025, 2024 or 2023.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these condensed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to Condensed Financial Statements of Registrant (Parent Company Only)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Fastball Intermediate, Inc. was formed on November 15, 2019. In March 2021, Fastball Intermediate, Inc. changed its name to First Advantage Corporation.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in accordance with Rule 12-04, Schedule I of Regulation S-X, as the restricted net assets of the subsidiaries of First Advantage Corporation (as defined in Rule 4-08(e)(3) of Regulation S-X) exceed the specified threshold amount of the consolidated net assets of the Company. Because we have a consolidated accumulated deficit, the 25% threshold described in Rule 4-08 does not apply and any restrictions of net assets at our subsidiaries trigger the requirement to present parent company-only financial information. The ability of First Advantage Corporation’s operating subsidiaries to pay dividends may be restricted due to the terms of the subsidiaries’ outstanding term loan and revolving credit facility borrowings under the 2025 Amended First lien Credit Agreement, as described in Note 6 to the audited consolidated financial statements.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parent company-only financial statements should be read in conjunction with the consolidated financial statements and related notes thereto included elsewhere in this Annual Report.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ADVANTAGE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Securities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contains the following sections:</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color w:val="auto"/>
        </w:rPr>
        <w:t>General</w:t>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1"/>
          <w:szCs w:val="21"/>
          <w:color w:val="auto"/>
        </w:rPr>
        <w:t>Definitions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color w:val="auto"/>
        </w:rPr>
        <w:t>General Statement of Policy</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color w:val="auto"/>
        </w:rPr>
        <w:t>Other Prohibited Transactions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color w:val="auto"/>
        </w:rPr>
        <w:t>Certain Limited Exceptions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6.0</w:t>
      </w:r>
      <w:r>
        <w:rPr>
          <w:sz w:val="20"/>
          <w:szCs w:val="20"/>
          <w:color w:val="auto"/>
        </w:rPr>
        <w:tab/>
      </w:r>
      <w:r>
        <w:rPr>
          <w:rFonts w:ascii="Times New Roman" w:cs="Times New Roman" w:eastAsia="Times New Roman" w:hAnsi="Times New Roman"/>
          <w:sz w:val="21"/>
          <w:szCs w:val="21"/>
          <w:color w:val="auto"/>
        </w:rPr>
        <w:t>Pre-clearance of Trades and Other Procedures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7.0</w:t>
      </w:r>
      <w:r>
        <w:rPr>
          <w:sz w:val="20"/>
          <w:szCs w:val="20"/>
          <w:color w:val="auto"/>
        </w:rPr>
        <w:tab/>
      </w:r>
      <w:r>
        <w:rPr>
          <w:rFonts w:ascii="Times New Roman" w:cs="Times New Roman" w:eastAsia="Times New Roman" w:hAnsi="Times New Roman"/>
          <w:sz w:val="21"/>
          <w:szCs w:val="21"/>
          <w:color w:val="auto"/>
        </w:rPr>
        <w:t>10b5-1 and Other Trading Plans/Margin Accounts and Pledges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8.0</w:t>
      </w:r>
      <w:r>
        <w:rPr>
          <w:sz w:val="20"/>
          <w:szCs w:val="20"/>
          <w:color w:val="auto"/>
        </w:rPr>
        <w:tab/>
      </w:r>
      <w:r>
        <w:rPr>
          <w:rFonts w:ascii="Times New Roman" w:cs="Times New Roman" w:eastAsia="Times New Roman" w:hAnsi="Times New Roman"/>
          <w:sz w:val="21"/>
          <w:szCs w:val="21"/>
          <w:color w:val="auto"/>
        </w:rPr>
        <w:t>Potential Criminal and Civil Liability and/or Disciplinary Action</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9.0</w:t>
      </w:r>
      <w:r>
        <w:rPr>
          <w:sz w:val="20"/>
          <w:szCs w:val="20"/>
          <w:color w:val="auto"/>
        </w:rPr>
        <w:tab/>
      </w:r>
      <w:r>
        <w:rPr>
          <w:rFonts w:ascii="Times New Roman" w:cs="Times New Roman" w:eastAsia="Times New Roman" w:hAnsi="Times New Roman"/>
          <w:sz w:val="21"/>
          <w:szCs w:val="21"/>
          <w:color w:val="auto"/>
        </w:rPr>
        <w:t>Broker Requirements for Section 16 Persons</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10.0</w:t>
      </w:r>
      <w:r>
        <w:rPr>
          <w:sz w:val="20"/>
          <w:szCs w:val="20"/>
          <w:color w:val="auto"/>
        </w:rPr>
        <w:tab/>
      </w:r>
      <w:r>
        <w:rPr>
          <w:rFonts w:ascii="Times New Roman" w:cs="Times New Roman" w:eastAsia="Times New Roman" w:hAnsi="Times New Roman"/>
          <w:sz w:val="21"/>
          <w:szCs w:val="21"/>
          <w:color w:val="auto"/>
        </w:rPr>
        <w:t>Confidentiality</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Legal Effect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0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First Advantage Corporation and its subsidiaries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to prevent insider trading. Strict adherence to this Policy will help safeguard both the Company’s reputation and integrity and your own. This Policy applies to all of the following (collectively, the “</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 each of whom must, at all times, comply with the securities laws of the United States and all other applicable jurisdictions:</w:t>
      </w:r>
    </w:p>
    <w:p>
      <w:pPr>
        <w:spacing w:after="0" w:line="178" w:lineRule="exact"/>
        <w:rPr>
          <w:sz w:val="20"/>
          <w:szCs w:val="20"/>
          <w:color w:val="auto"/>
        </w:rPr>
      </w:pPr>
    </w:p>
    <w:p>
      <w:pPr>
        <w:ind w:left="1780" w:right="20" w:hanging="515"/>
        <w:spacing w:after="0" w:line="258" w:lineRule="auto"/>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directors, officers, employees and any other persons the Company determines should be subject to the Policy, such as contractors and consultants (collectively, “</w:t>
      </w:r>
      <w:r>
        <w:rPr>
          <w:rFonts w:ascii="Times New Roman" w:cs="Times New Roman" w:eastAsia="Times New Roman" w:hAnsi="Times New Roman"/>
          <w:sz w:val="22"/>
          <w:szCs w:val="22"/>
          <w:b w:val="1"/>
          <w:bCs w:val="1"/>
          <w:i w:val="1"/>
          <w:iCs w:val="1"/>
          <w:color w:val="auto"/>
        </w:rPr>
        <w:t>Company Personnel</w:t>
      </w:r>
      <w:r>
        <w:rPr>
          <w:rFonts w:ascii="Times New Roman" w:cs="Times New Roman" w:eastAsia="Times New Roman" w:hAnsi="Times New Roman"/>
          <w:sz w:val="22"/>
          <w:szCs w:val="22"/>
          <w:color w:val="auto"/>
        </w:rPr>
        <w:t>”);</w:t>
      </w:r>
    </w:p>
    <w:p>
      <w:pPr>
        <w:spacing w:after="0" w:line="50" w:lineRule="exact"/>
        <w:rPr>
          <w:rFonts w:ascii="Times New Roman" w:cs="Times New Roman" w:eastAsia="Times New Roman" w:hAnsi="Times New Roman"/>
          <w:sz w:val="22"/>
          <w:szCs w:val="22"/>
          <w:color w:val="auto"/>
        </w:rPr>
      </w:pPr>
    </w:p>
    <w:p>
      <w:pPr>
        <w:jc w:val="both"/>
        <w:ind w:left="1780" w:hanging="515"/>
        <w:spacing w:after="0" w:line="238" w:lineRule="auto"/>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households of Company Personnel (including any person who lives in the household of Company Personnel whether or not a family member), and any family members of Company Personnel who do not live in their household but whose transactions in Company securities are directed by or subject to the influence or control of Company Personnel (e.g., parents or children who consult with Company Personnel before they trade in Company securities); and</w:t>
      </w:r>
    </w:p>
    <w:p>
      <w:pPr>
        <w:spacing w:after="0" w:line="68" w:lineRule="exact"/>
        <w:rPr>
          <w:rFonts w:ascii="Times New Roman" w:cs="Times New Roman" w:eastAsia="Times New Roman" w:hAnsi="Times New Roman"/>
          <w:sz w:val="22"/>
          <w:szCs w:val="22"/>
          <w:color w:val="auto"/>
        </w:rPr>
      </w:pPr>
    </w:p>
    <w:p>
      <w:pPr>
        <w:ind w:left="1780" w:hanging="515"/>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trusts, corporations and other entities, vehicles or accounts controlled by any of such persons.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anything to the contrary contained herein, this Policy shall not apply to Silver Lake Group, L.L.C.</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and/or its affiliates, other than individuals serving as directors in their individual capacity.</w:t>
      </w:r>
    </w:p>
    <w:p>
      <w:pPr>
        <w:spacing w:after="0" w:line="209"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Federal securities laws prohibit trading in the securities of a company while aware of “inside” information. These transactions are commonly known as “insider trading”. It is also illegal to recommend to others (commonly called “tipping”) that they buy, sell or retain the securities of a company to which such inside information relates. This includes any communication providing inside information on social media or other internal or external Internet platforms. Anyone violating these laws is subject to personal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2" w:name="page113"/>
    <w:bookmarkEnd w:id="112"/>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and could face significant fines and criminal penalties, including imprisonment. Federal securities laws also create a strong incentive for the Company to deter insider trading by its employees. In the normal course of business, Company Personnel may come into possession of inside information concerning the Company, its industry, transactions in which the Company proposes to engage, or customers, partners, vendors or other entities with which the Company does business. Therefore, the Company has established this Policy with respect to trading in its securities or securities of certain other companies. Any violation of this Policy could subject you to disciplinary action, up to and including termination. See Section 8.0.</w:t>
      </w:r>
    </w:p>
    <w:p>
      <w:pPr>
        <w:spacing w:after="0" w:line="183"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This Policy concerns compliance as it pertains to the disclosure of inside information regarding the Company or another company and to trading in securities while in possession of such inside information. In addition to requiring that Insiders comply with the letter of the law, it is the Company’s policy that Insiders exercise judgment so as to also comply with the spirit of the law and avoid even the appearance of impropriety.</w:t>
      </w:r>
    </w:p>
    <w:p>
      <w:pPr>
        <w:spacing w:after="0" w:line="180"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This Policy is intended to protect Insiders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Chief Legal Officer or his or her designee.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2.0</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04"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For purposes of this Policy, the term “</w:t>
      </w:r>
      <w:r>
        <w:rPr>
          <w:rFonts w:ascii="Times New Roman" w:cs="Times New Roman" w:eastAsia="Times New Roman" w:hAnsi="Times New Roman"/>
          <w:sz w:val="22"/>
          <w:szCs w:val="22"/>
          <w:b w:val="1"/>
          <w:bCs w:val="1"/>
          <w:i w:val="1"/>
          <w:iCs w:val="1"/>
          <w:color w:val="auto"/>
        </w:rPr>
        <w:t>family members</w:t>
      </w:r>
      <w:r>
        <w:rPr>
          <w:rFonts w:ascii="Times New Roman" w:cs="Times New Roman" w:eastAsia="Times New Roman" w:hAnsi="Times New Roman"/>
          <w:sz w:val="22"/>
          <w:szCs w:val="22"/>
          <w:color w:val="auto"/>
        </w:rPr>
        <w:t>” includes family members who reside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you, anyone else who lives in your household and any family members who do not live in your household but whose transactions are directed by you or are subject to your influence or control. Company Personnel are responsible for the transactions of their family members and therefore should make them aware of the need to confer with them before they trade in the Company’s securities or securities of companies we do business with.</w:t>
      </w:r>
    </w:p>
    <w:p>
      <w:pPr>
        <w:spacing w:after="0" w:line="171" w:lineRule="exact"/>
        <w:rPr>
          <w:sz w:val="20"/>
          <w:szCs w:val="20"/>
          <w:color w:val="auto"/>
        </w:rPr>
      </w:pPr>
    </w:p>
    <w:p>
      <w:pPr>
        <w:jc w:val="both"/>
        <w:ind w:left="760" w:hanging="748"/>
        <w:spacing w:after="0" w:line="237" w:lineRule="auto"/>
        <w:tabs>
          <w:tab w:leader="none" w:pos="7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Information is generally considered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a reasonable investor would consider it important in deciding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Insiders should assume that information that would affect their consideration of whether to trade, or which might tend to influence the price of the security, is Material.</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Examples of Material information may include, but are not limited to:</w:t>
      </w:r>
    </w:p>
    <w:p>
      <w:pPr>
        <w:spacing w:after="0" w:line="206" w:lineRule="exact"/>
        <w:rPr>
          <w:sz w:val="20"/>
          <w:szCs w:val="20"/>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and other operating and performance information;</w:t>
      </w:r>
    </w:p>
    <w:p>
      <w:pPr>
        <w:spacing w:after="0" w:line="206" w:lineRule="exact"/>
        <w:rPr>
          <w:rFonts w:ascii="Times New Roman" w:cs="Times New Roman" w:eastAsia="Times New Roman" w:hAnsi="Times New Roman"/>
          <w:sz w:val="22"/>
          <w:szCs w:val="22"/>
          <w:color w:val="auto"/>
        </w:rPr>
      </w:pPr>
    </w:p>
    <w:p>
      <w:pPr>
        <w:ind w:left="1140" w:right="120" w:hanging="383"/>
        <w:spacing w:after="0" w:line="258" w:lineRule="auto"/>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 significant variances in results from previous guidance and changing or confirming such guidance on a later date or other projections of future financial performance;</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acquisitions, dispositions, tender offers, joint ventures, or changes in assets;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with respect to products or technologies;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material intellectual property;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3" w:name="page114"/>
    <w:bookmarkEnd w:id="113"/>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customers or suppliers, including the acquisition or loss of an important contract;</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or in senior management;</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executive compensation policy;</w:t>
      </w:r>
    </w:p>
    <w:p>
      <w:pPr>
        <w:spacing w:after="0" w:line="206" w:lineRule="exact"/>
        <w:rPr>
          <w:rFonts w:ascii="Times New Roman" w:cs="Times New Roman" w:eastAsia="Times New Roman" w:hAnsi="Times New Roman"/>
          <w:sz w:val="22"/>
          <w:szCs w:val="22"/>
          <w:color w:val="auto"/>
        </w:rPr>
      </w:pPr>
    </w:p>
    <w:p>
      <w:pPr>
        <w:ind w:left="1140" w:right="440" w:hanging="383"/>
        <w:spacing w:after="0" w:line="258"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or dispute with, the Company’s independent registered public accounting firm or notification that the Company may no longer rely on such firm’s report;</w:t>
      </w:r>
    </w:p>
    <w:p>
      <w:pPr>
        <w:spacing w:after="0" w:line="154" w:lineRule="exact"/>
        <w:rPr>
          <w:rFonts w:ascii="Times New Roman" w:cs="Times New Roman" w:eastAsia="Times New Roman" w:hAnsi="Times New Roman"/>
          <w:sz w:val="22"/>
          <w:szCs w:val="22"/>
          <w:color w:val="auto"/>
        </w:rPr>
      </w:pPr>
    </w:p>
    <w:p>
      <w:pPr>
        <w:jc w:val="both"/>
        <w:ind w:left="1140" w:right="220" w:hanging="383"/>
        <w:spacing w:after="0" w:line="246"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financings and other events regarding the Company’s debt instruments and debt or equity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defaults, calls of securities for redemption, refinancings, amendments, share repurchase plans, stock splits, public or private sales of securities, changes in dividends and changes to the rights of securityholders);</w:t>
      </w:r>
    </w:p>
    <w:p>
      <w:pPr>
        <w:spacing w:after="0" w:line="17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transactions in the Company’s securities by the Company or its equityholders;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restatements or significant write-offs;</w:t>
      </w:r>
    </w:p>
    <w:p>
      <w:pPr>
        <w:spacing w:after="0" w:line="206" w:lineRule="exact"/>
        <w:rPr>
          <w:rFonts w:ascii="Times New Roman" w:cs="Times New Roman" w:eastAsia="Times New Roman" w:hAnsi="Times New Roman"/>
          <w:sz w:val="22"/>
          <w:szCs w:val="22"/>
          <w:color w:val="auto"/>
        </w:rPr>
      </w:pPr>
    </w:p>
    <w:p>
      <w:pPr>
        <w:ind w:left="1140" w:right="140" w:hanging="383"/>
        <w:spacing w:after="0" w:line="258"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governmental investigations or significant developments with respect to litigation, governmental investigations or relations with regulators;</w:t>
      </w:r>
    </w:p>
    <w:p>
      <w:pPr>
        <w:spacing w:after="0" w:line="158" w:lineRule="exact"/>
        <w:rPr>
          <w:rFonts w:ascii="Times New Roman" w:cs="Times New Roman" w:eastAsia="Times New Roman" w:hAnsi="Times New Roman"/>
          <w:sz w:val="22"/>
          <w:szCs w:val="22"/>
          <w:color w:val="auto"/>
        </w:rPr>
      </w:pPr>
    </w:p>
    <w:p>
      <w:pPr>
        <w:ind w:left="1140" w:right="180" w:hanging="383"/>
        <w:spacing w:after="0" w:line="244"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disruption in the Company’s operations, or loss, potential loss, breach or unauthorized access of the Company’s property or assets, including information technology infrastructure, data and cybersecurity and privacy incidents or events; and</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layoffs, furloughs, impending bankruptcy, corporate restructuring, or receivership.</w:t>
      </w:r>
    </w:p>
    <w:p>
      <w:pPr>
        <w:spacing w:after="0" w:line="206"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Information that something is likely to happen or even just that it may happen can be Material. Courts often resolve close cases in favor of finding the information Material. Therefore, Insiders should err on the side of caution. Insiders should keep in mind that the rules and regulations of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provide that the mere fact that a person is aware of the information is a bar to trading. It is no excuse that such person’s reasons for trading were unrelated to the information.</w:t>
      </w:r>
    </w:p>
    <w:p>
      <w:pPr>
        <w:spacing w:after="0" w:line="177"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If you have a question regarding whether specific information may be deemed Material, please contact the Chief Legal Officer or his or her designee.</w:t>
      </w:r>
    </w:p>
    <w:p>
      <w:pPr>
        <w:spacing w:after="0" w:line="152" w:lineRule="exact"/>
        <w:rPr>
          <w:sz w:val="20"/>
          <w:szCs w:val="20"/>
          <w:color w:val="auto"/>
        </w:rPr>
      </w:pPr>
    </w:p>
    <w:p>
      <w:pPr>
        <w:ind w:left="760" w:right="20" w:hanging="748"/>
        <w:spacing w:after="0" w:line="264" w:lineRule="auto"/>
        <w:tabs>
          <w:tab w:leader="none" w:pos="7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For the purpose of this Policy, all Company information is “</w:t>
      </w:r>
      <w:r>
        <w:rPr>
          <w:rFonts w:ascii="Times New Roman" w:cs="Times New Roman" w:eastAsia="Times New Roman" w:hAnsi="Times New Roman"/>
          <w:sz w:val="22"/>
          <w:szCs w:val="22"/>
          <w:b w:val="1"/>
          <w:bCs w:val="1"/>
          <w:i w:val="1"/>
          <w:iCs w:val="1"/>
          <w:color w:val="auto"/>
        </w:rPr>
        <w:t>Non- Public</w:t>
      </w:r>
      <w:r>
        <w:rPr>
          <w:rFonts w:ascii="Times New Roman" w:cs="Times New Roman" w:eastAsia="Times New Roman" w:hAnsi="Times New Roman"/>
          <w:sz w:val="22"/>
          <w:szCs w:val="22"/>
          <w:color w:val="auto"/>
        </w:rPr>
        <w:t>” until three criteria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have been satisfied:</w:t>
      </w:r>
    </w:p>
    <w:p>
      <w:pPr>
        <w:spacing w:after="0" w:line="15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1"/>
          <w:szCs w:val="21"/>
          <w:color w:val="auto"/>
        </w:rPr>
        <w:t>First, the information must have been widely disseminated by the Company. Generally, Insiders should assume that information has NOT been widely disseminated unless it has been disclosed by the Company in (i) a press release distributed through a widely disseminated news or wire service, (ii) a publicly available filing made with the SEC or (iii) another manner compliant with Regulation FD (Fair Disclosure). For additional information regarding disclosures made in compliance with Regulation FD, see the Company’s Policies and Procedures for Compliance with Regulation FD.</w:t>
      </w:r>
    </w:p>
    <w:p>
      <w:pPr>
        <w:spacing w:after="0" w:line="16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Second, the information disseminated must be some form of “official” announcement or disclosure, which, in the case of information about the Company, must be made by the Company. In other words, the fact that rumors, speculation, or statements attributed to unidentified sources are public is insufficient to be considered widely disseminated even when the rumors, speculation, or statements are accurate.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4" w:name="page115"/>
    <w:bookmarkEnd w:id="114"/>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Third, after the information has been disseminated, a period of time must pass sufficient for the information to be absorbed by the general public. As a general rule, information should not be considered fully absorbed until after at least one full trading session has elapsed on the Nasdaq Stock Market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after the information has been publicly disclosed in a manner compliant with Regulation FD.</w:t>
      </w:r>
    </w:p>
    <w:p>
      <w:pPr>
        <w:spacing w:after="0" w:line="180"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u w:val="single" w:color="auto"/>
          <w:color w:val="auto"/>
        </w:rPr>
        <w:t xml:space="preserve">Restricted Persons. </w:t>
      </w:r>
      <w:r>
        <w:rPr>
          <w:rFonts w:ascii="Times New Roman" w:cs="Times New Roman" w:eastAsia="Times New Roman" w:hAnsi="Times New Roman"/>
          <w:sz w:val="22"/>
          <w:szCs w:val="22"/>
          <w:color w:val="auto"/>
        </w:rPr>
        <w:t>The term “Restricted Persons” means Permanent Restricted Persons and Other Restricted Persons,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as those terms are defined in Section 6.0.</w:t>
      </w:r>
    </w:p>
    <w:p>
      <w:pPr>
        <w:spacing w:after="0" w:line="152"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 xml:space="preserve">Section 16 Persons: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Section 16 Persons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means the Company’s directors and “officers” (as defined in Rule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16a-1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as designated by the Company from time to time.</w:t>
      </w:r>
    </w:p>
    <w:p>
      <w:pPr>
        <w:spacing w:after="0" w:line="164"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u w:val="single" w:color="auto"/>
          <w:color w:val="auto"/>
        </w:rPr>
        <w:t>Security or Securities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security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is defined very broadly by the securities laws and includes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stock (common and preferred), stock options, warrants, bonds, notes, debentures, convertible instruments, put or call options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exchange-traded options), or other similar instruments.</w:t>
      </w:r>
    </w:p>
    <w:p>
      <w:pPr>
        <w:spacing w:after="0" w:line="16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2"/>
          <w:szCs w:val="22"/>
          <w:u w:val="single" w:color="auto"/>
          <w:color w:val="auto"/>
        </w:rPr>
        <w:t>Trade or Trading</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means broadly any purchase, sale or other transaction to acquire,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transfer or dispose of securities, including derivative exercises, gifts or other contributions, pledges, exercises of stock options granted under the Company’s stock plans, sales of stock acquired upon the exercise of options and trades made under an employee benefit plan such as a 401(k) plan.</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3.0</w:t>
      </w:r>
      <w:r>
        <w:rPr>
          <w:sz w:val="20"/>
          <w:szCs w:val="20"/>
          <w:color w:val="auto"/>
        </w:rPr>
        <w:tab/>
      </w:r>
      <w:r>
        <w:rPr>
          <w:rFonts w:ascii="Times New Roman" w:cs="Times New Roman" w:eastAsia="Times New Roman" w:hAnsi="Times New Roman"/>
          <w:sz w:val="21"/>
          <w:szCs w:val="21"/>
          <w:b w:val="1"/>
          <w:bCs w:val="1"/>
          <w:color w:val="auto"/>
        </w:rPr>
        <w:t>General Statement of Policy</w:t>
      </w:r>
    </w:p>
    <w:p>
      <w:pPr>
        <w:spacing w:after="0" w:line="210" w:lineRule="exact"/>
        <w:rPr>
          <w:sz w:val="20"/>
          <w:szCs w:val="20"/>
          <w:color w:val="auto"/>
        </w:rPr>
      </w:pPr>
    </w:p>
    <w:p>
      <w:pPr>
        <w:jc w:val="both"/>
        <w:ind w:left="760" w:hanging="748"/>
        <w:spacing w:after="0" w:line="236" w:lineRule="auto"/>
        <w:tabs>
          <w:tab w:leader="none" w:pos="7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Trading in Securities of the Company</w:t>
      </w:r>
      <w:r>
        <w:rPr>
          <w:rFonts w:ascii="Times New Roman" w:cs="Times New Roman" w:eastAsia="Times New Roman" w:hAnsi="Times New Roman"/>
          <w:sz w:val="22"/>
          <w:szCs w:val="22"/>
          <w:color w:val="auto"/>
        </w:rPr>
        <w:t>. It is the policy of the Company that the Company and its directors, officers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employees comply with all federal and state securities laws and regulations applicable to the purchase and sale of the Company’s securities. Accordingly, no Insider may trade the Company’s securities at any time when the Insider has Material Non-Public Information concerning the Company. It is the responsibility of the Insider to be certain that he or she does not have Material Non-Public Information when determining to trade. For certain limited exceptions from prohibitions on trading imposed by this Policy, see Section 5.0 below.</w:t>
      </w:r>
    </w:p>
    <w:p>
      <w:pPr>
        <w:spacing w:after="0" w:line="181"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Trading in Securities of Other Companies</w:t>
      </w:r>
      <w:r>
        <w:rPr>
          <w:rFonts w:ascii="Times New Roman" w:cs="Times New Roman" w:eastAsia="Times New Roman" w:hAnsi="Times New Roman"/>
          <w:sz w:val="22"/>
          <w:szCs w:val="22"/>
          <w:color w:val="auto"/>
        </w:rPr>
        <w:t>. No Insider may trade securities of another company with which the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has a business relationship (including, without limitation, our customers, vendors, suppliers or partners) at any time when the Insider has non-public information that was obtained, in whole or in part, as a result of the Insider’s employment or relationship to the Company to the extent that such non-public information (regardless of its subject matter) may be material to the securities of the company that would be traded.</w:t>
      </w:r>
    </w:p>
    <w:p>
      <w:pPr>
        <w:spacing w:after="0" w:line="171"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 xml:space="preserve">Tipping. </w:t>
      </w:r>
      <w:r>
        <w:rPr>
          <w:rFonts w:ascii="Times New Roman" w:cs="Times New Roman" w:eastAsia="Times New Roman" w:hAnsi="Times New Roman"/>
          <w:sz w:val="22"/>
          <w:szCs w:val="22"/>
          <w:color w:val="auto"/>
        </w:rPr>
        <w:t>No Insider may disclose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 other person (including family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members), and no Insider may make trading recommendations on the basis of Material Non-Public Information. In addition, Insiders should take care before trading on the recommendation of others to ensure that the recommendation is not the result of an illegal “tip.”</w:t>
      </w:r>
    </w:p>
    <w:p>
      <w:pPr>
        <w:spacing w:after="0" w:line="178"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No Insider who receives or has access to the Company’s Material Non-Public Information may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comment on stock price movements or rumors of other corporate developments (including discussions in Internet “chat rooms” or on social media platforms) that are of possible significance to the investing public unless it is part of the Insider’s job (such as Investor Relations) or the Insider has been specifically authorized in accordance with the Company’s Policy and Procedures for Compliance with Regulation FD, which prohibits selective disclosure of Material Non-Public Information to market participants by persons acting on behalf of the Company. If you comment on corporate developments, stock price movements or rumors or disclose Material Non-Public Information to a third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5" w:name="page116"/>
    <w:bookmarkEnd w:id="115"/>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party, you must contact the Chief Legal Officer or his or her designee immediately. 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Company’s Chief Financial Officer, the head of investor relations or the Chief Legal Officer or their respective designees.</w:t>
      </w:r>
    </w:p>
    <w:p>
      <w:pPr>
        <w:spacing w:after="0" w:line="177"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u w:val="single" w:color="auto"/>
          <w:color w:val="auto"/>
        </w:rPr>
        <w:t>Window Periods</w:t>
      </w:r>
      <w:r>
        <w:rPr>
          <w:rFonts w:ascii="Times New Roman" w:cs="Times New Roman" w:eastAsia="Times New Roman" w:hAnsi="Times New Roman"/>
          <w:sz w:val="22"/>
          <w:szCs w:val="22"/>
          <w:color w:val="auto"/>
        </w:rPr>
        <w:t>. Even if you are not aware of any Material Non-Public Information, certain Insiders may only trade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Company’s securities during the four “Window Periods” that occur each fiscal year or in connection with an SEC-registered underwritten secondary offering of the Company. See Section 5.0. Certain of these persons must also receive pre-approval prior to any transaction involving the Company’s securities. See Section 6.0.</w:t>
      </w:r>
    </w:p>
    <w:p>
      <w:pPr>
        <w:spacing w:after="0" w:line="180"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2"/>
          <w:szCs w:val="22"/>
          <w:u w:val="single" w:color="auto"/>
          <w:color w:val="auto"/>
        </w:rPr>
        <w:t>Policy Effective Time</w:t>
      </w:r>
      <w:r>
        <w:rPr>
          <w:rFonts w:ascii="Times New Roman" w:cs="Times New Roman" w:eastAsia="Times New Roman" w:hAnsi="Times New Roman"/>
          <w:sz w:val="22"/>
          <w:szCs w:val="22"/>
          <w:color w:val="auto"/>
        </w:rPr>
        <w:t>. An Insider who is aware of Material Non-Public Information when he or she ceases to be an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Insider, may not trade in the Company’s securities until that information has become public or is no longer material. In addition, this Policy continues in effect for all Restricted Persons until the opening of the first Window Period after termination of employment or other relationship with the Company, except that, unless notified otherwise by the Company, the pre-clearance requirements set forth in Section 6.0 continue to apply to Permanent Restricted Persons for six months after the termination of their status as a Permanent Restricted Person. See Section 6.3. If you have specific questions regarding this Policy, what may constitute Material Non-Public Information or applicable law, please contact the Chief Legal Officer or his or her designee.</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4.0</w:t>
      </w:r>
      <w:r>
        <w:rPr>
          <w:sz w:val="20"/>
          <w:szCs w:val="20"/>
          <w:color w:val="auto"/>
        </w:rPr>
        <w:tab/>
      </w:r>
      <w:r>
        <w:rPr>
          <w:rFonts w:ascii="Times New Roman" w:cs="Times New Roman" w:eastAsia="Times New Roman" w:hAnsi="Times New Roman"/>
          <w:sz w:val="21"/>
          <w:szCs w:val="21"/>
          <w:b w:val="1"/>
          <w:bCs w:val="1"/>
          <w:color w:val="auto"/>
        </w:rPr>
        <w:t>Other Prohibited Transactions</w:t>
      </w:r>
    </w:p>
    <w:p>
      <w:pPr>
        <w:spacing w:after="0" w:line="102"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No Short Sales, Hedging or Speculative Transactions</w:t>
      </w:r>
      <w:r>
        <w:rPr>
          <w:rFonts w:ascii="Times New Roman" w:cs="Times New Roman" w:eastAsia="Times New Roman" w:hAnsi="Times New Roman"/>
          <w:sz w:val="22"/>
          <w:szCs w:val="22"/>
          <w:color w:val="auto"/>
        </w:rPr>
        <w:t>. No Insider, whether or not he or she possesses Material Non-Public Information, may trade in options, warrants, puts and calls or similar instruments on the Company’s securities or sell such securities “short” (i.e., selling stock that is not owned and borrowing the shares to make delivery) or engage in speculative trading (e.g., “day-trading”) that is intended to take advantage of short-term price fluctuations. Such activities may put the personal gain of the Insider in conflict with the best interests of the Company and its securityholders or otherwise give the appearance of impropriety. No Insider may engage in any transactions (including variable forward contracts, equity swaps, collars and exchange funds) that are designed to hedge or offset any decrease in the market value of the Company’s equity securities.</w:t>
      </w:r>
    </w:p>
    <w:p>
      <w:pPr>
        <w:spacing w:after="0" w:line="6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Managed Accounts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If you have a managed account (where another person has been given discretion or authority to trade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without your prior approval), you should advise your broker or investment advisor not to trade in Company securities at any time.</w:t>
      </w:r>
    </w:p>
    <w:p>
      <w:pPr>
        <w:spacing w:after="0" w:line="63"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u w:val="single" w:color="auto"/>
          <w:color w:val="auto"/>
        </w:rPr>
        <w:t xml:space="preserve">Standing or Limit Orders. </w:t>
      </w:r>
      <w:r>
        <w:rPr>
          <w:rFonts w:ascii="Times New Roman" w:cs="Times New Roman" w:eastAsia="Times New Roman" w:hAnsi="Times New Roman"/>
          <w:sz w:val="22"/>
          <w:szCs w:val="22"/>
          <w:color w:val="auto"/>
        </w:rPr>
        <w:t>Standing and limit orders (except standing and limit orders under approved Rule 10b5-1</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trading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Accordingly, the Company generally discourages the use of standing or limit orders by Insiders. Any standing order or limit order placed by an Insider on the Company’s securities should be limited to a short duration, must comply with the restrictions and procedures outlined in this Policy (including any applicable Window Periods and pre-clearance requirements), and (except standing and limit orders under approved Rule 10b5-1 trading plans) must be immediately revoked by the Insider upon acquisition of Material Non-Public Information or notice by the Company of a Special Blackout (as defined below) pursuant to Section 6.5.</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6" w:name="page117"/>
    <w:bookmarkEnd w:id="116"/>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5.0</w:t>
      </w:r>
      <w:r>
        <w:rPr>
          <w:sz w:val="20"/>
          <w:szCs w:val="20"/>
          <w:color w:val="auto"/>
        </w:rPr>
        <w:tab/>
      </w:r>
      <w:r>
        <w:rPr>
          <w:rFonts w:ascii="Times New Roman" w:cs="Times New Roman" w:eastAsia="Times New Roman" w:hAnsi="Times New Roman"/>
          <w:sz w:val="21"/>
          <w:szCs w:val="21"/>
          <w:b w:val="1"/>
          <w:bCs w:val="1"/>
          <w:color w:val="auto"/>
        </w:rPr>
        <w:t>Certain Limited Exceptions</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prohibition on trading in the Company’s securities set forth in Section 3.0 above does not apply to:</w:t>
      </w:r>
    </w:p>
    <w:p>
      <w:pPr>
        <w:spacing w:after="0" w:line="98" w:lineRule="exact"/>
        <w:rPr>
          <w:sz w:val="20"/>
          <w:szCs w:val="20"/>
          <w:color w:val="auto"/>
        </w:rPr>
      </w:pPr>
    </w:p>
    <w:p>
      <w:pPr>
        <w:ind w:left="1140" w:right="540" w:hanging="383"/>
        <w:spacing w:after="0" w:line="244"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shares to an entity that does not involve a change in the beneficial ownership of the shares (for example, to an inter vivos trust of which you are the sole beneficiary during your lifetime), provided that prior written notice of such distribution or transfer is provided to the Legal Department.</w:t>
      </w:r>
    </w:p>
    <w:p>
      <w:pPr>
        <w:spacing w:after="0" w:line="173" w:lineRule="exact"/>
        <w:rPr>
          <w:rFonts w:ascii="Times New Roman" w:cs="Times New Roman" w:eastAsia="Times New Roman" w:hAnsi="Times New Roman"/>
          <w:sz w:val="22"/>
          <w:szCs w:val="22"/>
          <w:color w:val="auto"/>
        </w:rPr>
      </w:pPr>
    </w:p>
    <w:p>
      <w:pPr>
        <w:ind w:left="1140" w:right="260" w:hanging="383"/>
        <w:spacing w:after="0" w:line="239"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exercise of stock options (including any net-settled stock option exercise) pursuant to our equity incentive plans; </w:t>
      </w:r>
      <w:r>
        <w:rPr>
          <w:rFonts w:ascii="Times New Roman" w:cs="Times New Roman" w:eastAsia="Times New Roman" w:hAnsi="Times New Roman"/>
          <w:sz w:val="22"/>
          <w:szCs w:val="22"/>
          <w:i w:val="1"/>
          <w:iCs w:val="1"/>
          <w:color w:val="auto"/>
        </w:rPr>
        <w:t>however, the sale of any stock acquired upon such exercise, including as part of a broker-assisted cashless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exercise of an option or any other market sale for the purpose of generating the cash needed to pay the exercise price of an option or to satisfy tax withholding requirements, is subject to this Policy</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140" w:right="360" w:hanging="383"/>
        <w:spacing w:after="0" w:line="244"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by the Company (whether mandated by the Company or pursuant to a tax withholding right) of shares of restricted stock, shares underlying restricted stock units or shares subject to an option, in each case, to satisfy tax withholding requirements.</w:t>
      </w:r>
    </w:p>
    <w:p>
      <w:pPr>
        <w:spacing w:after="0" w:line="173" w:lineRule="exact"/>
        <w:rPr>
          <w:rFonts w:ascii="Times New Roman" w:cs="Times New Roman" w:eastAsia="Times New Roman" w:hAnsi="Times New Roman"/>
          <w:sz w:val="22"/>
          <w:szCs w:val="22"/>
          <w:color w:val="auto"/>
        </w:rPr>
      </w:pPr>
    </w:p>
    <w:p>
      <w:pPr>
        <w:ind w:left="1140" w:right="280" w:hanging="383"/>
        <w:spacing w:after="0" w:line="258"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transactions pursuant to a trading plan that complies with SEC Rule 10b5-1 and which has been approved by the Company. See Section 7.1.</w:t>
      </w:r>
    </w:p>
    <w:p>
      <w:pPr>
        <w:spacing w:after="0" w:line="158" w:lineRule="exact"/>
        <w:rPr>
          <w:rFonts w:ascii="Times New Roman" w:cs="Times New Roman" w:eastAsia="Times New Roman" w:hAnsi="Times New Roman"/>
          <w:sz w:val="22"/>
          <w:szCs w:val="22"/>
          <w:color w:val="auto"/>
        </w:rPr>
      </w:pPr>
    </w:p>
    <w:p>
      <w:pPr>
        <w:ind w:left="1140" w:right="760" w:hanging="383"/>
        <w:spacing w:after="0" w:line="258"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the Company’s securities as a selling stockholder in a registered public offering in accordance with applicable securities laws.</w:t>
      </w:r>
    </w:p>
    <w:p>
      <w:pPr>
        <w:spacing w:after="0" w:line="158" w:lineRule="exact"/>
        <w:rPr>
          <w:rFonts w:ascii="Times New Roman" w:cs="Times New Roman" w:eastAsia="Times New Roman" w:hAnsi="Times New Roman"/>
          <w:sz w:val="22"/>
          <w:szCs w:val="22"/>
          <w:color w:val="auto"/>
        </w:rPr>
      </w:pPr>
    </w:p>
    <w:p>
      <w:pPr>
        <w:ind w:left="1140" w:hanging="383"/>
        <w:spacing w:after="0" w:line="238"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its securities as an investment option in the Company’s 401(k) plan, the purchase of stock through the Company’s 401(k) plan through regular payroll deductions; however, the sale of any such stock and the election to transfer funds into or out of, the election to increase or decrease the percentage of periodic contributions allocated to the stock fund, or a loan with respect to amounts invested in, the stock fund is subject to this Policy.</w:t>
      </w:r>
    </w:p>
    <w:p>
      <w:pPr>
        <w:spacing w:after="0" w:line="176" w:lineRule="exact"/>
        <w:rPr>
          <w:rFonts w:ascii="Times New Roman" w:cs="Times New Roman" w:eastAsia="Times New Roman" w:hAnsi="Times New Roman"/>
          <w:sz w:val="22"/>
          <w:szCs w:val="22"/>
          <w:color w:val="auto"/>
        </w:rPr>
      </w:pPr>
    </w:p>
    <w:p>
      <w:pPr>
        <w:ind w:left="1140" w:right="180" w:hanging="383"/>
        <w:spacing w:after="0" w:line="239"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its securities as an investment option in an employee stock purchase plan, the purchase of stock through the Company’s employee stock purchase plan</w:t>
      </w:r>
      <w:r>
        <w:rPr>
          <w:rFonts w:ascii="Times New Roman" w:cs="Times New Roman" w:eastAsia="Times New Roman" w:hAnsi="Times New Roman"/>
          <w:sz w:val="22"/>
          <w:szCs w:val="22"/>
          <w:i w:val="1"/>
          <w:iCs w:val="1"/>
          <w:color w:val="auto"/>
        </w:rPr>
        <w:t>; however, elections to participate in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 the sale of any such stock and changing instructions regarding the level of withholding contributions which are used to purchase stock is subject to this Policy</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1140" w:hanging="383"/>
        <w:spacing w:after="0" w:line="244"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in mutual funds and Exchange Traded Funds (ETFs) holding Company securities at any time, that are either based on broad indexes, such as Standard &amp; Poor’s, or on targeted sectors with portfolio holdings of at least 30 or more companies.</w:t>
      </w:r>
    </w:p>
    <w:p>
      <w:pPr>
        <w:spacing w:after="0" w:line="167" w:lineRule="exact"/>
        <w:rPr>
          <w:rFonts w:ascii="Times New Roman" w:cs="Times New Roman" w:eastAsia="Times New Roman" w:hAnsi="Times New Roman"/>
          <w:sz w:val="22"/>
          <w:szCs w:val="22"/>
          <w:color w:val="auto"/>
        </w:rPr>
      </w:pPr>
    </w:p>
    <w:p>
      <w:pPr>
        <w:ind w:left="1140" w:right="20" w:hanging="383"/>
        <w:spacing w:after="0" w:line="237" w:lineRule="auto"/>
        <w:tabs>
          <w:tab w:leader="none" w:pos="11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offers a dividend reinvestment plan (“</w:t>
      </w:r>
      <w:r>
        <w:rPr>
          <w:rFonts w:ascii="Times New Roman" w:cs="Times New Roman" w:eastAsia="Times New Roman" w:hAnsi="Times New Roman"/>
          <w:sz w:val="22"/>
          <w:szCs w:val="22"/>
          <w:b w:val="1"/>
          <w:bCs w:val="1"/>
          <w:i w:val="1"/>
          <w:iCs w:val="1"/>
          <w:color w:val="auto"/>
        </w:rPr>
        <w:t>DRIP</w:t>
      </w:r>
      <w:r>
        <w:rPr>
          <w:rFonts w:ascii="Times New Roman" w:cs="Times New Roman" w:eastAsia="Times New Roman" w:hAnsi="Times New Roman"/>
          <w:sz w:val="22"/>
          <w:szCs w:val="22"/>
          <w:color w:val="auto"/>
        </w:rPr>
        <w:t xml:space="preserve">”), the purchase of stock through the DRIP resulting from reinvestment of dividends paid on the Company’s securities; </w:t>
      </w:r>
      <w:r>
        <w:rPr>
          <w:rFonts w:ascii="Times New Roman" w:cs="Times New Roman" w:eastAsia="Times New Roman" w:hAnsi="Times New Roman"/>
          <w:sz w:val="22"/>
          <w:szCs w:val="22"/>
          <w:i w:val="1"/>
          <w:iCs w:val="1"/>
          <w:color w:val="auto"/>
        </w:rPr>
        <w:t>however, (i) a voluntary purchase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Company’s securities that results from additional contributions a participant chooses to make to the DRIP, and to a participant’s election to participate, cease participation or otherwise alter his or her participation in the DRIP, and (ii) a participant’s sale of any of the Company’s securities purchased pursuant to the DRIP, are subject to this Policy.</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17" w:name="page118"/>
    <w:bookmarkEnd w:id="117"/>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Pre-clearance of Trades and Other Procedures</w:t>
      </w:r>
    </w:p>
    <w:p>
      <w:pPr>
        <w:spacing w:after="0" w:line="1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Permanent Restricted Persons</w:t>
      </w:r>
      <w:r>
        <w:rPr>
          <w:rFonts w:ascii="Times New Roman" w:cs="Times New Roman" w:eastAsia="Times New Roman" w:hAnsi="Times New Roman"/>
          <w:sz w:val="21"/>
          <w:szCs w:val="21"/>
          <w:color w:val="auto"/>
        </w:rPr>
        <w:t>. The following are “Permanent Restricted Persons”:</w:t>
      </w:r>
    </w:p>
    <w:p>
      <w:pPr>
        <w:spacing w:after="0" w:line="98" w:lineRule="exact"/>
        <w:rPr>
          <w:sz w:val="20"/>
          <w:szCs w:val="20"/>
          <w:color w:val="auto"/>
        </w:rPr>
      </w:pPr>
    </w:p>
    <w:p>
      <w:pPr>
        <w:ind w:left="1500" w:hanging="369"/>
        <w:spacing w:after="0"/>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Persons; and</w:t>
      </w:r>
    </w:p>
    <w:p>
      <w:pPr>
        <w:spacing w:after="0" w:line="206" w:lineRule="exact"/>
        <w:rPr>
          <w:rFonts w:ascii="Times New Roman" w:cs="Times New Roman" w:eastAsia="Times New Roman" w:hAnsi="Times New Roman"/>
          <w:sz w:val="22"/>
          <w:szCs w:val="22"/>
          <w:color w:val="auto"/>
        </w:rPr>
      </w:pPr>
    </w:p>
    <w:p>
      <w:pPr>
        <w:ind w:left="1500" w:right="60" w:hanging="369"/>
        <w:spacing w:after="0" w:line="255" w:lineRule="auto"/>
        <w:tabs>
          <w:tab w:leader="none" w:pos="15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lives in the household of a Section 16 Person whether or not a family member, and any of their family members who do not live in their household but whose transactions in Company securities they direct, influence, or control (e.g., parents or children who consult with such Section 16 Person before they trade in Company securities), and trusts, corporations and other entities influenced or controlled by any of such persons.</w:t>
      </w:r>
    </w:p>
    <w:p>
      <w:pPr>
        <w:spacing w:after="0" w:line="162"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Permanent Restricted Persons must obtain the advance approval of the Chief Legal Officer or his or her designee in accordance with Section 6.3 before effecting trades of, or engaging in other transactions in, the Company’s securities, including, but not limited to, any purchase or sale, any exercise of an option (whether cashless or otherwise), gifts, loans, pledges, rights or warrant to purchase or sell such securities, contribution to a trust or other transfers, whether the transaction is for the individual’s own account, one over which they exercise control or one in which they have a beneficial interest.</w:t>
      </w:r>
    </w:p>
    <w:p>
      <w:pPr>
        <w:spacing w:after="0" w:line="181"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From time to time, the Company will notify persons other than Permanent Restricted Persons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that they are subject to the pre-clearance requirements set forth in Section 6.3 and/or the Window Periods set forth in Section 6.4 if the Company believes that, in the normal course of their duties, they are likely to have regular access to Material Non-Public Information (“</w:t>
      </w:r>
      <w:r>
        <w:rPr>
          <w:rFonts w:ascii="Times New Roman" w:cs="Times New Roman" w:eastAsia="Times New Roman" w:hAnsi="Times New Roman"/>
          <w:sz w:val="21"/>
          <w:szCs w:val="21"/>
          <w:b w:val="1"/>
          <w:bCs w:val="1"/>
          <w:i w:val="1"/>
          <w:iCs w:val="1"/>
          <w:color w:val="auto"/>
        </w:rPr>
        <w:t>Other Restricted Persons</w:t>
      </w:r>
      <w:r>
        <w:rPr>
          <w:rFonts w:ascii="Times New Roman" w:cs="Times New Roman" w:eastAsia="Times New Roman" w:hAnsi="Times New Roman"/>
          <w:sz w:val="21"/>
          <w:szCs w:val="21"/>
          <w:color w:val="auto"/>
        </w:rPr>
        <w:t>”). Examples of such persons include senior leadership and other employees working in Legal, Finance, Sales and Marketing, Information Technology and Corporate Development Departments, any person who lives in the household of such Other Restricted Persons, whether or not a family member, and any of their family members who do not live in their household but whose transactions in Company securities they direct, influence, or control (e.g., parents or children who consult with such Other Restricted Person before they trade in Company securities), and trusts, corporations and other entities influenced or controlled by any of such persons, and certain key support employees. Any person notified of their status as an Other Restricted Person will remain an Other Restricted Person subject to the pre-clearance requirements set forth in Section 6.3 and/or the Window Periods set forth in Section 6.4, as applicable, unless otherwise notified in writing by the Chief Legal Officer or his or her designee. Occasionally, certain individuals may have access to Material Non-Public Information for a limited period of time. During such a period, such persons may be notified that they are also Other Restricted Persons who will be subject to the pre-clearance requirements set forth in Section 6.3 and/or the Window Period restrictions set forth in Section 6.4.</w:t>
      </w:r>
    </w:p>
    <w:p>
      <w:pPr>
        <w:spacing w:after="0" w:line="70"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Subject to Section 7.1, Permanent Restricted Persons and Other Restricted Persons who are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notified that they are subject to the pre-clearance requirements of this Section 6.3 should submit a request for pre-clearance to the Chief Legal Officer or his or her designee at least two business days in advance of the proposed transaction (two weeks in the case of using shares as collateral for a loan (see Section 7.2)) by emailing the Chief Legal Officer or his or her designee a copy of the attached “Request for Approval” form. Approval must be in writing, specifying the securities involved. </w:t>
      </w:r>
      <w:r>
        <w:rPr>
          <w:rFonts w:ascii="Times New Roman" w:cs="Times New Roman" w:eastAsia="Times New Roman" w:hAnsi="Times New Roman"/>
          <w:sz w:val="22"/>
          <w:szCs w:val="22"/>
          <w:b w:val="1"/>
          <w:bCs w:val="1"/>
          <w:color w:val="auto"/>
        </w:rPr>
        <w:t>Approval for transactions will generally be granted only during a Window</w:t>
      </w:r>
    </w:p>
    <w:p>
      <w:pPr>
        <w:spacing w:after="0" w:line="2"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Period (described in Section 6.4 below) and the transaction may only be performed during the Window Period in which the approval was granted and in any event within two business days from the date of approval,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b w:val="1"/>
          <w:bCs w:val="1"/>
          <w:color w:val="auto"/>
        </w:rPr>
        <w:t xml:space="preserve"> that notwithstanding receipt of pre-clearance, you may not trade in Company securities if you subsequently become aware of Material Non-Public Information prior to effecting the transaction. </w:t>
      </w:r>
      <w:r>
        <w:rPr>
          <w:rFonts w:ascii="Times New Roman" w:cs="Times New Roman" w:eastAsia="Times New Roman" w:hAnsi="Times New Roman"/>
          <w:sz w:val="22"/>
          <w:szCs w:val="22"/>
          <w:color w:val="auto"/>
        </w:rPr>
        <w:t>Unless notified otherwise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Permanent Restricted Persons must comply with these pre-clearance requirements for six months after the termination of their status as a Permanent Restricted Person.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8" w:name="page119"/>
    <w:bookmarkEnd w:id="118"/>
    <w:p>
      <w:pPr>
        <w:jc w:val="both"/>
        <w:ind w:left="760" w:hanging="748"/>
        <w:spacing w:after="0" w:line="237" w:lineRule="auto"/>
        <w:tabs>
          <w:tab w:leader="none" w:pos="7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u w:val="single" w:color="auto"/>
          <w:color w:val="auto"/>
        </w:rPr>
        <w:t>Window Periods</w:t>
      </w:r>
      <w:r>
        <w:rPr>
          <w:rFonts w:ascii="Times New Roman" w:cs="Times New Roman" w:eastAsia="Times New Roman" w:hAnsi="Times New Roman"/>
          <w:sz w:val="22"/>
          <w:szCs w:val="22"/>
          <w:color w:val="auto"/>
        </w:rPr>
        <w:t>. The Company has established four “windows” of time during the fiscal year (“</w:t>
      </w:r>
      <w:r>
        <w:rPr>
          <w:rFonts w:ascii="Times New Roman" w:cs="Times New Roman" w:eastAsia="Times New Roman" w:hAnsi="Times New Roman"/>
          <w:sz w:val="22"/>
          <w:szCs w:val="22"/>
          <w:b w:val="1"/>
          <w:bCs w:val="1"/>
          <w:i w:val="1"/>
          <w:iCs w:val="1"/>
          <w:color w:val="auto"/>
        </w:rPr>
        <w:t>Window Periods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during which Request for Approval forms may be approved and trading may be performed by Restricted Persons. Each Window Period begins after one full trading session on the Nasdaq has been completed after the Company makes a public news release of its quarterly or annual earnings for the prior fiscal quarter or year. Assuming Nasdaq is open each day, the following example illustrates when such persons may trade after the Company’s public news release of its quarterly or annual earnings for the prior fiscal quarter or year:</w:t>
      </w:r>
    </w:p>
    <w:p>
      <w:pPr>
        <w:spacing w:after="0" w:line="50"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Announcement on Tuesday</w:t>
            </w:r>
          </w:p>
        </w:tc>
        <w:tc>
          <w:tcPr>
            <w:tcW w:w="26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w w:val="98"/>
              </w:rPr>
              <w:t>First Day of Trading</w:t>
            </w:r>
          </w:p>
        </w:tc>
      </w:tr>
      <w:tr>
        <w:trPr>
          <w:trHeight w:val="236"/>
        </w:trPr>
        <w:tc>
          <w:tcPr>
            <w:tcW w:w="23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Before market opens</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Wednesday</w:t>
            </w:r>
          </w:p>
        </w:tc>
        <w:tc>
          <w:tcPr>
            <w:tcW w:w="20" w:type="dxa"/>
            <w:vAlign w:val="bottom"/>
          </w:tcPr>
          <w:p>
            <w:pPr>
              <w:spacing w:after="0"/>
              <w:rPr>
                <w:sz w:val="20"/>
                <w:szCs w:val="20"/>
                <w:color w:val="auto"/>
              </w:rPr>
            </w:pPr>
          </w:p>
        </w:tc>
      </w:tr>
      <w:tr>
        <w:trPr>
          <w:trHeight w:val="243"/>
        </w:trPr>
        <w:tc>
          <w:tcPr>
            <w:tcW w:w="3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While market is open</w:t>
            </w:r>
          </w:p>
        </w:tc>
        <w:tc>
          <w:tcPr>
            <w:tcW w:w="2640" w:type="dxa"/>
            <w:vAlign w:val="bottom"/>
            <w:gridSpan w:val="3"/>
          </w:tcPr>
          <w:p>
            <w:pPr>
              <w:ind w:left="840"/>
              <w:spacing w:after="0" w:line="243" w:lineRule="exact"/>
              <w:rPr>
                <w:sz w:val="20"/>
                <w:szCs w:val="20"/>
                <w:color w:val="auto"/>
              </w:rPr>
            </w:pPr>
            <w:r>
              <w:rPr>
                <w:rFonts w:ascii="Times New Roman" w:cs="Times New Roman" w:eastAsia="Times New Roman" w:hAnsi="Times New Roman"/>
                <w:sz w:val="22"/>
                <w:szCs w:val="22"/>
                <w:color w:val="auto"/>
              </w:rPr>
              <w:t>Thursday</w:t>
            </w:r>
          </w:p>
        </w:tc>
      </w:tr>
      <w:tr>
        <w:trPr>
          <w:trHeight w:val="282"/>
        </w:trPr>
        <w:tc>
          <w:tcPr>
            <w:tcW w:w="3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After market closes</w:t>
            </w:r>
          </w:p>
        </w:tc>
        <w:tc>
          <w:tcPr>
            <w:tcW w:w="26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Thursday</w:t>
            </w:r>
          </w:p>
        </w:tc>
      </w:tr>
    </w:tbl>
    <w:p>
      <w:pPr>
        <w:spacing w:after="0" w:line="204"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That same Window Period closes at the close of trading on the last trading day that is two weeks prior to the end of the then current fiscal quarter. After the close of the Window Period, except as set forth in Section 5.0 above, Restricted Persons may not trade in any of the Company’s securities at least until the start of the next Window Period. 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Company’s securities. You must consult the Chief Legal Officer or his or her designee whenever you are in doubt.</w:t>
      </w:r>
    </w:p>
    <w:p>
      <w:pPr>
        <w:spacing w:after="0" w:line="183" w:lineRule="exact"/>
        <w:rPr>
          <w:sz w:val="20"/>
          <w:szCs w:val="20"/>
          <w:color w:val="auto"/>
        </w:rPr>
      </w:pPr>
    </w:p>
    <w:p>
      <w:pPr>
        <w:jc w:val="both"/>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u w:val="single" w:color="auto"/>
          <w:color w:val="auto"/>
        </w:rPr>
        <w:t>Special Blackouts</w:t>
      </w:r>
      <w:r>
        <w:rPr>
          <w:rFonts w:ascii="Times New Roman" w:cs="Times New Roman" w:eastAsia="Times New Roman" w:hAnsi="Times New Roman"/>
          <w:sz w:val="22"/>
          <w:szCs w:val="22"/>
          <w:color w:val="auto"/>
        </w:rPr>
        <w:t>. From time to time, the Company may require that directors, officers, selected employees and/or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 xml:space="preserve">others be prohibited from trading in the Company’s securities, including during a Window Period, regardless of any other provision of this Policy because of developments that have not yet been disclosed to the public. If the Company declares a blackout to which you are subject, then a member of the Legal Department will notify you when the blackout begins and when it ends. </w:t>
      </w:r>
      <w:r>
        <w:rPr>
          <w:rFonts w:ascii="Times New Roman" w:cs="Times New Roman" w:eastAsia="Times New Roman" w:hAnsi="Times New Roman"/>
          <w:sz w:val="22"/>
          <w:szCs w:val="22"/>
          <w:i w:val="1"/>
          <w:iCs w:val="1"/>
          <w:color w:val="auto"/>
        </w:rPr>
        <w:t>All those affected shall not trade in the Company’s securities while the suspension is in effect,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and shall not disclose to others inside or outside the Company that trading has been suspended for certain individuals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Though these blackouts generally will arise because the Company is involved in a highly- sensitive transaction, incident or event, they may be declared for any reason.</w:t>
      </w:r>
    </w:p>
    <w:p>
      <w:pPr>
        <w:spacing w:after="0" w:line="178"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u w:val="single" w:color="auto"/>
          <w:color w:val="auto"/>
        </w:rPr>
        <w:t>Notification of Window Periods</w:t>
      </w:r>
      <w:r>
        <w:rPr>
          <w:rFonts w:ascii="Times New Roman" w:cs="Times New Roman" w:eastAsia="Times New Roman" w:hAnsi="Times New Roman"/>
          <w:sz w:val="22"/>
          <w:szCs w:val="22"/>
          <w:color w:val="auto"/>
        </w:rPr>
        <w:t>. In order to assist you in complying with this Policy, the Company will endeavor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deliver an e-mail (or other communication) notifying all Restricted Persons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180"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u w:val="single" w:color="auto"/>
          <w:color w:val="auto"/>
        </w:rPr>
        <w:t>Hardship Exemptions</w:t>
      </w:r>
      <w:r>
        <w:rPr>
          <w:rFonts w:ascii="Times New Roman" w:cs="Times New Roman" w:eastAsia="Times New Roman" w:hAnsi="Times New Roman"/>
          <w:sz w:val="22"/>
          <w:szCs w:val="22"/>
          <w:color w:val="auto"/>
        </w:rPr>
        <w:t>. Those subject to the Window Periods or a blackout pursuant to Section 6.5 may request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hardship exemption for periods outside the Window Periods or during a blackout,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Chief Legal Officer or his or her designee.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19" w:name="page120"/>
    <w:bookmarkEnd w:id="119"/>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7.0</w:t>
      </w:r>
      <w:r>
        <w:rPr>
          <w:sz w:val="20"/>
          <w:szCs w:val="20"/>
          <w:color w:val="auto"/>
        </w:rPr>
        <w:tab/>
      </w:r>
      <w:r>
        <w:rPr>
          <w:rFonts w:ascii="Times New Roman" w:cs="Times New Roman" w:eastAsia="Times New Roman" w:hAnsi="Times New Roman"/>
          <w:sz w:val="21"/>
          <w:szCs w:val="21"/>
          <w:b w:val="1"/>
          <w:bCs w:val="1"/>
          <w:color w:val="auto"/>
        </w:rPr>
        <w:t>10b5-1 and Other Trading Plans/Margin Accounts and Pledges</w:t>
      </w:r>
    </w:p>
    <w:p>
      <w:pPr>
        <w:spacing w:after="0" w:line="210" w:lineRule="exact"/>
        <w:rPr>
          <w:sz w:val="20"/>
          <w:szCs w:val="20"/>
          <w:color w:val="auto"/>
        </w:rPr>
      </w:pPr>
    </w:p>
    <w:p>
      <w:pPr>
        <w:jc w:val="both"/>
        <w:ind w:left="760" w:hanging="748"/>
        <w:spacing w:after="0" w:line="233" w:lineRule="auto"/>
        <w:tabs>
          <w:tab w:leader="none" w:pos="7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10b5-1 Trading Plans</w:t>
      </w:r>
      <w:r>
        <w:rPr>
          <w:rFonts w:ascii="Times New Roman" w:cs="Times New Roman" w:eastAsia="Times New Roman" w:hAnsi="Times New Roman"/>
          <w:sz w:val="22"/>
          <w:szCs w:val="22"/>
          <w:color w:val="auto"/>
        </w:rPr>
        <w:t>. SEC Rule 10b5-1 provides generally that a purchase or sale is “on the basis” of Material Non-Public Information if the person engaging in the transaction is aware of the Material Non-Public Information when the person makes the purchase or sale. 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 A 10b5-1 trading plan can only be established when you do not possess Material Non-Public Information. Therefore, Insiders cannot enter into, or amend, these plans at any time when in possession of Material Non-Public Information and, in addition, Restricted Persons cannot enter into these plans outside of Window Periods. You must enter into a 10b5-1 trading plan in good faith and without any purpose of evading the prohibitions of the SEC’s rules and you must act in good faith with respect to the plan. In some circumstances, terminating a 10b5-1 trading plan that is in place could call into question whether it was entered into in good faith. In addition, a 10b5-1 trading plan must not permit you to exercise any subsequent influence over how, when, or whether the purchases or sales are made. 10b5-1 Plans must also otherwise comply with the conditions and limitations set forth in Rule 10b5-1 of the Exchange Act including, but not limited to, the length of time between plan commencement and the first trade thereunder (i.e., “cooling-off periods”), certification requirements and restrictions on overlapping plans, as applicable.</w:t>
      </w:r>
    </w:p>
    <w:p>
      <w:pPr>
        <w:spacing w:after="0" w:line="6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The rules regarding 10b5-1 trading plans are complex and you must fully comply with them. You should consult with your legal advisor before entering into any 10b5-1 trading plan.</w:t>
      </w:r>
    </w:p>
    <w:p>
      <w:pPr>
        <w:spacing w:after="0" w:line="5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1"/>
          <w:szCs w:val="21"/>
          <w:color w:val="auto"/>
        </w:rPr>
        <w:t>Each Restricted Person must pre-clear with the Chief Legal Officer or his or her designee its proposed trading plan or arrangement, including 10b5-1 trading plan prior to establishing, amending or terminating such plan (and such request shall be submitted at least five business days in advance of the proposed execution date). The Company reserves the right to withhold pre-clearance of the adoption, amendment or termination of a 10b5-1 trading plan that the Company determines is not consistent with the rules regarding such plans. Notwithstanding any pre-clearance of a 10b5-1 trading plan, the Company assumes no liability for the consequences of any transaction made pursuant to such plan. No Insider will be permitted to adopt a Rule 10b5-1 trading plan if such Insider has an existing contract, instruction or plan that would qualify for the affirmative defense under Rule 10b5-1, subject to the exceptions set forth in the rule. Once pre-cleared, if an Insider is a Section 16 Person, then no trades can be made under any approved 10b5-1 trading plan until the later of: (i) 90 days after the adoption or modification of the plan; and (ii) two business days following the disclosure of the Company’s financial results in a periodic report (Forms 10-K or 10-Q) for the fiscal quarter in which the plan was adopted or modified, subject to a maximum cooling-off period of 120 days. Insiders that are not Section 16 Persons cannot trade under an approved 10b5-1 plan until 30 days after the adoption or modification of the plan.</w:t>
      </w:r>
    </w:p>
    <w:p>
      <w:pPr>
        <w:spacing w:after="0" w:line="75"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If you enter into a 10b5-1 trading plan, your 10b5-1 trading plan should be structured to avoid purchases or sales on dates occurring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we announce material news, and the investing public and media may not understand the nuances of trading pursuant to a 10b5-1 trading plan. This could result in negative publicity for you and the Company if the SEC or the Nasdaq were to investigate your trades.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0" w:name="page121"/>
    <w:bookmarkEnd w:id="120"/>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For Insiders, any modification or termination of a pre-approved 10b5-1 or other trading plan requires pre-clearance by the Chief Legal Officer or his or her designee. In addition, any modification of a pre-approved 10b5-1 trading plan must occur when you are not aware of any Material Non-Public Information and must comply with the requirements of the rules regarding trading plans (including Rule 10b5-1, if applicable) and, if you are subject to Window Period restrictions, must take place during a Window Period. Plan modifications by Insiders will generally require a new cooling-off period other than for certain ministerial and non-material changes.</w:t>
      </w:r>
    </w:p>
    <w:p>
      <w:pPr>
        <w:spacing w:after="0" w:line="7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Transactions effected pursuant to a pre-cleared 10b5-1 or other trading plan will not require further pre-clearance at the time of the transaction if the plan specifies the dates, prices and amounts of the contemplated trades, or establishes a formula for determining the dates, prices and amounts.</w:t>
      </w:r>
    </w:p>
    <w:p>
      <w:pPr>
        <w:spacing w:after="0" w:line="65"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Finally, if you are a Section 16 Person, 10b5-1 and other trading plans require special care as the Company will be required to disclose the adoption, amendment or termination of any such plan (as well as the material terms of such plans) by such persons in its periodic reports filed with the SEC. Moreover, because such plans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trading plan is not permitted unless the trading plan requires your broker to notify the Company before the close of business on the day of the execution of the transaction. See Section 9.0.</w:t>
      </w:r>
    </w:p>
    <w:p>
      <w:pPr>
        <w:spacing w:after="0" w:line="28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Margin Accounts and Pledges</w:t>
      </w:r>
      <w:r>
        <w:rPr>
          <w:rFonts w:ascii="Times New Roman" w:cs="Times New Roman" w:eastAsia="Times New Roman" w:hAnsi="Times New Roman"/>
          <w:sz w:val="21"/>
          <w:szCs w:val="21"/>
          <w:color w:val="auto"/>
        </w:rPr>
        <w:t>. Securities purchased on margin may be sold by the broker without the customer’s consent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if the customer fails to meet a margin call. Similarly, securities held in an account which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172"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Therefore, no Company Personnel, whether or not in possession of Material Non-Public Information, may purchase the Company’s securities on margin, or borrow against any account in which the Company’s securities are held, or pledge the Company’s securities as collateral for a loan, without first obtaining pre-clearance. Request for approval must be submitted to the Chief Legal Officer or his or her designee at least two weeks prior to the execution of the documents evidencing the proposed pledge. The Chief Legal Officer or his or her designee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our securities held by the person making the request and the financial capacity of the person making the request. Notwithstanding the pre-clearance of any request, the Company assumes no liability for the consequences of any transaction made pursuant to such request.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1" w:name="page122"/>
    <w:bookmarkEnd w:id="121"/>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8.0</w:t>
      </w:r>
      <w:r>
        <w:rPr>
          <w:sz w:val="20"/>
          <w:szCs w:val="20"/>
          <w:color w:val="auto"/>
        </w:rPr>
        <w:tab/>
      </w:r>
      <w:r>
        <w:rPr>
          <w:rFonts w:ascii="Times New Roman" w:cs="Times New Roman" w:eastAsia="Times New Roman" w:hAnsi="Times New Roman"/>
          <w:sz w:val="21"/>
          <w:szCs w:val="21"/>
          <w:b w:val="1"/>
          <w:bCs w:val="1"/>
          <w:color w:val="auto"/>
        </w:rPr>
        <w:t>Potential Criminal and Civil Liability and/or Disciplinary Action</w:t>
      </w:r>
    </w:p>
    <w:p>
      <w:pPr>
        <w:spacing w:after="0" w:line="210"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u w:val="single" w:color="auto"/>
          <w:color w:val="auto"/>
        </w:rPr>
        <w:t>Individual Responsibility</w:t>
      </w:r>
      <w:r>
        <w:rPr>
          <w:rFonts w:ascii="Times New Roman" w:cs="Times New Roman" w:eastAsia="Times New Roman" w:hAnsi="Times New Roman"/>
          <w:sz w:val="22"/>
          <w:szCs w:val="22"/>
          <w:color w:val="auto"/>
        </w:rPr>
        <w:t>. Each Insider is individually responsible for complying with the securities laws and this Policy,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regardless of whether the Company has prohibited trading by that Insider or any other Insiders. Trading in securities during the Window Periods and outside of any suspension periods or with pre-clearance should not be considered a “safe harbor.” We remind you that, whether or not during a Window Period and whether or not you have obtained pre-clearance, you may not trade securities while in possession of Material Non- Public Information.</w:t>
      </w:r>
    </w:p>
    <w:p>
      <w:pPr>
        <w:spacing w:after="0" w:line="177"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You also should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it is advisable that if you invest in the Company’s securities or the securities of any company that has a substantial relationship with the Company, then you do so from the perspective of a long-term investor who would like to participate over time in the Company’s or such other company’s earnings growth and with the knowledge that you may be prohibited from disposing of such securities in the future.</w:t>
      </w:r>
    </w:p>
    <w:p>
      <w:pPr>
        <w:spacing w:after="0" w:line="178"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u w:val="single" w:color="auto"/>
          <w:color w:val="auto"/>
        </w:rPr>
        <w:t>Controlling Persons</w:t>
      </w:r>
      <w:r>
        <w:rPr>
          <w:rFonts w:ascii="Times New Roman" w:cs="Times New Roman" w:eastAsia="Times New Roman" w:hAnsi="Times New Roman"/>
          <w:sz w:val="22"/>
          <w:szCs w:val="22"/>
          <w:color w:val="auto"/>
        </w:rPr>
        <w:t>. Federal securities laws provide that, in addition to sanctions against an individual who trades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illegally, penalties may be assessed against what are known as “controlling persons” with respect to the violator. The term “controlling person” is not defined, but includes employers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whom they supervise, understand and comply with the requirements set forth in this Policy.</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Potential Sanctions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35" w:lineRule="auto"/>
        <w:tabs>
          <w:tab w:leader="none" w:pos="20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Insider Trading and Tipping</w:t>
      </w:r>
      <w:r>
        <w:rPr>
          <w:rFonts w:ascii="Times New Roman" w:cs="Times New Roman" w:eastAsia="Times New Roman" w:hAnsi="Times New Roman"/>
          <w:sz w:val="22"/>
          <w:szCs w:val="22"/>
          <w:color w:val="auto"/>
        </w:rPr>
        <w:t>. Insiders, controlling persons and the Company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83" w:lineRule="exact"/>
        <w:rPr>
          <w:sz w:val="20"/>
          <w:szCs w:val="20"/>
          <w:color w:val="auto"/>
        </w:rPr>
      </w:pPr>
    </w:p>
    <w:p>
      <w:pPr>
        <w:ind w:left="760" w:right="120" w:firstLine="745"/>
        <w:spacing w:after="0" w:line="238" w:lineRule="auto"/>
        <w:tabs>
          <w:tab w:leader="none" w:pos="20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Company Personnel who violate this Policy will be subject to disciplinary action, up to and including termination of employment for cause or termination of other service relationship, whether or not the Company Personnel’s failure to comply results in a violation of law. Needless to say, a violation of law, or even an SEC investigation that does not result in prosecution, can tarnish one’s reputation and irreparably damage a career and result in potentially significant costs of an investigation.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2" w:name="page123"/>
    <w:bookmarkEnd w:id="122"/>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u w:val="single" w:color="auto"/>
          <w:color w:val="auto"/>
        </w:rPr>
        <w:t>Questions and Violations</w:t>
      </w:r>
      <w:r>
        <w:rPr>
          <w:rFonts w:ascii="Times New Roman" w:cs="Times New Roman" w:eastAsia="Times New Roman" w:hAnsi="Times New Roman"/>
          <w:sz w:val="22"/>
          <w:szCs w:val="22"/>
          <w:color w:val="auto"/>
        </w:rPr>
        <w:t>. Anyone with questions concerning this Policy or its application should contact the Chief Legal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Officer or his or her designee. Any violation or perceived violation should be reported immediately to the Chief Legal Officer or his or her designee. Anonymous reporting of violations or perceived violations may be made through the Company’s Ethics and Compliance Hotline.</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Broker Requirements for Section 16 Persons</w:t>
      </w:r>
    </w:p>
    <w:p>
      <w:pPr>
        <w:spacing w:after="0" w:line="102"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The timely reporting of transactions requires tight interface with brokers handling transactions for Section 16 Persons.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spacing w:after="0" w:line="177" w:lineRule="exact"/>
        <w:rPr>
          <w:sz w:val="20"/>
          <w:szCs w:val="20"/>
          <w:color w:val="auto"/>
        </w:rPr>
      </w:pPr>
    </w:p>
    <w:p>
      <w:pPr>
        <w:jc w:val="both"/>
        <w:ind w:left="980" w:hanging="223"/>
        <w:spacing w:after="0" w:line="244"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enter any order (except for orders under pre-approved Rule 10b5-1 plans) without first verifying with the Company that your transaction was pre-cleared and complying with the brokerage firm’s compliance procedures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Rule 144); and</w:t>
      </w:r>
    </w:p>
    <w:p>
      <w:pPr>
        <w:spacing w:after="0" w:line="173" w:lineRule="exact"/>
        <w:rPr>
          <w:rFonts w:ascii="Times New Roman" w:cs="Times New Roman" w:eastAsia="Times New Roman" w:hAnsi="Times New Roman"/>
          <w:sz w:val="22"/>
          <w:szCs w:val="22"/>
          <w:color w:val="auto"/>
        </w:rPr>
      </w:pPr>
    </w:p>
    <w:p>
      <w:pPr>
        <w:jc w:val="both"/>
        <w:ind w:left="980" w:hanging="223"/>
        <w:spacing w:after="0" w:line="239"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report before the close of business on the day of the execution of the transaction to the Company by telephone and in writing via e-mail to the Chief Legal Officer or his or her designee, the complete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date, type of transaction, number of shares and price) details of every transaction involving the Company’s equity securities, including gifts, transfers and all transactions under 10b5-1 and other trading plans.</w:t>
      </w:r>
    </w:p>
    <w:p>
      <w:pPr>
        <w:spacing w:after="0" w:line="18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pacing w:after="0" w:line="6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102"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vendors, suppliers or customers or when such persons are subject to contractual confidentiality restrictions).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Non-Public Information should be appropriately safeguarded and should not be left where it may be seen by persons not entitled to the information or otherwise accessible by persons not entitled to the information, and Non-Public Information should not be discussed with any person within the Company under circumstances where it could be overheard.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3" w:name="page124"/>
    <w:bookmarkEnd w:id="123"/>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Accordingly, Company Personnel should not respond to any such inquiries and should refer all such inquiries to the Company’s Chief Financial Officer, the head of investor relations or the Chief Legal Officer or their respective designees. See also, Statement of Policy, Sections 3.4 and 3.5.</w:t>
      </w:r>
    </w:p>
    <w:p>
      <w:pPr>
        <w:spacing w:after="0" w:line="181"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1"/>
          <w:szCs w:val="21"/>
          <w:color w:val="auto"/>
        </w:rPr>
        <w:t>Neither this Policy nor any other agreement with the Company or policy of the Company, shall be deemed to prohibit any current or former Insider from communicating, cooperating or filing a charge or complaint with the SEC or any other governmental or law enforcement entity, concerning possible violations of any legal or regulatory requirement, or making disclosures, including providing documents or other information to a governmental entity that are protected under the whistleblower provisions of any applicable law or regulation, without notice to or approval of the Company, so long as (i) such communications and disclosures are consistent with applicable law and (ii) the information disclosed was not obtained through a communication that was subject to the attorney-client privilege (unless disclosure of that information would otherwise be permitted by an attorney pursuant to the applicable federal law, attorney conduct rules or otherwise). The Company will not limit the right of any current or former Insider to receive an award for providing information pursuant to the whistleblower provisions of any applicable law or regulation to the SEC or any other government agency. Any provisions of any agreement between the Company and any current or former Insider that is inconsistent with the above language or that may limit the ability of any person to receive an award under the whistleblowing provisions of applicable law is hereby deemed invalid and will not be enforced by the Company.</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Legal Effect of this Policy</w:t>
      </w:r>
    </w:p>
    <w:p>
      <w:pPr>
        <w:spacing w:after="0" w:line="210"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The Company’s Policy with respect to securities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August 6, 2025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351"/>
        </w:trPr>
        <w:tc>
          <w:tcPr>
            <w:tcW w:w="838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First Advantage Corporation Subsidiaries</w:t>
            </w:r>
          </w:p>
        </w:tc>
        <w:tc>
          <w:tcPr>
            <w:tcW w:w="2860" w:type="dxa"/>
            <w:vAlign w:val="bottom"/>
          </w:tcPr>
          <w:p>
            <w:pPr>
              <w:spacing w:after="0"/>
              <w:rPr>
                <w:sz w:val="24"/>
                <w:szCs w:val="24"/>
                <w:color w:val="auto"/>
              </w:rPr>
            </w:pPr>
          </w:p>
        </w:tc>
      </w:tr>
      <w:tr>
        <w:trPr>
          <w:trHeight w:val="364"/>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 of the Registrant - First Advantage Corporation (a Delaware corporation) - as of December 31, 2025</w:t>
            </w:r>
          </w:p>
        </w:tc>
        <w:tc>
          <w:tcPr>
            <w:tcW w:w="2860" w:type="dxa"/>
            <w:vAlign w:val="bottom"/>
          </w:tcPr>
          <w:p>
            <w:pPr>
              <w:spacing w:after="0"/>
              <w:rPr>
                <w:sz w:val="24"/>
                <w:szCs w:val="24"/>
                <w:color w:val="auto"/>
              </w:rPr>
            </w:pPr>
          </w:p>
        </w:tc>
      </w:tr>
      <w:tr>
        <w:trPr>
          <w:trHeight w:val="58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2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Jurisdiction of Organization</w:t>
            </w:r>
          </w:p>
        </w:tc>
      </w:tr>
      <w:tr>
        <w:trPr>
          <w:trHeight w:val="407"/>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A-Check America,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 Screening Ltd.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 Screening Ltd. (HKG)</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 Screening (M) Sdn Bhd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 Screening Pte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AIM Screening Pty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Bishops Services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Checkwell Decision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Screening Services LLC</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 Background Investigation,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FADV (Australia) PTY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FADV B.V.</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FADV Cooperatief UA</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FADV Malaysia Sdn. Bhd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Fastball Parent,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Acquisitions,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Australasia Pty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Australia Pty Ltd.</w:t>
            </w:r>
          </w:p>
        </w:tc>
        <w:tc>
          <w:tcPr>
            <w:tcW w:w="28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Background Services Corp.</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BackTrack Reports,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Bangladesh Ltd.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Bangladesh</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(Beijing) Co.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Canada,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Enterprise Screening Corporation</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Europe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Form I9 Compliance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Global Operating Center Private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(HK) Limited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Holdings,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Indian Holdings,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Infinite ID LLC</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Japan K.K.</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Limited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New Zealand Limited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Occupational Health Services, LLC.</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Philippines,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Poland sp z.o.o.</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Priderock Holding Company, Inc.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Private Limited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Pte. Ltd.</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Quest Research Corporation</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Quest Research Group Ltd.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Quest Research Limited</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Tax Consulting Services,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U.S., LLC</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Advantage (Zhuhai) Co.</w:t>
            </w:r>
          </w:p>
        </w:tc>
        <w:tc>
          <w:tcPr>
            <w:tcW w:w="28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4"/>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Hospital Laboratories, LLC</w:t>
            </w:r>
          </w:p>
        </w:tc>
        <w:tc>
          <w:tcPr>
            <w:tcW w:w="2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Virginia</w:t>
            </w:r>
          </w:p>
        </w:tc>
      </w:tr>
      <w:tr>
        <w:trPr>
          <w:trHeight w:val="979"/>
        </w:trPr>
        <w:tc>
          <w:tcPr>
            <w:tcW w:w="5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5" w:name="page126"/>
    <w:bookmarkEnd w:id="125"/>
    <w:p>
      <w:pPr>
        <w:spacing w:after="0"/>
        <w:tabs>
          <w:tab w:leader="none" w:pos="8580" w:val="left"/>
        </w:tabs>
        <w:rPr>
          <w:sz w:val="20"/>
          <w:szCs w:val="20"/>
          <w:color w:val="auto"/>
        </w:rPr>
      </w:pPr>
      <w:r>
        <w:rPr>
          <w:rFonts w:ascii="Times New Roman" w:cs="Times New Roman" w:eastAsia="Times New Roman" w:hAnsi="Times New Roman"/>
          <w:sz w:val="18"/>
          <w:szCs w:val="18"/>
          <w:color w:val="auto"/>
        </w:rPr>
        <w:t>Name of Subsidiary</w:t>
      </w:r>
      <w:r>
        <w:rPr>
          <w:sz w:val="20"/>
          <w:szCs w:val="20"/>
          <w:color w:val="auto"/>
        </w:rPr>
        <w:tab/>
      </w:r>
      <w:r>
        <w:rPr>
          <w:rFonts w:ascii="Times New Roman" w:cs="Times New Roman" w:eastAsia="Times New Roman" w:hAnsi="Times New Roman"/>
          <w:sz w:val="17"/>
          <w:szCs w:val="17"/>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IDASAN Singapore Pte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MultiLatin Advisors S.A. de CV</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National Credit Audit Corporation</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National Crime Check Pty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RISQ Group Holdings Pty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RISQ Group Management Consulting (Beijing) Co.</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Asia Pacific Pty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Backcheck Canada Corp.</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Canada (British Columbia)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EMEA B.V</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EMEA Holdings UK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(EMEA)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EMEA sp. z.o.o.</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Information Resources Private Limited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Infosystems Brazil Ltda.</w:t>
            </w:r>
          </w:p>
        </w:tc>
        <w:tc>
          <w:tcPr>
            <w:tcW w:w="50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Infosystems Colombia S.A.S.</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Infosystems Inc.</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Infosystems Mexico S.A. de C.V.</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Latin America Ltd.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Middle East DMCC</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UAE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Sterling Talent Solutions Philippines, Inc.</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STS SID LLC</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TP Verify Screening Services LLP</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Verify (Mauritius) Limited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Verify Limited</w:t>
            </w:r>
          </w:p>
        </w:tc>
        <w:tc>
          <w:tcPr>
            <w:tcW w:w="50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491"/>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 333-257380 of our reports dated February 26, 2026, relating to the financial statements of First Advantage Corporation and the effectiveness of First Advantage Corporation’s internal control over financial reporting appearing in this Annual Report on Form 10-K for the year ended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Staples, certify that:</w:t>
      </w:r>
    </w:p>
    <w:p>
      <w:pPr>
        <w:spacing w:after="0" w:line="11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720" w:val="left"/>
          <w:tab w:leader="none" w:pos="80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Marks, certify that:</w:t>
      </w:r>
    </w:p>
    <w:p>
      <w:pPr>
        <w:spacing w:after="0" w:line="117"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720" w:val="left"/>
          <w:tab w:leader="none" w:pos="800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First Advantage Corporation (the “Company”) for the year ended December 31, 2025 as filed with the Securities and Exchange Commission on the date hereof (the “Report”), I certify, pursuant to 18 U.S.C. § 1350, as adopted pursuant to § 906 of the Sarbanes-Oxley Act of 2002, that:</w:t>
      </w:r>
    </w:p>
    <w:p>
      <w:pPr>
        <w:spacing w:after="0" w:line="284"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5720" w:val="left"/>
          <w:tab w:leader="none" w:pos="80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First Advantage Corporation (the “Company”) for the year ended December 31, 2025 as filed with the Securities and Exchange Commission on the date hereof (the “Report”), I certify, pursuant to 18 U.S.C. § 1350, as adopted pursuant to § 906 of the Sarbanes-Oxley Act of 2002, that:</w:t>
      </w:r>
    </w:p>
    <w:p>
      <w:pPr>
        <w:spacing w:after="0" w:line="284"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tabs>
          <w:tab w:leader="none" w:pos="5720" w:val="left"/>
          <w:tab w:leader="none" w:pos="80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lowerLetter"/>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
      <w:numFmt w:val="bullet"/>
      <w:start w:val="1"/>
    </w:lvl>
    <w:lvl w:ilvl="1">
      <w:lvlJc w:val="left"/>
      <w:lvlText w:val="o"/>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lowerRoman"/>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118" Type="http://schemas.openxmlformats.org/officeDocument/2006/relationships/hyperlink" Target="https://www.sec.gov/Archives/edgar/data/1210677/000095017024023541/fa-ex2_1.htm" TargetMode="External"/><Relationship Id="rId119" Type="http://schemas.openxmlformats.org/officeDocument/2006/relationships/hyperlink" Target="https://www.sec.gov/Archives/edgar/data/1210677/000095017024056995/fa-ex2_2.htm" TargetMode="External"/><Relationship Id="rId120" Type="http://schemas.openxmlformats.org/officeDocument/2006/relationships/hyperlink" Target="https://www.sec.gov/Archives/edgar/data/1210677/000119312521200542/d12470dex31.htm" TargetMode="External"/><Relationship Id="rId121" Type="http://schemas.openxmlformats.org/officeDocument/2006/relationships/hyperlink" Target="https://www.sec.gov/Archives/edgar/data/1210677/000119312521200542/d12470dex32.htm" TargetMode="External"/><Relationship Id="rId122" Type="http://schemas.openxmlformats.org/officeDocument/2006/relationships/hyperlink" Target="https://www.sec.gov/Archives/edgar/data/1210677/000095017022004413/fa-ex4_1.htm" TargetMode="External"/><Relationship Id="rId123" Type="http://schemas.openxmlformats.org/officeDocument/2006/relationships/hyperlink" Target="https://www.sec.gov/Archives/edgar/data/1210677/000119312521200542/d12470dex103.htm" TargetMode="External"/><Relationship Id="rId124" Type="http://schemas.openxmlformats.org/officeDocument/2006/relationships/hyperlink" Target="https://www.sec.gov/Archives/edgar/data/1210677/000095017021001382/fa-20210630ex10_2.htm" TargetMode="External"/><Relationship Id="rId125" Type="http://schemas.openxmlformats.org/officeDocument/2006/relationships/hyperlink" Target="https://www.sec.gov/Archives/edgar/data/1210677/000095017023040616/fa-ex10_1.htm" TargetMode="External"/><Relationship Id="rId126" Type="http://schemas.openxmlformats.org/officeDocument/2006/relationships/hyperlink" Target="https://www.sec.gov/Archives/edgar/data/1210677/000119312521199389/d154811dex45.htm" TargetMode="External"/><Relationship Id="rId127" Type="http://schemas.openxmlformats.org/officeDocument/2006/relationships/hyperlink" Target="https://www.sec.gov/Archives/edgar/data/1210677/000095017022014791/fa-ex10_3.htm" TargetMode="External"/><Relationship Id="rId128" Type="http://schemas.openxmlformats.org/officeDocument/2006/relationships/hyperlink" Target="https://www.sec.gov/Archives/edgar/data/1210677/000095017022014791/fa-ex10_1.htm" TargetMode="External"/><Relationship Id="rId129" Type="http://schemas.openxmlformats.org/officeDocument/2006/relationships/hyperlink" Target="https://www.sec.gov/Archives/edgar/data/1210677/000095017022014791/fa-ex10_2.htm" TargetMode="External"/><Relationship Id="rId130" Type="http://schemas.openxmlformats.org/officeDocument/2006/relationships/hyperlink" Target="https://www.sec.gov/Archives/edgar/data/1210677/000095017022014791/fa-ex10_4.htm" TargetMode="External"/><Relationship Id="rId131" Type="http://schemas.openxmlformats.org/officeDocument/2006/relationships/hyperlink" Target="https://www.sec.gov/Archives/edgar/data/1210677/000095017021001382/fa-20210630ex10_6.htm" TargetMode="External"/><Relationship Id="rId132" Type="http://schemas.openxmlformats.org/officeDocument/2006/relationships/hyperlink" Target="https://www.sec.gov/Archives/edgar/data/1210677/000095017021001382/fa-20210630ex10_7.htm" TargetMode="External"/><Relationship Id="rId133" Type="http://schemas.openxmlformats.org/officeDocument/2006/relationships/hyperlink" Target="https://www.sec.gov/Archives/edgar/data/1210677/000119312521189386/d147929dex107.htm" TargetMode="External"/><Relationship Id="rId134" Type="http://schemas.openxmlformats.org/officeDocument/2006/relationships/hyperlink" Target="https://www.sec.gov/Archives/edgar/data/1210677/000095017023020564/fa-ex10_3.htm" TargetMode="External"/><Relationship Id="rId135" Type="http://schemas.openxmlformats.org/officeDocument/2006/relationships/hyperlink" Target="https://www.sec.gov/Archives/edgar/data/1210677/000119312521199389/d154811dex412.htm" TargetMode="External"/><Relationship Id="rId138" Type="http://schemas.openxmlformats.org/officeDocument/2006/relationships/hyperlink" Target="https://www.sec.gov/Archives/edgar/data/1210677/000095017023040616/fa-ex10_2.htm" TargetMode="External"/><Relationship Id="rId139" Type="http://schemas.openxmlformats.org/officeDocument/2006/relationships/hyperlink" Target="https://www.sec.gov/Archives/edgar/data/1210677/000119312521177004/d147929dex103.htm" TargetMode="External"/><Relationship Id="rId140" Type="http://schemas.openxmlformats.org/officeDocument/2006/relationships/hyperlink" Target="https://www.sec.gov/Archives/edgar/data/1210677/000119312521177004/d147929dex104.htm" TargetMode="External"/><Relationship Id="rId141" Type="http://schemas.openxmlformats.org/officeDocument/2006/relationships/hyperlink" Target="https://www.sec.gov/Archives/edgar/data/1210677/000119312521177004/d147929dex105.htm" TargetMode="External"/><Relationship Id="rId142" Type="http://schemas.openxmlformats.org/officeDocument/2006/relationships/hyperlink" Target="https://www.sec.gov/Archives/edgar/data/1210677/000119312521177004/d147929dex106.htm" TargetMode="External"/><Relationship Id="rId143" Type="http://schemas.openxmlformats.org/officeDocument/2006/relationships/hyperlink" Target="https://www.sec.gov/Archives/edgar/data/1210677/000095017023020564/fa-ex10_1.htm" TargetMode="External"/><Relationship Id="rId144" Type="http://schemas.openxmlformats.org/officeDocument/2006/relationships/hyperlink" Target="https://www.sec.gov/Archives/edgar/data/1210677/000095017023020564/fa-ex10_2.htm" TargetMode="External"/><Relationship Id="rId145" Type="http://schemas.openxmlformats.org/officeDocument/2006/relationships/hyperlink" Target="https://www.sec.gov/Archives/edgar/data/1210677/000119312521177004/d147929dex107.htm" TargetMode="External"/><Relationship Id="rId146" Type="http://schemas.openxmlformats.org/officeDocument/2006/relationships/hyperlink" Target="https://www.sec.gov/Archives/edgar/data/1210677/000119312521177004/d147929dex108.htm" TargetMode="External"/><Relationship Id="rId147" Type="http://schemas.openxmlformats.org/officeDocument/2006/relationships/hyperlink" Target="https://www.sec.gov/Archives/edgar/data/1210677/000119312521177004/d147929dex109.htm" TargetMode="External"/><Relationship Id="rId148" Type="http://schemas.openxmlformats.org/officeDocument/2006/relationships/hyperlink" Target="https://www.sec.gov/Archives/edgar/data/1210677/000119312521189386/d147929dex1016.htm" TargetMode="External"/><Relationship Id="rId149" Type="http://schemas.openxmlformats.org/officeDocument/2006/relationships/hyperlink" Target="https://www.sec.gov/Archives/edgar/data/1210677/000095017024093275/fa-ex10_1.htm" TargetMode="External"/><Relationship Id="rId150" Type="http://schemas.openxmlformats.org/officeDocument/2006/relationships/hyperlink" Target="https://www.sec.gov/Archives/edgar/data/1210677/000095017024102822/fa-ex10_1.htm" TargetMode="External"/><Relationship Id="rId151" Type="http://schemas.openxmlformats.org/officeDocument/2006/relationships/hyperlink" Target="https://www.sec.gov/Archives/edgar/data/1210677/000119312525175442/fa-ex10_1.htm" TargetMode="External"/><Relationship Id="rId152" Type="http://schemas.openxmlformats.org/officeDocument/2006/relationships/hyperlink" Target="https://www.sec.gov/Archives/edgar/data/1210677/000119312525175442/fa-ex10_2.htm" TargetMode="External"/><Relationship Id="rId153" Type="http://schemas.openxmlformats.org/officeDocument/2006/relationships/hyperlink" Target="https://www.sec.gov/Archives/edgar/data/1210677/000119312525175442/fa-ex10_3.htm" TargetMode="External"/><Relationship Id="rId154" Type="http://schemas.openxmlformats.org/officeDocument/2006/relationships/hyperlink" Target="https://www.sec.gov/Archives/edgar/data/1210677/000119312521177004/d147929dex1010.htm" TargetMode="External"/><Relationship Id="rId155" Type="http://schemas.openxmlformats.org/officeDocument/2006/relationships/hyperlink" Target="https://www.sec.gov/Archives/edgar/data/1210677/000119312521177004/d147929dex1011.htm" TargetMode="External"/><Relationship Id="rId158" Type="http://schemas.openxmlformats.org/officeDocument/2006/relationships/hyperlink" Target="https://www.sec.gov/Archives/edgar/data/1210677/000119312521177004/d147929dex1012.htm" TargetMode="External"/><Relationship Id="rId159" Type="http://schemas.openxmlformats.org/officeDocument/2006/relationships/hyperlink" Target="https://www.sec.gov/Archives/edgar/data/1210677/000095017023040616/fa-ex10_3.htm" TargetMode="External"/><Relationship Id="rId160" Type="http://schemas.openxmlformats.org/officeDocument/2006/relationships/hyperlink" Target="https://www.sec.gov/Archives/edgar/data/1210677/000095017024119269/fa-ex10_2.htm" TargetMode="External"/><Relationship Id="rId161" Type="http://schemas.openxmlformats.org/officeDocument/2006/relationships/hyperlink" Target="https://www.sec.gov/Archives/edgar/data/1210677/000095017025102016/fa-ex10_1.htm" TargetMode="External"/><Relationship Id="rId162" Type="http://schemas.openxmlformats.org/officeDocument/2006/relationships/hyperlink" Target="https://www.sec.gov/Archives/edgar/data/1210677/000095017024023094/fa-ex10_34.htm" TargetMode="External"/><Relationship Id="rId163" Type="http://schemas.openxmlformats.org/officeDocument/2006/relationships/hyperlink" Target="https://www.sec.gov/Archives/edgar/data/1210677/000095017024023541/fa-ex10_3.htm" TargetMode="External"/><Relationship Id="rId164" Type="http://schemas.openxmlformats.org/officeDocument/2006/relationships/hyperlink" Target="https://www.sec.gov/Archives/edgar/data/1210677/000095017024023094/f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2026-02-26T16:33:14Z</dcterms:created>
  <dcterms:modified xsi:type="dcterms:W3CDTF">2026-02-26T16:33:14Z</dcterms:modified>
</cp:coreProperties>
</file>