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bookmarkStart w:id="0" w:name="fa-20260930.htm"/>
      <w:bookmarkStart w:id="1" w:name="ksfa20260930"/>
      <w:bookmarkEnd w:id="0"/>
      <w:bookmarkEnd w:id="1"/>
      <w:r>
        <w:t> </w:t>
      </w:r>
    </w:p>
    <w:p>
      <w:pPr>
        <w:pStyle w:val="TextBody"/>
        <w:bidi w:val="0"/>
        <w:jc w:val="left"/>
      </w:pPr>
      <w:r>
        <w:t> </w:t>
      </w:r>
    </w:p>
    <w:p>
      <w:pPr>
        <w:pStyle w:val="TextBody"/>
        <w:pBdr>
          <w:top w:val="double" w:sz="6" w:space="1" w:color="000000"/>
        </w:pBdr>
        <w:bidi w:val="0"/>
        <w:jc w:val="left"/>
      </w:pPr>
      <w: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pPr>
      <w: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pPr>
      <w: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Commission File Number:</w:t>
      </w:r>
      <w:r>
        <w:rPr>
          <w:rFonts w:ascii="Times New Roman" w:hAnsi="Times New Roman"/>
          <w:color w:val="000000"/>
          <w:sz w:val="20"/>
        </w:rPr>
        <w:t xml:space="preserve"> </w:t>
      </w:r>
      <w:r>
        <w:rPr>
          <w:rFonts w:ascii="Times New Roman" w:hAnsi="Times New Roman"/>
          <w:b/>
          <w:color w:val="000000"/>
          <w:sz w:val="20"/>
        </w:rPr>
        <w:t>001-31666</w:t>
      </w:r>
    </w:p>
    <w:p>
      <w:pPr>
        <w:pStyle w:val="TextBody"/>
        <w:pBdr>
          <w:bottom w:val="single" w:sz="4" w:space="1" w:color="000000"/>
        </w:pBdr>
        <w:bidi w:val="0"/>
        <w:spacing w:before="40" w:after="100"/>
        <w:jc w:val="center"/>
      </w:pPr>
      <w:r>
        <w:t> </w:t>
      </w:r>
    </w:p>
    <w:p>
      <w:pPr>
        <w:pStyle w:val="TextBody"/>
        <w:bidi w:val="0"/>
        <w:jc w:val="center"/>
        <w:rPr>
          <w:rFonts w:ascii="Times New Roman" w:hAnsi="Times New Roman"/>
          <w:b/>
          <w:color w:val="000000"/>
          <w:sz w:val="48"/>
        </w:rPr>
      </w:pPr>
      <w:r>
        <w:rPr>
          <w:rFonts w:ascii="Times New Roman" w:hAnsi="Times New Roman"/>
          <w:b/>
          <w:color w:val="000000"/>
          <w:sz w:val="48"/>
        </w:rPr>
        <w:t>First Advantage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pPr>
      <w:r>
        <w:t> </w:t>
      </w:r>
    </w:p>
    <w:p>
      <w:pPr>
        <w:pStyle w:val="TextBody"/>
        <w:bidi w:val="0"/>
        <w:jc w:val="left"/>
      </w:pPr>
      <w:r>
        <w:t> </w:t>
      </w:r>
    </w:p>
    <w:tbl>
      <w:tblPr>
        <w:tblW w:w="4412" w:type="dxa"/>
        <w:jc w:val="left"/>
        <w:tblInd w:w="0" w:type="dxa"/>
        <w:tblLayout w:type="fixed"/>
        <w:tblCellMar>
          <w:top w:w="28" w:type="dxa"/>
          <w:left w:w="28" w:type="dxa"/>
          <w:bottom w:w="28" w:type="dxa"/>
          <w:right w:w="28" w:type="dxa"/>
        </w:tblCellMar>
      </w:tblPr>
      <w:tblGrid>
        <w:gridCol w:w="3166"/>
        <w:gridCol w:w="1246"/>
      </w:tblGrid>
      <w:tr>
        <w:tc>
          <w:tcPr>
            <w:tcW w:w="316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84-3884690</w:t>
            </w:r>
          </w:p>
        </w:tc>
      </w:tr>
      <w:tr>
        <w:tc>
          <w:tcPr>
            <w:tcW w:w="31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c>
          <w:tcPr>
            <w:tcW w:w="316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 Concourse Parkway NE, Suite 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Atlanta, GA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30328</w:t>
            </w:r>
          </w:p>
        </w:tc>
      </w:tr>
      <w:t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(678) 868-4151</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spacing w:before="40" w:after="283"/>
        <w:jc w:val="center"/>
      </w:pPr>
      <w:r>
        <w:t> </w:t>
      </w:r>
    </w:p>
    <w:p>
      <w:pPr>
        <w:pStyle w:val="TextBody"/>
        <w:bidi w:val="0"/>
        <w:spacing w:before="80" w:after="283"/>
        <w:jc w:val="left"/>
      </w:pPr>
      <w:r>
        <w: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 xml:space="preserve">Securities registered pursuant to Section 12(b) of the Act: </w:t>
      </w:r>
    </w:p>
    <w:p>
      <w:pPr>
        <w:pStyle w:val="TextBody"/>
        <w:bidi w:val="0"/>
        <w:jc w:val="left"/>
      </w:pPr>
      <w: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FA</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pPr>
      <w:r>
        <w:t> </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02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 xml:space="preserve">Indicate by check mark whether the registrant is a shell company (as defined in Rule 12b-2 of the Exchange Act). Yes ☐ No ☒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As of October 30, 2026, the registrant had 171,970,264 shares of common stock, $0.001 par value per share, outstanding.</w:t>
      </w:r>
    </w:p>
    <w:p>
      <w:pPr>
        <w:pStyle w:val="TextBody"/>
        <w:pBdr>
          <w:bottom w:val="double" w:sz="6" w:space="1" w:color="000000"/>
        </w:pBdr>
        <w:bidi w:val="0"/>
        <w:jc w:val="left"/>
      </w:pPr>
      <w:r>
        <w:t> </w:t>
      </w:r>
    </w:p>
    <w:p>
      <w:pPr>
        <w:pStyle w:val="TextBody"/>
        <w:bidi w:val="0"/>
        <w:jc w:val="left"/>
      </w:pPr>
      <w:r>
        <w:t> </w:t>
      </w:r>
    </w:p>
    <w:p>
      <w:pPr>
        <w:pStyle w:val="TextBody"/>
        <w:bidi w:val="0"/>
        <w:jc w:val="center"/>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pPr>
      <w: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part_i_financial_information">
              <w:r>
                <w:rPr>
                  <w:rStyle w:val="InternetLink"/>
                  <w:rFonts w:ascii="Times New Roman" w:hAnsi="Times New Roman"/>
                  <w:color w:val="0563C1"/>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_financial_statements">
              <w:r>
                <w:rPr>
                  <w:rStyle w:val="InternetLink"/>
                  <w:rFonts w:ascii="Times New Roman" w:hAnsi="Times New Roman"/>
                  <w:color w:val="0563C1"/>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balance_sheets">
              <w:r>
                <w:rPr>
                  <w:rStyle w:val="InternetLink"/>
                  <w:rFonts w:ascii="Times New Roman" w:hAnsi="Times New Roman"/>
                  <w:color w:val="0563C1"/>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statements_of_operations">
              <w:r>
                <w:rPr>
                  <w:rStyle w:val="InternetLink"/>
                  <w:rFonts w:ascii="Times New Roman" w:hAnsi="Times New Roman"/>
                  <w:color w:val="000080"/>
                  <w:sz w:val="20"/>
                  <w:u w:val="single"/>
                </w:rPr>
                <w:t>Condensed Consolidated Statements of Operations and Comprehensive Income (Loss</w:t>
              </w:r>
            </w:hyperlink>
            <w:r>
              <w:rPr>
                <w:rFonts w:ascii="Times New Roman" w:hAnsi="Times New Roman"/>
                <w:color w:val="0563C1"/>
                <w:sz w:val="20"/>
                <w:u w:val="single"/>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statement_of_cash_flows">
              <w:r>
                <w:rPr>
                  <w:rStyle w:val="InternetLink"/>
                  <w:rFonts w:ascii="Times New Roman" w:hAnsi="Times New Roman"/>
                  <w:color w:val="0563C1"/>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statement_of_changes_in_stockholders_eq">
              <w:r>
                <w:rPr>
                  <w:rStyle w:val="InternetLink"/>
                  <w:rFonts w:ascii="Times New Roman" w:hAnsi="Times New Roman"/>
                  <w:color w:val="0563C1"/>
                  <w:sz w:val="20"/>
                  <w:u w:val="single"/>
                </w:rPr>
                <w:t>Condensed Consolidated Statements of Changes in Stockholders’ Equity</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notes_to_financial_statements">
              <w:r>
                <w:rPr>
                  <w:rStyle w:val="InternetLink"/>
                  <w:rFonts w:ascii="Times New Roman" w:hAnsi="Times New Roman"/>
                  <w:color w:val="0563C1"/>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2_managements_discussion">
              <w:r>
                <w:rPr>
                  <w:rStyle w:val="InternetLink"/>
                  <w:rFonts w:ascii="Times New Roman" w:hAnsi="Times New Roman"/>
                  <w:color w:val="0563C1"/>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3_quantitative_and_qualitative">
              <w:r>
                <w:rPr>
                  <w:rStyle w:val="InternetLink"/>
                  <w:rFonts w:ascii="Times New Roman" w:hAnsi="Times New Roman"/>
                  <w:color w:val="0563C1"/>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4_controls_and_procedures">
              <w:r>
                <w:rPr>
                  <w:rStyle w:val="InternetLink"/>
                  <w:rFonts w:ascii="Times New Roman" w:hAnsi="Times New Roman"/>
                  <w:color w:val="0563C1"/>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part_ii_other_information">
              <w:r>
                <w:rPr>
                  <w:rStyle w:val="InternetLink"/>
                  <w:rFonts w:ascii="Times New Roman" w:hAnsi="Times New Roman"/>
                  <w:color w:val="0563C1"/>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_legal_proceedings">
              <w:r>
                <w:rPr>
                  <w:rStyle w:val="InternetLink"/>
                  <w:rFonts w:ascii="Times New Roman" w:hAnsi="Times New Roman"/>
                  <w:color w:val="0563C1"/>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a_risk_factors">
              <w:r>
                <w:rPr>
                  <w:rStyle w:val="InternetLink"/>
                  <w:rFonts w:ascii="Times New Roman" w:hAnsi="Times New Roman"/>
                  <w:color w:val="0563C1"/>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2_unregistered_sales_of_equity">
              <w:r>
                <w:rPr>
                  <w:rStyle w:val="InternetLink"/>
                  <w:rFonts w:ascii="Times New Roman" w:hAnsi="Times New Roman"/>
                  <w:color w:val="0563C1"/>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3_defaults_upon_senior_securities">
              <w:r>
                <w:rPr>
                  <w:rStyle w:val="InternetLink"/>
                  <w:rFonts w:ascii="Times New Roman" w:hAnsi="Times New Roman"/>
                  <w:color w:val="0563C1"/>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4_mine_safety_disclosures">
              <w:r>
                <w:rPr>
                  <w:rStyle w:val="InternetLink"/>
                  <w:rFonts w:ascii="Times New Roman" w:hAnsi="Times New Roman"/>
                  <w:color w:val="0563C1"/>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5_other_information">
              <w:r>
                <w:rPr>
                  <w:rStyle w:val="InternetLink"/>
                  <w:rFonts w:ascii="Times New Roman" w:hAnsi="Times New Roman"/>
                  <w:color w:val="0563C1"/>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6_exhibits">
              <w:r>
                <w:rPr>
                  <w:rStyle w:val="InternetLink"/>
                  <w:rFonts w:ascii="Times New Roman" w:hAnsi="Times New Roman"/>
                  <w:color w:val="0563C1"/>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pPr>
            <w:hyperlink w:anchor="signatures">
              <w:r>
                <w:rPr>
                  <w:rStyle w:val="InternetLink"/>
                  <w:rFonts w:ascii="Times New Roman" w:hAnsi="Times New Roman"/>
                  <w:color w:val="0563C1"/>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Condensed Consolidated Financial Statements (Unaudited)</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sz w:val="20"/>
        </w:rPr>
      </w:pPr>
      <w:bookmarkStart w:id="4" w:name="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6593"/>
        <w:gridCol w:w="146"/>
        <w:gridCol w:w="236"/>
        <w:gridCol w:w="1042"/>
        <w:gridCol w:w="166"/>
        <w:gridCol w:w="146"/>
        <w:gridCol w:w="233"/>
        <w:gridCol w:w="1030"/>
        <w:gridCol w:w="613"/>
      </w:tblGrid>
      <w:tr>
        <w:tc>
          <w:tcPr>
            <w:tcW w:w="6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par value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239,998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doubtful accounts of $7,413 and $8,084 at September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297,281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561,698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250,865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2,143,604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857,111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asset,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3,748,659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3,833,802</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109,888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230,459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 of deferred financing costs of $28,680 and $34,498 at September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2,080,039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190,255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2,520,250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$0.001 par value; 1,000,000,000 shares authorized, 171,983,905 and 174,190,461 shares issued and outstanding at September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1,528,315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(194,632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1,313,552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3,748,659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3,833,802</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Condensed Consolidated Statements of Operations and Comprehensive Income (Loss)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1964"/>
        <w:gridCol w:w="546"/>
        <w:gridCol w:w="211"/>
        <w:gridCol w:w="1141"/>
        <w:gridCol w:w="146"/>
        <w:gridCol w:w="146"/>
        <w:gridCol w:w="211"/>
        <w:gridCol w:w="1141"/>
        <w:gridCol w:w="546"/>
        <w:gridCol w:w="546"/>
        <w:gridCol w:w="211"/>
        <w:gridCol w:w="1141"/>
        <w:gridCol w:w="166"/>
        <w:gridCol w:w="146"/>
        <w:gridCol w:w="211"/>
        <w:gridCol w:w="1141"/>
        <w:gridCol w:w="591"/>
      </w:tblGrid>
      <w:tr>
        <w:tc>
          <w:tcPr>
            <w:tcW w:w="196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19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per share amounts)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409,151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1,154,372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1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1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(exclusive of depreciation and amortization below)</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222,039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and technology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57,459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180,517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185,846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19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405,668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366,908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1,066,775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1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1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131,406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19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1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income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(4,357</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9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(loss) per share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share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basic</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171,865,517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173,561,778</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172,436,934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173,071,481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175,435,437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175,549,342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174,286,474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173,071,481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6" w:name="statement_of_cash_flows"/>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6870"/>
        <w:gridCol w:w="146"/>
        <w:gridCol w:w="230"/>
        <w:gridCol w:w="920"/>
        <w:gridCol w:w="181"/>
        <w:gridCol w:w="159"/>
        <w:gridCol w:w="230"/>
        <w:gridCol w:w="855"/>
        <w:gridCol w:w="614"/>
      </w:tblGrid>
      <w:tr>
        <w:tc>
          <w:tcPr>
            <w:tcW w:w="6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185,846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8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8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Bad debt expense (recovery)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8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19,430</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and impairment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8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5,607</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8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(55,456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8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8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8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receivable and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68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186,828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129,185</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8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(47,579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8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(37,296</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of First Lien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8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8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settlement of share-based compensation plan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68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9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(126,873</w:t>
            </w:r>
          </w:p>
        </w:tc>
        <w:tc>
          <w:tcPr>
            <w:tcW w:w="1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23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85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(45,027</w:t>
            </w:r>
          </w:p>
        </w:tc>
        <w:tc>
          <w:tcPr>
            <w:tcW w:w="61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47,449</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240,084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169,483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241,014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216,932</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 net of refunds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27,884</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124,493</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acquired on account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Excise taxes on share repurchases incurred but not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7" w:name="statement_of_changes_in_stockholders_eq"/>
      <w:bookmarkEnd w:id="7"/>
      <w:r>
        <w:rPr>
          <w:rFonts w:ascii="Times New Roman" w:hAnsi="Times New Roman"/>
          <w:b/>
          <w:color w:val="000000"/>
          <w:sz w:val="20"/>
        </w:rPr>
        <w:t>Condensed Consolidated Statements of Changes in Stockholders’ Equity</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874"/>
        <w:gridCol w:w="146"/>
        <w:gridCol w:w="294"/>
        <w:gridCol w:w="590"/>
        <w:gridCol w:w="166"/>
        <w:gridCol w:w="146"/>
        <w:gridCol w:w="230"/>
        <w:gridCol w:w="1016"/>
        <w:gridCol w:w="166"/>
        <w:gridCol w:w="146"/>
        <w:gridCol w:w="211"/>
        <w:gridCol w:w="841"/>
        <w:gridCol w:w="166"/>
        <w:gridCol w:w="146"/>
        <w:gridCol w:w="288"/>
        <w:gridCol w:w="1010"/>
        <w:gridCol w:w="166"/>
        <w:gridCol w:w="146"/>
        <w:gridCol w:w="229"/>
        <w:gridCol w:w="1014"/>
        <w:gridCol w:w="214"/>
      </w:tblGrid>
      <w:tr>
        <w:tc>
          <w:tcPr>
            <w:tcW w:w="2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b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1,313,552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for tax obligations on restricted stock unit and option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1,293,784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for tax obligations on restricted stock unit and option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1,293,954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for tax obligations on restricted stock unit and option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1,549,664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1,324,657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pPr>
      <w:r>
        <w:t> </w:t>
      </w:r>
    </w:p>
    <w:p>
      <w:pPr>
        <w:pStyle w:val="TextBody"/>
        <w:bidi w:val="0"/>
        <w:spacing w:before="0" w:after="120"/>
        <w:jc w:val="left"/>
      </w:pPr>
      <w:r>
        <w:t> </w:t>
      </w:r>
    </w:p>
    <w:p>
      <w:pPr>
        <w:pStyle w:val="TextBody"/>
        <w:bidi w:val="0"/>
        <w:spacing w:before="0" w:after="120"/>
        <w:jc w:val="left"/>
      </w:pPr>
      <w:r>
        <w:t> </w:t>
      </w:r>
    </w:p>
    <w:p>
      <w:pPr>
        <w:pStyle w:val="TextBody"/>
        <w:bidi w:val="0"/>
        <w:spacing w:before="0" w:after="120"/>
        <w:jc w:val="left"/>
      </w:pPr>
      <w:r>
        <w:t> </w:t>
      </w:r>
    </w:p>
    <w:p>
      <w:pPr>
        <w:pStyle w:val="TextBody"/>
        <w:bidi w:val="0"/>
        <w:spacing w:before="0" w:after="120"/>
        <w:jc w:val="left"/>
      </w:pPr>
      <w:r>
        <w:t> </w:t>
      </w:r>
    </w:p>
    <w:p>
      <w:pPr>
        <w:pStyle w:val="TextBody"/>
        <w:bidi w:val="0"/>
        <w:spacing w:before="0" w:after="120"/>
        <w:jc w:val="left"/>
      </w:pPr>
      <w:r>
        <w:t> </w:t>
      </w:r>
    </w:p>
    <w:p>
      <w:pPr>
        <w:pStyle w:val="TextBody"/>
        <w:bidi w:val="0"/>
        <w:spacing w:before="0" w:after="120"/>
        <w:jc w:val="left"/>
      </w:pPr>
      <w:r>
        <w:t> </w:t>
      </w:r>
    </w:p>
    <w:p>
      <w:pPr>
        <w:pStyle w:val="TextBody"/>
        <w:bidi w:val="0"/>
        <w:spacing w:before="0" w:after="120"/>
        <w:jc w:val="left"/>
      </w:pPr>
      <w:r>
        <w:t> </w:t>
      </w:r>
    </w:p>
    <w:p>
      <w:pPr>
        <w:pStyle w:val="TextBody"/>
        <w:bidi w:val="0"/>
        <w:spacing w:before="0" w:after="120"/>
        <w:jc w:val="left"/>
      </w:pPr>
      <w:r>
        <w:t> </w:t>
      </w:r>
    </w:p>
    <w:p>
      <w:pPr>
        <w:pStyle w:val="TextBody"/>
        <w:bidi w:val="0"/>
        <w:spacing w:before="0" w:after="120"/>
        <w:jc w:val="left"/>
      </w:pPr>
      <w:r>
        <w:t> </w:t>
      </w:r>
    </w:p>
    <w:p>
      <w:pPr>
        <w:pStyle w:val="TextBody"/>
        <w:bidi w:val="0"/>
        <w:spacing w:before="0" w:after="120"/>
        <w:jc w:val="left"/>
      </w:pPr>
      <w:r>
        <w:t> </w:t>
      </w:r>
    </w:p>
    <w:p>
      <w:pPr>
        <w:pStyle w:val="TextBody"/>
        <w:bidi w:val="0"/>
        <w:spacing w:before="0" w:after="120"/>
        <w:jc w:val="left"/>
      </w:pPr>
      <w:r>
        <w:t> </w:t>
      </w:r>
    </w:p>
    <w:p>
      <w:pPr>
        <w:pStyle w:val="TextBody"/>
        <w:bidi w:val="0"/>
        <w:spacing w:before="0" w:after="12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Stockholders’ Equity (Continued)</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before="0" w:after="120"/>
        <w:jc w:val="left"/>
      </w:pPr>
      <w:r>
        <w:t> </w:t>
      </w:r>
    </w:p>
    <w:tbl>
      <w:tblPr>
        <w:tblW w:w="10205" w:type="dxa"/>
        <w:jc w:val="left"/>
        <w:tblInd w:w="0" w:type="dxa"/>
        <w:tblLayout w:type="fixed"/>
        <w:tblCellMar>
          <w:top w:w="28" w:type="dxa"/>
          <w:left w:w="28" w:type="dxa"/>
          <w:bottom w:w="28" w:type="dxa"/>
          <w:right w:w="28" w:type="dxa"/>
        </w:tblCellMar>
      </w:tblPr>
      <w:tblGrid>
        <w:gridCol w:w="2874"/>
        <w:gridCol w:w="146"/>
        <w:gridCol w:w="294"/>
        <w:gridCol w:w="590"/>
        <w:gridCol w:w="166"/>
        <w:gridCol w:w="146"/>
        <w:gridCol w:w="230"/>
        <w:gridCol w:w="1016"/>
        <w:gridCol w:w="166"/>
        <w:gridCol w:w="146"/>
        <w:gridCol w:w="211"/>
        <w:gridCol w:w="841"/>
        <w:gridCol w:w="166"/>
        <w:gridCol w:w="146"/>
        <w:gridCol w:w="288"/>
        <w:gridCol w:w="1010"/>
        <w:gridCol w:w="166"/>
        <w:gridCol w:w="146"/>
        <w:gridCol w:w="229"/>
        <w:gridCol w:w="1014"/>
        <w:gridCol w:w="214"/>
      </w:tblGrid>
      <w:tr>
        <w:tc>
          <w:tcPr>
            <w:tcW w:w="2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b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1,307,039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Forfeitures of previously declared cash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for tax obligations on restricted stock unit and option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1,278,755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for tax obligations on restricted stock unit and option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1,299,163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Forfeitures of previously declared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for tax obligations on restricted stock unit and option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1,523,996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1,301,623</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Unaudited Condensed Consolidated Financial Statements</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 Organization, Nature of Business, and Basis of Presentation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First Advantage Corporation, a Delaware corporation, was formed on November 15, 2019. Hereafter, First Advantage Corporation and its subsidiaries will collectively be referred to as the “Company.”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derives its revenues from a variety of background check, identity, and compliance services performed across all phases of the employee lifecycle from pre-onboarding services to post-onboarding and ongoing monitoring services, covering employees, contractors, contingent workers, and drivers. We generally classify our service offerings into three categories: pre-onboarding, post-onboarding, and adjacent products.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Pre-onboarding services are comprised of an extensive array of products and solutions that customers typically utilize to enhance their evaluation process and support compliance from the time a job or other application is submitted to a successful applicant’s onboarding date. This includes searches such as criminal background checks, drug / health screenings, extended workforce screening, biometrics and identity checks, education / workforce verification, driver records and compliance, healthcare credentials, and executive screening.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Post-onboarding services are comprised of continuous monitoring and re-screening solutions, which are important tools to help our customers keep their end customers, workforces, and other stakeholders safer, more productive, and more compliant. Our post-monitoring solutions include criminal records, healthcare sanctions, motor vehicle records, social media, and global sanctions screening continuously or at regular intervals selected by our customers.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Adjacent products include products that complement our pre-onboarding and post-onboarding products and solutions. This includes fleet and vehicle compliance, hiring tax credits and incentives, employment eligibility, and investigative research.</w:t>
      </w:r>
    </w:p>
    <w:p>
      <w:pPr>
        <w:pStyle w:val="TextBody"/>
        <w:bidi w:val="0"/>
        <w:spacing w:before="0" w:after="180"/>
        <w:jc w:val="left"/>
        <w:rPr>
          <w:rFonts w:ascii="Times New Roman" w:hAnsi="Times New Roman"/>
          <w:sz w:val="20"/>
        </w:rPr>
      </w:pPr>
      <w:r>
        <w:rPr>
          <w:rFonts w:ascii="Times New Roman" w:hAnsi="Times New Roman"/>
          <w:b/>
          <w:color w:val="000000"/>
          <w:sz w:val="20"/>
        </w:rPr>
        <w:t xml:space="preserve">Basis of Presentation </w:t>
      </w:r>
      <w:r>
        <w:rPr>
          <w:rFonts w:ascii="Times New Roman" w:hAnsi="Times New Roman"/>
          <w:color w:val="000000"/>
          <w:sz w:val="20"/>
        </w:rPr>
        <w:t xml:space="preserve">—The accompanying unaudited condensed consolidated financial statements have been prepared in accordance with accounting principles generally accepted in the United States of America (“GAAP”) and include the accounts of the Company and its wholly owned subsidiaries. All significant intercompany transactions and balances have been eliminated. The Company includes the results of operations of acquired companies prospectively from the date of acquisition.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condensed consolidated financial statements included herein are unaudited, but in the opinion of management, such financial statements include all adjustments, consisting of normal recurring adjustments, necessary to summarize fairly the Company’s financial position, results of operations, and cash flows for the interim periods presented. The interim results reported in these condensed consolidated financial statements should not be taken as indicative of results that may be expected for future interim periods or the full year. For a more comprehensive understanding of the Company and its condensed consolidated financial statements, these interim financial statements should be read in conjunction with the Company’s Annual Report on Form 10-K for the year ended December 31,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has historically experienced seasonality with respect to certain customer industries as a result of fluctuations in hiring volumes and other economic activities. Certain customers across various industries historically increase their hiring throughout the second quarter of the year as winter concludes, and the school year ends, giving rise to student and graduate hiring, and increased commercial activity tied to other activities. This is generally followed by elevated pre-holiday season hiring volumes later in the summer and through October and November of each year. As a result, the Company has a mostly balanced revenue distribution across the second, third, and fourth quarters each year and a seasonal low in the first quarter.</w:t>
      </w:r>
    </w:p>
    <w:p>
      <w:pPr>
        <w:pStyle w:val="TextBody"/>
        <w:bidi w:val="0"/>
        <w:spacing w:before="0" w:after="180"/>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 The preparation of the condensed consolidated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Changes in these estimates and assumptions may have a material impact on the condensed consolidated financial statements and accompanying notes.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Significant estimates, judgments, and assumptions, include, but are not limited to, the determination of the fair value and useful lives of assets acquired and liabilities assumed through business combinations, goodwill impairment, impairment of long-lived assets, revenue recognition, capitalized software, assumptions used for purposes of determining share-based compensation, and income tax liabilities and assets. The Company bases its estimates on historical experience and on various other assumptions that are believed to be reasonable under the circumstances. Actual results could differ from these estimates.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jc w:val="left"/>
        <w:rPr>
          <w:rFonts w:ascii="Times New Roman" w:hAnsi="Times New Roman"/>
          <w:sz w:val="20"/>
        </w:rPr>
      </w:pPr>
      <w:r>
        <w:rPr>
          <w:rFonts w:ascii="Times New Roman" w:hAnsi="Times New Roman"/>
          <w:b/>
          <w:color w:val="000000"/>
          <w:sz w:val="20"/>
        </w:rPr>
        <w:t>Fair Value of Financial Instruments</w:t>
      </w:r>
      <w:r>
        <w:rPr>
          <w:rFonts w:ascii="Times New Roman" w:hAnsi="Times New Roman"/>
          <w:color w:val="000000"/>
          <w:sz w:val="20"/>
        </w:rPr>
        <w:t xml:space="preserve"> — Certain financial assets and liabilities are reported at fair value in the accompanying consolidated balance sheets in accordance with Financial Accounting Standards Board (“FASB”) Accounting Standards Codification (“ASC”) 820, </w:t>
      </w:r>
      <w:r>
        <w:rPr>
          <w:rFonts w:ascii="Times New Roman" w:hAnsi="Times New Roman"/>
          <w:i/>
          <w:color w:val="000000"/>
          <w:sz w:val="20"/>
        </w:rPr>
        <w:t>Fair Value Measurement</w:t>
      </w:r>
      <w:r>
        <w:rPr>
          <w:rFonts w:ascii="Times New Roman" w:hAnsi="Times New Roman"/>
          <w:color w:val="000000"/>
          <w:sz w:val="20"/>
        </w:rPr>
        <w:t>. ASC 820 establishes a framework for measuring fair value and expands disclosures about fair value measurements. ASC 820 defines fair value as the price that would be received upon sale of an asset or paid to transfer a liability in an orderly transaction between market participants at the measurement date. The valuation techniques required by ASC 820 are based upon observable and unobservable inputs. Observable inputs reflect market data obtained from independent sources, while unobservable inputs reflect internal market assumptions. These two types of inputs create the following fair value hierarchy:</w:t>
      </w:r>
    </w:p>
    <w:p>
      <w:pPr>
        <w:pStyle w:val="TextBody"/>
        <w:bidi w:val="0"/>
        <w:spacing w:before="180" w:after="180"/>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Quoted prices for identical instruments in active markets.</w:t>
      </w:r>
    </w:p>
    <w:p>
      <w:pPr>
        <w:pStyle w:val="TextBody"/>
        <w:bidi w:val="0"/>
        <w:spacing w:before="0" w:after="180"/>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before="0" w:after="180"/>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Significant inputs to the valuation model are unobservable (supported by little or no market activities). These inputs may be used with internally developed methodologies that reflect the Company’s best estimate of fair value from a market participant.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carrying amounts of cash and cash equivalents, receivables, and accounts payable approximate fair value due to the short-term maturities of these financial instruments (Level 1). The fair values and carrying values of the Company’s debt are disclosed in Note 5, “Debt”.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presents information about the Company’s financial assets and liabilities that are measured at fair value on a recurring basis and their assigned levels within the valuation hierarchy as of September 30, 2026 (in thousands):</w:t>
      </w:r>
    </w:p>
    <w:tbl>
      <w:tblPr>
        <w:tblW w:w="4954" w:type="dxa"/>
        <w:jc w:val="left"/>
        <w:tblInd w:w="0" w:type="dxa"/>
        <w:tblLayout w:type="fixed"/>
        <w:tblCellMar>
          <w:top w:w="28" w:type="dxa"/>
          <w:left w:w="28" w:type="dxa"/>
          <w:bottom w:w="28" w:type="dxa"/>
          <w:right w:w="28" w:type="dxa"/>
        </w:tblCellMar>
      </w:tblPr>
      <w:tblGrid>
        <w:gridCol w:w="1791"/>
        <w:gridCol w:w="146"/>
        <w:gridCol w:w="239"/>
        <w:gridCol w:w="391"/>
        <w:gridCol w:w="146"/>
        <w:gridCol w:w="146"/>
        <w:gridCol w:w="211"/>
        <w:gridCol w:w="571"/>
        <w:gridCol w:w="146"/>
        <w:gridCol w:w="146"/>
        <w:gridCol w:w="239"/>
        <w:gridCol w:w="391"/>
        <w:gridCol w:w="391"/>
      </w:tblGrid>
      <w:tr>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17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br/>
        <w:t>Assets and Liabilities Measured at Fair Value on a Nonrecurring Basis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Other intangible assets are subject to nonrecurring fair value measurement as the result of business acquisitions. The fair values of these assets were estimated using the present value of expected future cash flows through unobservable inputs (Level 3). </w:t>
      </w:r>
    </w:p>
    <w:p>
      <w:pPr>
        <w:pStyle w:val="TextBody"/>
        <w:bidi w:val="0"/>
        <w:spacing w:before="0" w:after="180"/>
        <w:jc w:val="left"/>
        <w:rPr>
          <w:rFonts w:ascii="Times New Roman" w:hAnsi="Times New Roman"/>
          <w:sz w:val="20"/>
        </w:rPr>
      </w:pPr>
      <w:r>
        <w:rPr>
          <w:rFonts w:ascii="Times New Roman" w:hAnsi="Times New Roman"/>
          <w:b/>
          <w:color w:val="000000"/>
          <w:sz w:val="20"/>
        </w:rPr>
        <w:t>Business Combinations —</w:t>
      </w:r>
      <w:r>
        <w:rPr>
          <w:rFonts w:ascii="Times New Roman" w:hAnsi="Times New Roman"/>
          <w:color w:val="000000"/>
          <w:sz w:val="20"/>
        </w:rPr>
        <w:t xml:space="preserve"> The Company records business combinations using the acquisition method of accounting in accordance with ASC 805, </w:t>
      </w:r>
      <w:r>
        <w:rPr>
          <w:rFonts w:ascii="Times New Roman" w:hAnsi="Times New Roman"/>
          <w:i/>
          <w:color w:val="000000"/>
          <w:sz w:val="20"/>
        </w:rPr>
        <w:t>Business Combinations</w:t>
      </w:r>
      <w:r>
        <w:rPr>
          <w:rFonts w:ascii="Times New Roman" w:hAnsi="Times New Roman"/>
          <w:color w:val="000000"/>
          <w:sz w:val="20"/>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valuing trade names, customer lists, software developed for internal use, and other intangible assets, the Company utilizes variations of the income approach, which relies on historical financial and qualitative information, as well as assumptions and estimates for projected financial information. The Company considers the income approach the most appropriate valuation technique because the inherent value of these assets is their ability to generate current and future income. Projected financial information is subject to risk if estimates are incorrect. The most significant estimate relates to projected revenues and profitability. If the projected revenues and profitability used in the valuation calculations are not met, then the asset could be impaired.</w:t>
      </w:r>
    </w:p>
    <w:p>
      <w:pPr>
        <w:pStyle w:val="TextBody"/>
        <w:bidi w:val="0"/>
        <w:spacing w:before="0" w:after="180"/>
        <w:jc w:val="left"/>
        <w:rPr>
          <w:rFonts w:ascii="Times New Roman" w:hAnsi="Times New Roman"/>
          <w:sz w:val="20"/>
        </w:rPr>
      </w:pPr>
      <w:r>
        <w:rPr>
          <w:rFonts w:ascii="Times New Roman" w:hAnsi="Times New Roman"/>
          <w:b/>
          <w:color w:val="000000"/>
          <w:sz w:val="20"/>
        </w:rPr>
        <w:t xml:space="preserve">Concentrations of Credit Risk — </w:t>
      </w:r>
      <w:r>
        <w:rPr>
          <w:rFonts w:ascii="Times New Roman" w:hAnsi="Times New Roman"/>
          <w:color w:val="000000"/>
          <w:sz w:val="20"/>
        </w:rPr>
        <w:t>Financial instruments which potentially subject the Company to concentrations of credit risk consist principally of cash and cash equivalents and accounts receivable. Cash is deposited with major financial institutions and, at times, such balances with each financial institution may be in excess of insured limits. The Company has not experienced, and does not anticipate, any losses with respect to its cash deposits. Accounts receivable represent credit granted to customers for services provided. The Company performs ongoing credit evaluations of its customers’ financial condition and generally does not require collateral on accounts receivable. The Company did not have any customers which represented 10% or more of its consolidated revenues</w:t>
      </w:r>
      <w:r>
        <w:rPr>
          <w:rFonts w:ascii="Times New Roman" w:hAnsi="Times New Roman"/>
          <w:color w:val="FF0000"/>
          <w:sz w:val="20"/>
        </w:rPr>
        <w:t xml:space="preserve"> </w:t>
      </w:r>
      <w:r>
        <w:rPr>
          <w:rFonts w:ascii="Times New Roman" w:hAnsi="Times New Roman"/>
          <w:color w:val="000000"/>
          <w:sz w:val="20"/>
        </w:rPr>
        <w:t>in any segment during the three and nine months ended September 30, 2026 and 2025. Additionally, the Company did not have any customers which represented 10% or more of its consolidated accounts receivable, net for any period presented.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has entered into interest rate derivative agreements with a counterparty bank to reduce its exposure to interest rate volatility. The Company has determined the counterparty bank to be a high credit quality institution. The Company does not enter into financial instruments for trading or speculative purposes.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80"/>
        <w:jc w:val="left"/>
        <w:rPr>
          <w:rFonts w:ascii="Times New Roman" w:hAnsi="Times New Roman"/>
          <w:sz w:val="20"/>
        </w:rPr>
      </w:pPr>
      <w:r>
        <w:rPr>
          <w:rFonts w:ascii="Times New Roman" w:hAnsi="Times New Roman"/>
          <w:b/>
          <w:color w:val="000000"/>
          <w:sz w:val="20"/>
        </w:rPr>
        <w:t>Foreign Currency</w:t>
      </w:r>
      <w:r>
        <w:rPr>
          <w:rFonts w:ascii="Times New Roman" w:hAnsi="Times New Roman"/>
          <w:color w:val="000000"/>
          <w:sz w:val="20"/>
        </w:rPr>
        <w:t xml:space="preserve"> — The functional currency of all of the Company’s foreign subsidiaries is the applicable local currency. The translation of the applicable foreign currencies into U.S. dollars is performed for balance sheet accounts using current exchange rates in effect at the balance sheet date and for revenues and expense accounts using average exchange rates prevailing during the fiscal year. Adjustments resulting from the translation of foreign currency financial statements are accumulated net of tax in a separate component of equity. Foreign currency translation income (loss) included in accumulated other comprehensive income (loss) was approximately $1.8 million and $(7.0) million for the three months ended September 30, 2026 and 2025, respectively. Foreign currency translation (loss) income</w:t>
      </w:r>
      <w:r>
        <w:rPr>
          <w:rFonts w:ascii="Times New Roman" w:hAnsi="Times New Roman"/>
          <w:color w:val="FF0000"/>
          <w:sz w:val="20"/>
        </w:rPr>
        <w:t xml:space="preserve"> </w:t>
      </w:r>
      <w:r>
        <w:rPr>
          <w:rFonts w:ascii="Times New Roman" w:hAnsi="Times New Roman"/>
          <w:color w:val="000000"/>
          <w:sz w:val="20"/>
        </w:rPr>
        <w:t>included in accumulated other comprehensive income (loss) was approximately $(11.1) million and $12.9 million for the nine months ended September 30, 2026 and 2025, respectively.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Gains or losses resulting from foreign currency transactions are included in the accompanying condensed consolidated statements of operations and comprehensive income (loss), except for those relating to intercompany transactions of a long-term investment nature, which are captured in a separate component of equity as accumulated other comprehensive loss. Foreign currency transaction (loss) income included in the accompanying condensed consolidated statements of operations and comprehensive income (loss) was approximately $(0.2) million and $1.3 million for the three months ended September 30, 2026 and 2025, respectively. Foreign currency transaction income included in the accompanying condensed consolidated statements of operations and comprehensive income (loss) was approximately $4.0 million and $0.5 million for the nine months ended September 30, 2026 and 2025, respectively. </w:t>
      </w:r>
    </w:p>
    <w:p>
      <w:pPr>
        <w:pStyle w:val="TextBody"/>
        <w:bidi w:val="0"/>
        <w:spacing w:before="0" w:after="180"/>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 There were no accounting pronouncements issued during the nine months ended September 30, 2026 that are expected to have a material impact on the condensed consolidated financial statements.</w:t>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Note 3. Property and Equipment, net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Property and equipment, net as of September 30, 2026 and December 31, 2025 consisted of the following (in thousands):</w:t>
      </w:r>
    </w:p>
    <w:tbl>
      <w:tblPr>
        <w:tblW w:w="10205" w:type="dxa"/>
        <w:jc w:val="left"/>
        <w:tblInd w:w="0" w:type="dxa"/>
        <w:tblLayout w:type="fixed"/>
        <w:tblCellMar>
          <w:top w:w="28" w:type="dxa"/>
          <w:left w:w="28" w:type="dxa"/>
          <w:bottom w:w="28" w:type="dxa"/>
          <w:right w:w="28" w:type="dxa"/>
        </w:tblCellMar>
      </w:tblPr>
      <w:tblGrid>
        <w:gridCol w:w="6527"/>
        <w:gridCol w:w="146"/>
        <w:gridCol w:w="306"/>
        <w:gridCol w:w="1219"/>
        <w:gridCol w:w="166"/>
        <w:gridCol w:w="146"/>
        <w:gridCol w:w="297"/>
        <w:gridCol w:w="1185"/>
        <w:gridCol w:w="213"/>
      </w:tblGrid>
      <w:tr>
        <w:tc>
          <w:tcPr>
            <w:tcW w:w="6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c>
          <w:tcPr>
            <w:tcW w:w="652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36,460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for internal use, acquired by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467,477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for internal use, developed internally or otherwise 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163,266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668,487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(417,622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250,865</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Depreciation and amortization expense of property and equipment was approximately $28.3 million and $28.0 million for the three months ended September 30, 2026 and 2025, respectively. Depreciation and amortization expense of property and equipment was approximately $83.6 million and $83.3 million for the nine months ended September 30, 2026 and 2025, respectively.</w:t>
      </w:r>
    </w:p>
    <w:p>
      <w:pPr>
        <w:pStyle w:val="TextBody"/>
        <w:bidi w:val="0"/>
        <w:spacing w:before="180" w:after="180"/>
        <w:jc w:val="both"/>
        <w:rPr>
          <w:rFonts w:ascii="Times New Roman" w:hAnsi="Times New Roman"/>
          <w:b/>
          <w:color w:val="000000"/>
          <w:sz w:val="20"/>
        </w:rPr>
      </w:pPr>
      <w:r>
        <w:rPr>
          <w:rFonts w:ascii="Times New Roman" w:hAnsi="Times New Roman"/>
          <w:b/>
          <w:color w:val="000000"/>
          <w:sz w:val="20"/>
        </w:rPr>
        <w:t>Note 4. Goodwill and Other Intangible Assets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changes in the carrying amount of goodwill for the nine months ended September 30, 2026 by reportable segment were as follows (in thousands): </w:t>
      </w:r>
    </w:p>
    <w:tbl>
      <w:tblPr>
        <w:tblW w:w="9858" w:type="dxa"/>
        <w:jc w:val="left"/>
        <w:tblInd w:w="0" w:type="dxa"/>
        <w:tblLayout w:type="fixed"/>
        <w:tblCellMar>
          <w:top w:w="28" w:type="dxa"/>
          <w:left w:w="28" w:type="dxa"/>
          <w:bottom w:w="28" w:type="dxa"/>
          <w:right w:w="28" w:type="dxa"/>
        </w:tblCellMar>
      </w:tblPr>
      <w:tblGrid>
        <w:gridCol w:w="3721"/>
        <w:gridCol w:w="146"/>
        <w:gridCol w:w="274"/>
        <w:gridCol w:w="1016"/>
        <w:gridCol w:w="146"/>
        <w:gridCol w:w="146"/>
        <w:gridCol w:w="273"/>
        <w:gridCol w:w="1017"/>
        <w:gridCol w:w="166"/>
        <w:gridCol w:w="146"/>
        <w:gridCol w:w="211"/>
        <w:gridCol w:w="931"/>
        <w:gridCol w:w="166"/>
        <w:gridCol w:w="146"/>
        <w:gridCol w:w="211"/>
        <w:gridCol w:w="931"/>
        <w:gridCol w:w="211"/>
      </w:tblGrid>
      <w:t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7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w:t>
              <w:br/>
              <w:t>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w:t>
              <w:br/>
              <w:t>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2,143,604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of goodwill for asset disposition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703,393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1,318,751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2,136,569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summarizes the gross carrying value and accumulated amortization for the Company’s trade names, customer lists, and other intangible assets as of September 30, 2026 and December 31, 2025 (in thousands):</w:t>
      </w:r>
    </w:p>
    <w:tbl>
      <w:tblPr>
        <w:tblW w:w="7675" w:type="dxa"/>
        <w:jc w:val="left"/>
        <w:tblInd w:w="0" w:type="dxa"/>
        <w:tblLayout w:type="fixed"/>
        <w:tblCellMar>
          <w:top w:w="28" w:type="dxa"/>
          <w:left w:w="28" w:type="dxa"/>
          <w:bottom w:w="28" w:type="dxa"/>
          <w:right w:w="28" w:type="dxa"/>
        </w:tblCellMar>
      </w:tblPr>
      <w:tblGrid>
        <w:gridCol w:w="1966"/>
        <w:gridCol w:w="146"/>
        <w:gridCol w:w="230"/>
        <w:gridCol w:w="1015"/>
        <w:gridCol w:w="146"/>
        <w:gridCol w:w="146"/>
        <w:gridCol w:w="216"/>
        <w:gridCol w:w="865"/>
        <w:gridCol w:w="166"/>
        <w:gridCol w:w="146"/>
        <w:gridCol w:w="265"/>
        <w:gridCol w:w="980"/>
        <w:gridCol w:w="146"/>
        <w:gridCol w:w="146"/>
        <w:gridCol w:w="1096"/>
      </w:tblGrid>
      <w:t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c>
          <w:tcPr>
            <w:tcW w:w="19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6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r>
      <w:tr>
        <w:tc>
          <w:tcPr>
            <w:tcW w:w="19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(in years)</w:t>
            </w:r>
          </w:p>
        </w:tc>
      </w:tr>
      <w:t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 years</w:t>
            </w:r>
          </w:p>
        </w:tc>
      </w:tr>
      <w:t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 years</w:t>
            </w:r>
          </w:p>
        </w:tc>
      </w:tr>
      <w:t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 years</w:t>
            </w:r>
          </w:p>
        </w:tc>
      </w:tr>
      <w:tr>
        <w:tc>
          <w:tcPr>
            <w:tcW w:w="1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1,320,277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747,090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80"/>
        <w:jc w:val="both"/>
      </w:pPr>
      <w:r>
        <w:t> </w:t>
      </w:r>
    </w:p>
    <w:tbl>
      <w:tblPr>
        <w:tblW w:w="7675" w:type="dxa"/>
        <w:jc w:val="left"/>
        <w:tblInd w:w="0" w:type="dxa"/>
        <w:tblLayout w:type="fixed"/>
        <w:tblCellMar>
          <w:top w:w="28" w:type="dxa"/>
          <w:left w:w="28" w:type="dxa"/>
          <w:bottom w:w="28" w:type="dxa"/>
          <w:right w:w="28" w:type="dxa"/>
        </w:tblCellMar>
      </w:tblPr>
      <w:tblGrid>
        <w:gridCol w:w="1966"/>
        <w:gridCol w:w="146"/>
        <w:gridCol w:w="230"/>
        <w:gridCol w:w="1015"/>
        <w:gridCol w:w="146"/>
        <w:gridCol w:w="146"/>
        <w:gridCol w:w="216"/>
        <w:gridCol w:w="865"/>
        <w:gridCol w:w="166"/>
        <w:gridCol w:w="146"/>
        <w:gridCol w:w="265"/>
        <w:gridCol w:w="980"/>
        <w:gridCol w:w="146"/>
        <w:gridCol w:w="146"/>
        <w:gridCol w:w="1096"/>
      </w:tblGrid>
      <w:t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c>
          <w:tcPr>
            <w:tcW w:w="19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6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c>
          <w:tcPr>
            <w:tcW w:w="19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(in years)</w:t>
            </w:r>
          </w:p>
        </w:tc>
      </w:tr>
      <w:t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 years</w:t>
            </w:r>
          </w:p>
        </w:tc>
      </w:tr>
      <w:t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 years</w:t>
            </w:r>
          </w:p>
        </w:tc>
      </w:tr>
      <w:t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 years</w:t>
            </w:r>
          </w:p>
        </w:tc>
      </w:tr>
      <w:tr>
        <w:tc>
          <w:tcPr>
            <w:tcW w:w="1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1,337,390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857,111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January 2026, the Company sold certain customer relationships associated with an adjacent product to an unrelated third party for cash consideration. The customers transferred represented less than 0.5% of consolidated revenues for the year ended December 31, 2025. The Company retained the underlying technology, data, and other assets and continues to operate the subsidiary’s remaining portions of the business. Because the transaction did not represent a strategic shift or the disposal of a separate major line of business, the related operations are not presented as discontinued operations. In connection with the asset disposition, the Company derecognized $5.0 million of goodwill and $2.5 million of customer lists.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Amortization expense of trade names, customer lists, and other intangible assets was approximately $38.6 million and $34.2 million for the three months ended September 30, 2026 and 2025, respectively. Amortization expense of trade names, customer lists, and other intangible assets was approximately $107.4 million and $102.5 million for the nine months ended September 30, 2026 and 2025, respectively. Trade names and customer lists are amortized on an accelerated basis based upon their estimated useful life. Other intangible assets are amortized on a straight-line or accelerated basis over their expected useful life of five years.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5. Debt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fair value of the Company’s debt obligation approximated its book value as of September 30, 2026 and December 31, 2025 and consisted of the following (in thousands): </w:t>
      </w:r>
    </w:p>
    <w:tbl>
      <w:tblPr>
        <w:tblW w:w="6265" w:type="dxa"/>
        <w:jc w:val="left"/>
        <w:tblInd w:w="0" w:type="dxa"/>
        <w:tblLayout w:type="fixed"/>
        <w:tblCellMar>
          <w:top w:w="28" w:type="dxa"/>
          <w:left w:w="28" w:type="dxa"/>
          <w:bottom w:w="28" w:type="dxa"/>
          <w:right w:w="28" w:type="dxa"/>
        </w:tblCellMar>
      </w:tblPr>
      <w:tblGrid>
        <w:gridCol w:w="2551"/>
        <w:gridCol w:w="146"/>
        <w:gridCol w:w="285"/>
        <w:gridCol w:w="1260"/>
        <w:gridCol w:w="166"/>
        <w:gridCol w:w="146"/>
        <w:gridCol w:w="277"/>
        <w:gridCol w:w="1223"/>
        <w:gridCol w:w="211"/>
      </w:tblGrid>
      <w:t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2,114,537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1,990,857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2,080,039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First Advantage Holdings, LLC, an indirect wholly-owned subsidiary of the Company, is a party to a First Lien Credit Agreement (as amended, “2024 First Lien Credit Agreement”), which provided for a term loan of $2.185 billion due October 31, 2031 and a $250.0 million revolving credit facility due October 31, 2029. </w:t>
      </w:r>
    </w:p>
    <w:p>
      <w:pPr>
        <w:pStyle w:val="TextBody"/>
        <w:bidi w:val="0"/>
        <w:spacing w:before="0" w:after="180"/>
        <w:jc w:val="left"/>
        <w:rPr>
          <w:rFonts w:ascii="Times New Roman" w:hAnsi="Times New Roman"/>
          <w:sz w:val="20"/>
        </w:rPr>
      </w:pPr>
      <w:r>
        <w:rPr>
          <w:rFonts w:ascii="Times New Roman" w:hAnsi="Times New Roman"/>
          <w:color w:val="000000"/>
          <w:sz w:val="20"/>
        </w:rPr>
        <w:t>On July 30, 2025, the Company amended its 2024 First Lien Credit Agreement (“2025 Amended First Lien Credit Agreement”) to reduce the interest rate on its term loan to a range of 2.50% to 2.75%, based on the first lien ratio, plus the Secured Overnight Financing Rate (“SOFR”) and an applicable margin (“First Lien Credit Facility”). The amendment also reduced the interest rate on its revolving credit facility to a range of 2.25% to 2.75%, based on the first lien ratio, plus SOFR (“Amended Revolver”).</w:t>
      </w:r>
      <w:r>
        <w:rPr>
          <w:rFonts w:ascii="Times New Roman" w:hAnsi="Times New Roman"/>
          <w:color w:val="FF0000"/>
          <w:sz w:val="20"/>
        </w:rPr>
        <w:t xml:space="preserve"> </w:t>
      </w:r>
      <w:r>
        <w:rPr>
          <w:rFonts w:ascii="Times New Roman" w:hAnsi="Times New Roman"/>
          <w:color w:val="000000"/>
          <w:sz w:val="20"/>
        </w:rPr>
        <w:t xml:space="preserve">The Amended First Lien Credit Facility amortizes in equal quarterly installments in aggregate annual amounts equal to 1.00% of the principal amount. The Amended Revolver has no amortization.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nine months ended September 30, 2026, the Company made aggregate voluntary principal prepayments of $95.0 million on its outstanding term loan. As a result of these prepayments, the Company recognized a loss on extinguishment of debt of $1.3 million, related to the write-off of unamortized deferred financing costs. No prepayment penalties were incurred. In accordance with the terms of the 2025 Amended First Lien Credit Agreement, the voluntary prepayments reduced the remaining scheduled future principal repayment obligations on the term loan.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2025 First Lien Credit Agreement contains customary affirmative covenants, negative covenants and events of default (including upon a change of control). The 2025 First Lien Credit Agreement also includes a “springing” first lien net leverage ratio test, applicable only to the Amended Revolver, that requires such ratio to be no greater than 7.75:1.00 on the last day of any fiscal quarter if more than 40.0% of the Amended Revolver is utilized on such date. As of September 30, 2026, there were no outstanding borrowings under the Amended Revolver and $2,019.5 million outstanding under the First Lien Credit Facility. In addition, $0.7 million in letters of credit were issued under the 2025 Amended First Lien Credit Agreement to support three office leases. As the Company had no outstanding amounts under the Amended Revolver, it was not subject to the consolidated first lien leverage ratio covenant. The Company was compliant with all covenants under the agreement as of September 30, 2026.</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6. Derivatives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reduce exposure to variability in expected future cash outflows on variable rate debt attributable to the changes in one-month SOFR, the Company has historically entered into interest rate derivative instruments to economically offset a portion of this risk and may do so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nine months ended September 30, 2026, the Company had the following derivatives that were not designated as a hedge in qualifying hedging relationships:</w:t>
      </w:r>
    </w:p>
    <w:tbl>
      <w:tblPr>
        <w:tblW w:w="7459" w:type="dxa"/>
        <w:jc w:val="left"/>
        <w:tblInd w:w="0" w:type="dxa"/>
        <w:tblLayout w:type="fixed"/>
        <w:tblCellMar>
          <w:top w:w="28" w:type="dxa"/>
          <w:left w:w="28" w:type="dxa"/>
          <w:bottom w:w="28" w:type="dxa"/>
          <w:right w:w="28" w:type="dxa"/>
        </w:tblCellMar>
      </w:tblPr>
      <w:tblGrid>
        <w:gridCol w:w="1516"/>
        <w:gridCol w:w="146"/>
        <w:gridCol w:w="1681"/>
        <w:gridCol w:w="146"/>
        <w:gridCol w:w="1681"/>
        <w:gridCol w:w="146"/>
        <w:gridCol w:w="1321"/>
        <w:gridCol w:w="146"/>
        <w:gridCol w:w="676"/>
      </w:tblGrid>
      <w:t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r>
      <w:t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4.32%</w:t>
            </w:r>
          </w:p>
        </w:tc>
      </w:tr>
      <w:t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29,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3.86%</w:t>
            </w:r>
          </w:p>
        </w:tc>
      </w:tr>
      <w:t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3.76%</w:t>
            </w:r>
          </w:p>
        </w:tc>
      </w:tr>
      <w:t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$160.0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3.72%</w:t>
            </w:r>
          </w:p>
        </w:tc>
      </w:tr>
      <w:t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31,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3.94%</w:t>
            </w:r>
          </w:p>
        </w:tc>
      </w:tr>
      <w:t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30,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3.56%</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Derivatives not designated as hedges are not speculative and are used to manage the Company’s exposure to interest rate movements; however, the Company has not elected to apply hedge accounting for these instruments.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is a summary of location and fair value of the financial positions recorded related to the derivative instruments as of September 30, 2026 and December 31, 2025 (in thousands):</w:t>
      </w:r>
    </w:p>
    <w:tbl>
      <w:tblPr>
        <w:tblW w:w="9297" w:type="dxa"/>
        <w:jc w:val="left"/>
        <w:tblInd w:w="0" w:type="dxa"/>
        <w:tblLayout w:type="fixed"/>
        <w:tblCellMar>
          <w:top w:w="28" w:type="dxa"/>
          <w:left w:w="28" w:type="dxa"/>
          <w:bottom w:w="28" w:type="dxa"/>
          <w:right w:w="28" w:type="dxa"/>
        </w:tblCellMar>
      </w:tblPr>
      <w:tblGrid>
        <w:gridCol w:w="2041"/>
        <w:gridCol w:w="146"/>
        <w:gridCol w:w="3436"/>
        <w:gridCol w:w="146"/>
        <w:gridCol w:w="417"/>
        <w:gridCol w:w="1128"/>
        <w:gridCol w:w="146"/>
        <w:gridCol w:w="146"/>
        <w:gridCol w:w="403"/>
        <w:gridCol w:w="1097"/>
        <w:gridCol w:w="191"/>
      </w:tblGrid>
      <w:t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Derivatives not designated</w:t>
              <w:br/>
              <w:t>as 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0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is a summary of location and amount of gains and (losses) recorded related to the derivative instruments (in thousands):</w:t>
      </w:r>
    </w:p>
    <w:tbl>
      <w:tblPr>
        <w:tblW w:w="10205" w:type="dxa"/>
        <w:jc w:val="left"/>
        <w:tblInd w:w="0" w:type="dxa"/>
        <w:tblLayout w:type="fixed"/>
        <w:tblCellMar>
          <w:top w:w="28" w:type="dxa"/>
          <w:left w:w="28" w:type="dxa"/>
          <w:bottom w:w="28" w:type="dxa"/>
          <w:right w:w="28" w:type="dxa"/>
        </w:tblCellMar>
      </w:tblPr>
      <w:tblGrid>
        <w:gridCol w:w="2038"/>
        <w:gridCol w:w="146"/>
        <w:gridCol w:w="2098"/>
        <w:gridCol w:w="146"/>
        <w:gridCol w:w="331"/>
        <w:gridCol w:w="898"/>
        <w:gridCol w:w="228"/>
        <w:gridCol w:w="228"/>
        <w:gridCol w:w="331"/>
        <w:gridCol w:w="661"/>
        <w:gridCol w:w="146"/>
        <w:gridCol w:w="146"/>
        <w:gridCol w:w="270"/>
        <w:gridCol w:w="867"/>
        <w:gridCol w:w="186"/>
        <w:gridCol w:w="186"/>
        <w:gridCol w:w="270"/>
        <w:gridCol w:w="809"/>
        <w:gridCol w:w="220"/>
      </w:tblGrid>
      <w:tr>
        <w:tc>
          <w:tcPr>
            <w:tcW w:w="2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c>
          <w:tcPr>
            <w:tcW w:w="20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Derivatives not designated</w:t>
              <w:br/>
              <w:t>as 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Statement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0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11,811</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(5,607</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360" w:after="180"/>
        <w:jc w:val="both"/>
        <w:rPr>
          <w:rFonts w:ascii="Times New Roman" w:hAnsi="Times New Roman"/>
          <w:sz w:val="20"/>
        </w:rPr>
      </w:pPr>
      <w:r>
        <w:rPr>
          <w:rFonts w:ascii="Times New Roman" w:hAnsi="Times New Roman"/>
          <w:b/>
          <w:color w:val="000000"/>
          <w:sz w:val="20"/>
        </w:rPr>
        <w:t>Note 7. Income Taxes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income tax expense and related balance sheet accounts reflect the consolidated results of the Company and its subsidiaries.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the three and nine months ended September 30, 2026, the Company estimated its annual effective tax rate based on projected full-year income and applied that rate to year-to-date pre-tax income. The resulting income tax provision was then adjusted for discrete tax items recognized during the period.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effective income tax rates for the three and nine months ended September 30, 2026 were 29.5% and 31.1%, respectively. The Company’s effective income tax rates for the three and nine months ended September 30, 2026 differed from the U.S. federal statutory income tax rate of 21% primarily due to U.S. state income taxes and non-deductible share-based compensation.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effective income tax rates for the three and nine months ended September 30, 2025 were (44.5)% and 13.9%, respectively. The Company’s effective income tax rates for the three and nine months ended September 30, 2025 differed from the U.S. federal statutory rate of 21% primarily due to the jurisdictional mix of earnings, U.S. state income taxes, and non-deductible share-based compensation. The jurisdictional mix was impacted by significant acquisition-related depreciation and amortization, which contributed to a U.S. pre-tax loss while generating pre-tax income in most foreign jurisdictions.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8. Revenues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Substantially all of the Company’s revenues are recognized at a point in time when the orders are completed and the completed reports are reported, or otherwise made available. For revenues delivered over time, the output method is utilized to measure the value to the customer based on the transfer to date of the services promised, with no rights of return once consumed. In these cases, revenues from transactional contracts with a defined price but an undefined quantity are recognized utilizing the right to invoice expedient, with revenues recognized as the services are provided and become billable. Additionally, under this practical expedient, the Company is not required to estimate the transaction price.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considers negotiated and anticipated incentives and estimated adjustments, including historical collections experience, when recording revenues. The Company’s contracts with customers generally include standard commercial payment terms acceptable in each region, and do not include any financing components. The Company does not have any significant obligations for refunds, warranties, or similar obligations. The Company records revenues net of sales taxes.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Contract balances are generated when the revenues recognized in a given period vary from billing. A contract asset is created when the Company performs a service for a customer and recognizes more revenues than what has been billed. The contract asset balance was $18.8 million and $16.9 million as of September 30, 2026 and December 31, 2025, respectively, and is included in accounts receivable, net in the accompanying condensed consolidated balance sheets.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contract liability is created when the Company transfers a good or service to a customer and recognizes less than what has been billed. The Company recognizes these contract liabilities as deferred revenues when the Company has an obligation to perform services for a customer in the future and has already received consideration from the customer. The contract liability balance was $4.8 million and $5.0 million as of September 30, 2026 and December 31, 2025, respectively, and is included in deferred revenues in the accompanying condensed consolidated balance sheets. An immaterial amount of revenues was recognized in the current period related to the beginning balance of deferred revenues.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additional disclosures about the disaggregation of our revenues, see Note 14, “Reportable Segments.”</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Note 9. Share-based Compensation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Share-based compensation expense is recognized in cost of services, product and technology expense, and selling, general, and administrative expense, in the accompanying condensed consolidated statements of operations and comprehensive income (loss) as follows (in thousands): </w:t>
      </w:r>
    </w:p>
    <w:tbl>
      <w:tblPr>
        <w:tblW w:w="10013" w:type="dxa"/>
        <w:jc w:val="left"/>
        <w:tblInd w:w="0" w:type="dxa"/>
        <w:tblLayout w:type="fixed"/>
        <w:tblCellMar>
          <w:top w:w="28" w:type="dxa"/>
          <w:left w:w="28" w:type="dxa"/>
          <w:bottom w:w="28" w:type="dxa"/>
          <w:right w:w="28" w:type="dxa"/>
        </w:tblCellMar>
      </w:tblPr>
      <w:tblGrid>
        <w:gridCol w:w="3906"/>
        <w:gridCol w:w="146"/>
        <w:gridCol w:w="305"/>
        <w:gridCol w:w="826"/>
        <w:gridCol w:w="211"/>
        <w:gridCol w:w="211"/>
        <w:gridCol w:w="305"/>
        <w:gridCol w:w="826"/>
        <w:gridCol w:w="146"/>
        <w:gridCol w:w="146"/>
        <w:gridCol w:w="265"/>
        <w:gridCol w:w="849"/>
        <w:gridCol w:w="183"/>
        <w:gridCol w:w="183"/>
        <w:gridCol w:w="265"/>
        <w:gridCol w:w="849"/>
        <w:gridCol w:w="391"/>
      </w:tblGrid>
      <w:tr>
        <w:tc>
          <w:tcPr>
            <w:tcW w:w="3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9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9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and technology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14,746</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80" w:after="180"/>
        <w:jc w:val="left"/>
        <w:rPr>
          <w:rFonts w:ascii="Times New Roman" w:hAnsi="Times New Roman"/>
          <w:sz w:val="18"/>
        </w:rPr>
      </w:pPr>
      <w:r>
        <w:rPr>
          <w:rFonts w:ascii="Times New Roman" w:hAnsi="Times New Roman"/>
          <w:color w:val="000000"/>
          <w:sz w:val="20"/>
        </w:rPr>
        <w:t>Prior to the Company’s 2021 Initial Public Offering (“IPO”),</w:t>
      </w:r>
      <w:r>
        <w:rPr>
          <w:rFonts w:ascii="Times New Roman" w:hAnsi="Times New Roman"/>
          <w:color w:val="000000"/>
          <w:sz w:val="18"/>
        </w:rPr>
        <w:t xml:space="preserve"> </w:t>
      </w:r>
      <w:r>
        <w:rPr>
          <w:rFonts w:ascii="Times New Roman" w:hAnsi="Times New Roman"/>
          <w:color w:val="000000"/>
          <w:sz w:val="20"/>
        </w:rPr>
        <w:t>all share-based awards were issued by Fastball Holdco, L.P., the Company’s previous parent company, under individual grant agreements and the partnership agreement of such parent company (collectively, the “2020 Equity Plan”). In connection with the IPO, the Company adopted the 2021 Omnibus Incentive Plan (as amended by the First Amendment, dated as of May 10, 2023, the “2021 Equity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October 2024, as part of the Sterling Acquisition, unvested Sterling restricted stock, restricted stock units, and net option shares underlying in-the-money stock option awards were converted to an unvested cash award, an unvested First Advantage restricted stock award, or a First Advantage restricted stock unit (“RSU”) at the holder’s election. Converted awards are subject to the same terms and conditions (including vesting) as applied to the replaced Sterling equity award. All out-of-the-money Sterling stock options, whether vested or unvested, were canceled for no consideration.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September 30, 2026, the Company had approximately $50.4 million of unrecognized pre-tax non-cash compensation expense related to its equity-based compensation plans. This amount includes approximately $28.1 million related to RSUs, $22.1 million related to stock options, and $0.2 million related to restricted stock. The Company expects to recognize this expense over a weighted average period of 1.7 years.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2020 Equity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Awards issued under the 2020 Equity Plan consist of options and profit interests. No awards have been issued under the plan since the Company’s IPO.</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stock option activity for the nine months ended September 30, 2026 is as follows:</w:t>
      </w:r>
    </w:p>
    <w:tbl>
      <w:tblPr>
        <w:tblW w:w="10205" w:type="dxa"/>
        <w:jc w:val="left"/>
        <w:tblInd w:w="0" w:type="dxa"/>
        <w:tblLayout w:type="fixed"/>
        <w:tblCellMar>
          <w:top w:w="28" w:type="dxa"/>
          <w:left w:w="28" w:type="dxa"/>
          <w:bottom w:w="28" w:type="dxa"/>
          <w:right w:w="28" w:type="dxa"/>
        </w:tblCellMar>
      </w:tblPr>
      <w:tblGrid>
        <w:gridCol w:w="1355"/>
        <w:gridCol w:w="146"/>
        <w:gridCol w:w="1638"/>
        <w:gridCol w:w="146"/>
        <w:gridCol w:w="146"/>
        <w:gridCol w:w="931"/>
        <w:gridCol w:w="166"/>
        <w:gridCol w:w="146"/>
        <w:gridCol w:w="356"/>
        <w:gridCol w:w="788"/>
        <w:gridCol w:w="146"/>
        <w:gridCol w:w="146"/>
        <w:gridCol w:w="2307"/>
        <w:gridCol w:w="146"/>
        <w:gridCol w:w="1642"/>
      </w:tblGrid>
      <w:tr>
        <w:tc>
          <w:tcPr>
            <w:tcW w:w="1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c>
          <w:tcPr>
            <w:tcW w:w="13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r>
      <w:tr>
        <w:tc>
          <w:tcPr>
            <w:tcW w:w="1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3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3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cancelled/forfeited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 million</w:t>
            </w:r>
          </w:p>
        </w:tc>
      </w:tr>
      <w:tr>
        <w:tc>
          <w:tcPr>
            <w:tcW w:w="1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 million</w:t>
            </w:r>
          </w:p>
        </w:tc>
      </w:tr>
      <w:tr>
        <w:tc>
          <w:tcPr>
            <w:tcW w:w="1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unvested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4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2021 Equity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2021 Equity Plan is intended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 The 2021 Equity Plan provides for the grant of awards of stock options, stock appreciation rights, restricted shares, restricted stock units, and other equity-based or cash-based awards as determined by the Company’s Compensation Committee. The 2021 Equity Plan initially had a total of 17,525,000 shares of common stock reserved. The number of reserved shares automatically increases on the first day of each calendar year commencing on January 1, 2022 and ending on January 1, 2030, in an amount equal to the lesser of (x) 2.5% of the total number of shares of common stock outstanding on the last day of the immediately preceding calendar year and (y) a number of shares as determined by the Board of Directors. As of September 30, 2026, 22,083,191 shares were available for issuance under the 2021 Equity Plan.</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stock option activity for the nine months ended September 30, 2026 is as follows:</w:t>
      </w:r>
    </w:p>
    <w:tbl>
      <w:tblPr>
        <w:tblW w:w="10205" w:type="dxa"/>
        <w:jc w:val="left"/>
        <w:tblInd w:w="0" w:type="dxa"/>
        <w:tblLayout w:type="fixed"/>
        <w:tblCellMar>
          <w:top w:w="28" w:type="dxa"/>
          <w:left w:w="28" w:type="dxa"/>
          <w:bottom w:w="28" w:type="dxa"/>
          <w:right w:w="28" w:type="dxa"/>
        </w:tblCellMar>
      </w:tblPr>
      <w:tblGrid>
        <w:gridCol w:w="1355"/>
        <w:gridCol w:w="146"/>
        <w:gridCol w:w="1638"/>
        <w:gridCol w:w="146"/>
        <w:gridCol w:w="146"/>
        <w:gridCol w:w="931"/>
        <w:gridCol w:w="166"/>
        <w:gridCol w:w="146"/>
        <w:gridCol w:w="307"/>
        <w:gridCol w:w="837"/>
        <w:gridCol w:w="146"/>
        <w:gridCol w:w="146"/>
        <w:gridCol w:w="2307"/>
        <w:gridCol w:w="146"/>
        <w:gridCol w:w="1642"/>
      </w:tblGrid>
      <w:tr>
        <w:tc>
          <w:tcPr>
            <w:tcW w:w="1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c>
          <w:tcPr>
            <w:tcW w:w="13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r>
      <w:tr>
        <w:tc>
          <w:tcPr>
            <w:tcW w:w="1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5,225,103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3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3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3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7,598,943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 million</w:t>
            </w:r>
          </w:p>
        </w:tc>
      </w:tr>
      <w:tr>
        <w:tc>
          <w:tcPr>
            <w:tcW w:w="1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 million</w:t>
            </w:r>
          </w:p>
        </w:tc>
      </w:tr>
      <w:tr>
        <w:tc>
          <w:tcPr>
            <w:tcW w:w="1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unvested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fair value for stock options granted for the nine months ended September 30, 2026 was estimated at the date of grant using the Black-Scholes option-pricing model with the following weighted average assumptions: </w:t>
      </w:r>
    </w:p>
    <w:tbl>
      <w:tblPr>
        <w:tblW w:w="4020" w:type="dxa"/>
        <w:jc w:val="left"/>
        <w:tblInd w:w="0" w:type="dxa"/>
        <w:tblLayout w:type="fixed"/>
        <w:tblCellMar>
          <w:top w:w="28" w:type="dxa"/>
          <w:left w:w="28" w:type="dxa"/>
          <w:bottom w:w="28" w:type="dxa"/>
          <w:right w:w="28" w:type="dxa"/>
        </w:tblCellMar>
      </w:tblPr>
      <w:tblGrid>
        <w:gridCol w:w="2776"/>
        <w:gridCol w:w="146"/>
        <w:gridCol w:w="211"/>
        <w:gridCol w:w="571"/>
        <w:gridCol w:w="316"/>
      </w:tblGrid>
      <w:t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2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Fair-value of the underlying unit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80"/>
        <w:jc w:val="left"/>
      </w:pPr>
      <w:r>
        <w:t> </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RSU activity for the nine months ended September 30, 2026 is as follows:</w:t>
      </w:r>
    </w:p>
    <w:tbl>
      <w:tblPr>
        <w:tblW w:w="6854" w:type="dxa"/>
        <w:jc w:val="left"/>
        <w:tblInd w:w="0" w:type="dxa"/>
        <w:tblLayout w:type="fixed"/>
        <w:tblCellMar>
          <w:top w:w="28" w:type="dxa"/>
          <w:left w:w="28" w:type="dxa"/>
          <w:bottom w:w="28" w:type="dxa"/>
          <w:right w:w="28" w:type="dxa"/>
        </w:tblCellMar>
      </w:tblPr>
      <w:tblGrid>
        <w:gridCol w:w="1741"/>
        <w:gridCol w:w="146"/>
        <w:gridCol w:w="1471"/>
        <w:gridCol w:w="146"/>
        <w:gridCol w:w="146"/>
        <w:gridCol w:w="931"/>
        <w:gridCol w:w="166"/>
        <w:gridCol w:w="146"/>
        <w:gridCol w:w="476"/>
        <w:gridCol w:w="1294"/>
        <w:gridCol w:w="191"/>
      </w:tblGrid>
      <w:t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7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2,586,786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80" w:after="180"/>
        <w:jc w:val="both"/>
        <w:rPr>
          <w:rFonts w:ascii="Times New Roman" w:hAnsi="Times New Roman"/>
          <w:sz w:val="20"/>
        </w:rPr>
      </w:pPr>
      <w:r>
        <w:rPr>
          <w:rFonts w:ascii="Times New Roman" w:hAnsi="Times New Roman"/>
          <w:i/>
          <w:color w:val="000000"/>
          <w:sz w:val="20"/>
        </w:rPr>
        <w:t>Restricted Stock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restricted stock activity for the nine months ended September 30, 2026 is as follows:</w:t>
      </w:r>
    </w:p>
    <w:tbl>
      <w:tblPr>
        <w:tblW w:w="7544" w:type="dxa"/>
        <w:jc w:val="left"/>
        <w:tblInd w:w="0" w:type="dxa"/>
        <w:tblLayout w:type="fixed"/>
        <w:tblCellMar>
          <w:top w:w="28" w:type="dxa"/>
          <w:left w:w="28" w:type="dxa"/>
          <w:bottom w:w="28" w:type="dxa"/>
          <w:right w:w="28" w:type="dxa"/>
        </w:tblCellMar>
      </w:tblPr>
      <w:tblGrid>
        <w:gridCol w:w="1741"/>
        <w:gridCol w:w="146"/>
        <w:gridCol w:w="2251"/>
        <w:gridCol w:w="146"/>
        <w:gridCol w:w="146"/>
        <w:gridCol w:w="841"/>
        <w:gridCol w:w="166"/>
        <w:gridCol w:w="146"/>
        <w:gridCol w:w="476"/>
        <w:gridCol w:w="1294"/>
        <w:gridCol w:w="191"/>
      </w:tblGrid>
      <w:t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7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80" w:after="180"/>
        <w:jc w:val="both"/>
        <w:rPr>
          <w:rFonts w:ascii="Times New Roman" w:hAnsi="Times New Roman"/>
          <w:sz w:val="20"/>
        </w:rPr>
      </w:pPr>
      <w:r>
        <w:rPr>
          <w:rFonts w:ascii="Times New Roman" w:hAnsi="Times New Roman"/>
          <w:b/>
          <w:i/>
          <w:color w:val="000000"/>
          <w:sz w:val="20"/>
        </w:rPr>
        <w:t>Sterling Acquisition Awards</w:t>
      </w:r>
      <w:r>
        <w:rPr>
          <w:rFonts w:ascii="Times New Roman" w:hAnsi="Times New Roman"/>
          <w:color w:val="000000"/>
          <w:sz w:val="20"/>
        </w:rPr>
        <w:t xml:space="preserve"> </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RSU activity for the nine months ended September 30, 2026 is as follows:</w:t>
      </w:r>
    </w:p>
    <w:tbl>
      <w:tblPr>
        <w:tblW w:w="6554" w:type="dxa"/>
        <w:jc w:val="left"/>
        <w:tblInd w:w="0" w:type="dxa"/>
        <w:tblLayout w:type="fixed"/>
        <w:tblCellMar>
          <w:top w:w="28" w:type="dxa"/>
          <w:left w:w="28" w:type="dxa"/>
          <w:bottom w:w="28" w:type="dxa"/>
          <w:right w:w="28" w:type="dxa"/>
        </w:tblCellMar>
      </w:tblPr>
      <w:tblGrid>
        <w:gridCol w:w="1741"/>
        <w:gridCol w:w="146"/>
        <w:gridCol w:w="1471"/>
        <w:gridCol w:w="146"/>
        <w:gridCol w:w="146"/>
        <w:gridCol w:w="631"/>
        <w:gridCol w:w="166"/>
        <w:gridCol w:w="146"/>
        <w:gridCol w:w="476"/>
        <w:gridCol w:w="1294"/>
        <w:gridCol w:w="191"/>
      </w:tblGrid>
      <w:t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7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Restricted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restricted stock activity for the nine months ended September 30, 2026 is as follows:</w:t>
      </w:r>
    </w:p>
    <w:tbl>
      <w:tblPr>
        <w:tblW w:w="7544" w:type="dxa"/>
        <w:jc w:val="left"/>
        <w:tblInd w:w="0" w:type="dxa"/>
        <w:tblLayout w:type="fixed"/>
        <w:tblCellMar>
          <w:top w:w="28" w:type="dxa"/>
          <w:left w:w="28" w:type="dxa"/>
          <w:bottom w:w="28" w:type="dxa"/>
          <w:right w:w="28" w:type="dxa"/>
        </w:tblCellMar>
      </w:tblPr>
      <w:tblGrid>
        <w:gridCol w:w="1741"/>
        <w:gridCol w:w="146"/>
        <w:gridCol w:w="2251"/>
        <w:gridCol w:w="146"/>
        <w:gridCol w:w="146"/>
        <w:gridCol w:w="841"/>
        <w:gridCol w:w="166"/>
        <w:gridCol w:w="146"/>
        <w:gridCol w:w="476"/>
        <w:gridCol w:w="1294"/>
        <w:gridCol w:w="191"/>
      </w:tblGrid>
      <w:t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7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0" w:after="180"/>
        <w:jc w:val="both"/>
      </w:pPr>
      <w:r>
        <w:t>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2021 Employee Stock Purchase Plan (“ESPP”)</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ESPP allows eligible employees to voluntarily make after-tax contributions of up to 15% of such employee’s cash compensation to acquire Company stock during designated offering periods. Each offering period consists of one six-month purchase period. During the holding period, ESPP purchased shares are not eligible for sale or broker transfer. The Company recorded an associated expense of approximately $0.3 million and $0.2 million for the three months ended September 30, 2026 and 2025, respectively. The Company recorded an associated expense of approximately $0.8 million and $0.5 million for the nine months ended September 30, 2026 and 2025, respectively.</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10. Equity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Common and Preferred Stock</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12, 2026, the Company completed a follow-on offering (“August 2026 Follow-On”) where certain existing stockholders sold an aggregate of 12,500,000 shares. The Company did not sell any shares of its common stock in the August 2026 Follow-On offering and did not receive any of the proceeds from the sale of shares.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of September 30, 2026 and December 31, 2025, 250,000,000 shares of Preferred Stock were authorized, and no Preferred Stock was issued or outstanding.</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February 25, 2026, the Company’s Board of Directors authorized the repurchase of up to $100.0 million of the Company’s common stock (the “2026 Repurchase Program”) with no expiration date.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The Company plans to use its existing cash to fund repurchases made under the 2026 Repurchase Program.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stock repurchase activity under the 2026 Repurchase Program is summarized as follows (in thousands, except share and per share amounts):</w:t>
      </w:r>
    </w:p>
    <w:tbl>
      <w:tblPr>
        <w:tblW w:w="9725" w:type="dxa"/>
        <w:jc w:val="left"/>
        <w:tblInd w:w="0" w:type="dxa"/>
        <w:tblLayout w:type="fixed"/>
        <w:tblCellMar>
          <w:top w:w="28" w:type="dxa"/>
          <w:left w:w="28" w:type="dxa"/>
          <w:bottom w:w="28" w:type="dxa"/>
          <w:right w:w="28" w:type="dxa"/>
        </w:tblCellMar>
      </w:tblPr>
      <w:tblGrid>
        <w:gridCol w:w="3616"/>
        <w:gridCol w:w="146"/>
        <w:gridCol w:w="638"/>
        <w:gridCol w:w="2047"/>
        <w:gridCol w:w="146"/>
        <w:gridCol w:w="146"/>
        <w:gridCol w:w="479"/>
        <w:gridCol w:w="2116"/>
        <w:gridCol w:w="391"/>
      </w:tblGrid>
      <w:t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3,252,970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price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recorded to 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8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9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repurchase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associated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recorded to 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of September 30, 2026, the remaining authorized value of shares available to be repurchased under this program was approximately $61.6 million.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Repurchased shares of common stock were retired. The par value of repurchased shares was deducted from common stock and the excess repurchase price over par value is reflected as a reduction to accumulated deficit. Additional associated costs include the related brokerage commissions and excise taxes on share repurchases.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11. Commitments and Contingencies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There have been no material changes to the Company’s contractual obligations as compared to December 31,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is involved in litigation from time to time in the ordinary course of business. At times, the Company, given the nature of its background screening business, is subject to lawsuits, or potential class action lawsuits, in multiple jurisdictions, related to claims brought primarily by consumers or individuals who were the subject of its screening services.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all pending matters, the Company believes it has meritorious defenses and intends to defend vigorously or otherwise seek indemnification from other parties as appropriate. However, the Company has recorded a liability of $8.5 million and $8.7 million as of September 30, 2026 and December 31, 2025, respectively, for matters that it believes entail a loss that is both probable and estimable. This is included in accrued liabilities in the accompanying condensed consolidated balance sheets.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will continue to evaluate information as it becomes known and will record an estimate for losses at the time when it is both probable that a loss has been incurred and the amount of the loss is reasonably estimable.</w:t>
      </w:r>
    </w:p>
    <w:p>
      <w:pPr>
        <w:pStyle w:val="TextBody"/>
        <w:bidi w:val="0"/>
        <w:spacing w:before="180" w:after="180"/>
        <w:jc w:val="left"/>
        <w:rPr>
          <w:rFonts w:ascii="Times New Roman" w:hAnsi="Times New Roman"/>
          <w:sz w:val="20"/>
        </w:rPr>
      </w:pPr>
      <w:r>
        <w:rPr>
          <w:rFonts w:ascii="Times New Roman" w:hAnsi="Times New Roman"/>
          <w:b/>
          <w:color w:val="000000"/>
          <w:sz w:val="20"/>
        </w:rPr>
        <w:t>Note 12. Related Party Transactions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The Company had no material related party transactions for the nine months ended September 30, 2026. </w:t>
      </w:r>
    </w:p>
    <w:p>
      <w:pPr>
        <w:pStyle w:val="TextBody"/>
        <w:bidi w:val="0"/>
        <w:spacing w:before="180" w:after="180"/>
        <w:jc w:val="left"/>
        <w:rPr>
          <w:rFonts w:ascii="Times New Roman" w:hAnsi="Times New Roman"/>
          <w:sz w:val="20"/>
        </w:rPr>
      </w:pPr>
      <w:r>
        <w:rPr>
          <w:rFonts w:ascii="Times New Roman" w:hAnsi="Times New Roman"/>
          <w:b/>
          <w:color w:val="000000"/>
          <w:sz w:val="20"/>
        </w:rPr>
        <w:t>Note 13.</w:t>
      </w:r>
      <w:r>
        <w:rPr>
          <w:rFonts w:ascii="Times New Roman" w:hAnsi="Times New Roman"/>
          <w:color w:val="000000"/>
          <w:sz w:val="20"/>
        </w:rPr>
        <w:t xml:space="preserve"> </w:t>
      </w:r>
      <w:r>
        <w:rPr>
          <w:rFonts w:ascii="Times New Roman" w:hAnsi="Times New Roman"/>
          <w:b/>
          <w:color w:val="000000"/>
          <w:sz w:val="20"/>
        </w:rPr>
        <w:t>Net Income (Loss) Per Share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Basic weighted-average shares outstanding excludes nonvested restricted stock. Diluted weighted average shares outstanding is similar to basic weighted-average shares outstanding, except that the weighted-average number of shares is increased to include the number of additional common shares that would have been outstanding if the potentially dilutive common share had been issued, including the dilutive impact of nonvested restricted stock. Basic and diluted net income (loss) per share was calculated as follows:</w:t>
      </w:r>
    </w:p>
    <w:tbl>
      <w:tblPr>
        <w:tblW w:w="10205" w:type="dxa"/>
        <w:jc w:val="left"/>
        <w:tblInd w:w="0" w:type="dxa"/>
        <w:tblLayout w:type="fixed"/>
        <w:tblCellMar>
          <w:top w:w="28" w:type="dxa"/>
          <w:left w:w="28" w:type="dxa"/>
          <w:bottom w:w="28" w:type="dxa"/>
          <w:right w:w="28" w:type="dxa"/>
        </w:tblCellMar>
      </w:tblPr>
      <w:tblGrid>
        <w:gridCol w:w="3564"/>
        <w:gridCol w:w="146"/>
        <w:gridCol w:w="211"/>
        <w:gridCol w:w="1141"/>
        <w:gridCol w:w="146"/>
        <w:gridCol w:w="146"/>
        <w:gridCol w:w="211"/>
        <w:gridCol w:w="1141"/>
        <w:gridCol w:w="146"/>
        <w:gridCol w:w="146"/>
        <w:gridCol w:w="211"/>
        <w:gridCol w:w="1141"/>
        <w:gridCol w:w="146"/>
        <w:gridCol w:w="146"/>
        <w:gridCol w:w="211"/>
        <w:gridCol w:w="1141"/>
        <w:gridCol w:w="211"/>
      </w:tblGrid>
      <w:tr>
        <w:tc>
          <w:tcPr>
            <w:tcW w:w="3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5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171,865,517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173,561,778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172,436,934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173,071,481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stock options to purchase shares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3,569,920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1,987,564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1,849,540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175,435,437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175,549,342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174,286,474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173,071,481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For the three months ended September 30, 2026 and 2025, a total of 1,116,919 and 2,187,495 stock options, RSUs, and restricted stock awards were excluded from the calculation of diluted net income per share, respectively, because their effect was anti-dilutive. For the nine months ended September 30, 2026 and 2025, a total of 4,215,803 and 4,025,695 stock options, RSUs, and restricted stock awards were excluded from the calculation of diluted net income (loss) per share, respectively, because their effect was anti-dilutive.</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14. Reportable Segments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has three reportable segments: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sz w:val="20"/>
        </w:rPr>
      </w:pPr>
      <w:r>
        <w:rPr>
          <w:rFonts w:ascii="Times New Roman" w:hAnsi="Times New Roman"/>
          <w:b/>
          <w:i/>
          <w:color w:val="000000"/>
          <w:sz w:val="20"/>
        </w:rPr>
        <w:t xml:space="preserve">First Advantage Americas. </w:t>
      </w:r>
      <w:r>
        <w:rPr>
          <w:rFonts w:ascii="Times New Roman" w:hAnsi="Times New Roman"/>
          <w:color w:val="000000"/>
          <w:sz w:val="20"/>
        </w:rPr>
        <w:t>This segment pertains to our Legacy First Advantage business and performs a variety of background check and compliance services across all phases of the workforce lifecycle from pre-onboarding services to post-onboarding and ongoing monitoring services, covering employees, contractors, contingent workers, and drivers. We generally classify our service offerings into three categories: pre-onboarding, post-onboarding, and adjacent products. We deliver our solutions across multiple industry verticals in the United States, Canada, and Latin America.</w:t>
      </w:r>
    </w:p>
    <w:p>
      <w:pPr>
        <w:pStyle w:val="TextBody"/>
        <w:bidi w:val="0"/>
        <w:spacing w:before="120" w:after="180"/>
        <w:jc w:val="left"/>
        <w:rPr>
          <w:color w:val="000000"/>
        </w:rPr>
      </w:pPr>
      <w:r>
        <w:rPr>
          <w:color w:val="000000"/>
        </w:rPr>
        <w:t>•</w:t>
      </w:r>
    </w:p>
    <w:p>
      <w:pPr>
        <w:pStyle w:val="TextBody"/>
        <w:bidi w:val="0"/>
        <w:spacing w:before="120" w:after="180"/>
        <w:jc w:val="left"/>
        <w:rPr>
          <w:rFonts w:ascii="Times New Roman" w:hAnsi="Times New Roman"/>
          <w:sz w:val="20"/>
        </w:rPr>
      </w:pPr>
      <w:r>
        <w:rPr>
          <w:rFonts w:ascii="Times New Roman" w:hAnsi="Times New Roman"/>
          <w:b/>
          <w:i/>
          <w:color w:val="000000"/>
          <w:sz w:val="20"/>
        </w:rPr>
        <w:t xml:space="preserve">First Advantage International. </w:t>
      </w:r>
      <w:r>
        <w:rPr>
          <w:rFonts w:ascii="Times New Roman" w:hAnsi="Times New Roman"/>
          <w:color w:val="000000"/>
          <w:sz w:val="20"/>
        </w:rPr>
        <w:t>The First Advantage International segment pertains to our Legacy First Advantage business and provides services similar to our Americas segment in regions outside of the Americas. We primarily deliver our solutions across multiple industry verticals in Europe, India, and Asia Pacific.</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sz w:val="20"/>
        </w:rPr>
      </w:pPr>
      <w:r>
        <w:rPr>
          <w:rFonts w:ascii="Times New Roman" w:hAnsi="Times New Roman"/>
          <w:b/>
          <w:i/>
          <w:color w:val="000000"/>
          <w:sz w:val="20"/>
        </w:rPr>
        <w:t xml:space="preserve">Sterling. </w:t>
      </w:r>
      <w:r>
        <w:rPr>
          <w:rFonts w:ascii="Times New Roman" w:hAnsi="Times New Roman"/>
          <w:color w:val="000000"/>
          <w:sz w:val="20"/>
        </w:rPr>
        <w:t>This segment is comprised of the acquired entity, Sterling Check Corp., which was acquired on October 31, 2024. The Sterling segment provides similar services as compared to First Advantage’s Americas and International segments on a global basis.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chief operating decision maker (“CODM”) uses the performance measure of Adjusted EBITDA, on both a consolidated and a segment basis, to allocate resources and assess performance of our businesses. Our CODM also uses Adjusted EBITDA as a performance measure for both segment and corporate management under our incentive compensation plans. Corporate costs are generally allocated to the segments based upon estimated revenue levels and other assumptions that management considers reasonable. Adjusted cost of services consists of amounts paid to third parties for access to government records, other third-party data and services, our internal processing fulfillment and customer care functions, and other cost of services excluding depreciation and amortization, share-based compensation expenses, transaction expenses, and integration expenses. Other segment items consist of product and technology and selling, general, and administrative expenses, but similarly exclude depreciation and amortization, share-based compensation, and other expenses excluded from Adjusted EBITDA.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CODM does not review the Company’s assets by segment as it does not provide additional insights into the performance of our business; therefore, such information is not presented. The accounting policies of the segments are the same as described in Note 1. “Organization, Nature of Business, and Basis of Presentation” and Note 2. “Summary of Significant Accounting Policies” included in the Annual Report on Form 10-K for the year ended December 31,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Reconciliations of Segment Adjusted EBITDA to net income (loss) for the three and nine months ended September 30, 2026 and 2025 are as follows (in thousands):</w:t>
      </w:r>
    </w:p>
    <w:tbl>
      <w:tblPr>
        <w:tblW w:w="10205" w:type="dxa"/>
        <w:jc w:val="left"/>
        <w:tblInd w:w="0" w:type="dxa"/>
        <w:tblLayout w:type="fixed"/>
        <w:tblCellMar>
          <w:top w:w="28" w:type="dxa"/>
          <w:left w:w="28" w:type="dxa"/>
          <w:bottom w:w="28" w:type="dxa"/>
          <w:right w:w="28" w:type="dxa"/>
        </w:tblCellMar>
      </w:tblPr>
      <w:tblGrid>
        <w:gridCol w:w="3211"/>
        <w:gridCol w:w="246"/>
        <w:gridCol w:w="353"/>
        <w:gridCol w:w="1308"/>
        <w:gridCol w:w="166"/>
        <w:gridCol w:w="146"/>
        <w:gridCol w:w="444"/>
        <w:gridCol w:w="1430"/>
        <w:gridCol w:w="166"/>
        <w:gridCol w:w="146"/>
        <w:gridCol w:w="211"/>
        <w:gridCol w:w="781"/>
        <w:gridCol w:w="166"/>
        <w:gridCol w:w="146"/>
        <w:gridCol w:w="211"/>
        <w:gridCol w:w="781"/>
        <w:gridCol w:w="293"/>
      </w:tblGrid>
      <w:tr>
        <w:tc>
          <w:tcPr>
            <w:tcW w:w="32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c>
          <w:tcPr>
            <w:tcW w:w="3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5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2026</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467,562</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465,776</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6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7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cost of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r>
      <w:t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136,516</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to 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6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7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30,438</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6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7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6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7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6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7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66,866</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6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7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5,076</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1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Transaction and acquisition-related charges </w:t>
            </w:r>
            <w:r>
              <w:rPr>
                <w:rFonts w:ascii="Times New Roman" w:hAnsi="Times New Roman"/>
                <w:color w:val="000000"/>
                <w:sz w:val="13"/>
              </w:rPr>
              <w:t>(a)</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6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7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1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Integration, restructuring, and other charges </w:t>
            </w:r>
            <w:r>
              <w:rPr>
                <w:rFonts w:ascii="Times New Roman" w:hAnsi="Times New Roman"/>
                <w:color w:val="000000"/>
                <w:sz w:val="13"/>
              </w:rPr>
              <w:t>(b)</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6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7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3,753</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20,489</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0" w:after="180"/>
        <w:jc w:val="left"/>
      </w:pPr>
      <w:r>
        <w:t> </w:t>
      </w:r>
    </w:p>
    <w:p>
      <w:pPr>
        <w:pStyle w:val="TextBody"/>
        <w:bidi w:val="0"/>
        <w:spacing w:before="0" w:after="18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201"/>
        <w:gridCol w:w="246"/>
        <w:gridCol w:w="352"/>
        <w:gridCol w:w="1305"/>
        <w:gridCol w:w="166"/>
        <w:gridCol w:w="146"/>
        <w:gridCol w:w="443"/>
        <w:gridCol w:w="1425"/>
        <w:gridCol w:w="166"/>
        <w:gridCol w:w="146"/>
        <w:gridCol w:w="211"/>
        <w:gridCol w:w="781"/>
        <w:gridCol w:w="166"/>
        <w:gridCol w:w="146"/>
        <w:gridCol w:w="211"/>
        <w:gridCol w:w="781"/>
        <w:gridCol w:w="313"/>
      </w:tblGrid>
      <w:tr>
        <w:tc>
          <w:tcPr>
            <w:tcW w:w="32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c>
          <w:tcPr>
            <w:tcW w:w="3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411,985</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409,151</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cost of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r>
      <w:t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118,500</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to 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6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40,041</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Benefit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6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62,274</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6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0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Transaction and acquisition-related charges </w:t>
            </w:r>
            <w:r>
              <w:rPr>
                <w:rFonts w:ascii="Times New Roman" w:hAnsi="Times New Roman"/>
                <w:color w:val="000000"/>
                <w:sz w:val="13"/>
              </w:rPr>
              <w:t>(a)</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0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Integration, restructuring, and other charges </w:t>
            </w:r>
            <w:r>
              <w:rPr>
                <w:rFonts w:ascii="Times New Roman" w:hAnsi="Times New Roman"/>
                <w:color w:val="000000"/>
                <w:sz w:val="13"/>
              </w:rPr>
              <w:t>(b)</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6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6,677</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2,593</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147"/>
        <w:gridCol w:w="246"/>
        <w:gridCol w:w="346"/>
        <w:gridCol w:w="1285"/>
        <w:gridCol w:w="166"/>
        <w:gridCol w:w="146"/>
        <w:gridCol w:w="435"/>
        <w:gridCol w:w="1402"/>
        <w:gridCol w:w="166"/>
        <w:gridCol w:w="146"/>
        <w:gridCol w:w="211"/>
        <w:gridCol w:w="781"/>
        <w:gridCol w:w="146"/>
        <w:gridCol w:w="146"/>
        <w:gridCol w:w="211"/>
        <w:gridCol w:w="931"/>
        <w:gridCol w:w="294"/>
      </w:tblGrid>
      <w:tr>
        <w:tc>
          <w:tcPr>
            <w:tcW w:w="314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c>
          <w:tcPr>
            <w:tcW w:w="3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1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2026</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1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1,304,698</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1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1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1,299,740</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1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3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3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1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cost of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1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r>
      <w:tr>
        <w:tc>
          <w:tcPr>
            <w:tcW w:w="31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370,324</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1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to 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3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1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3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91,887</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1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3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3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17,845</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1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3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1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3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3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190,949</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1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3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14,746</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147"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Transaction and acquisition-related charges </w:t>
            </w:r>
            <w:r>
              <w:rPr>
                <w:rFonts w:ascii="Times New Roman" w:hAnsi="Times New Roman"/>
                <w:color w:val="000000"/>
                <w:sz w:val="13"/>
              </w:rPr>
              <w:t>(a)</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3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3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147"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Integration, restructuring, and other charges </w:t>
            </w:r>
            <w:r>
              <w:rPr>
                <w:rFonts w:ascii="Times New Roman" w:hAnsi="Times New Roman"/>
                <w:color w:val="000000"/>
                <w:sz w:val="13"/>
              </w:rPr>
              <w:t>(b)</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3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12,203</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1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3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39,571</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127"/>
        <w:gridCol w:w="246"/>
        <w:gridCol w:w="344"/>
        <w:gridCol w:w="1278"/>
        <w:gridCol w:w="166"/>
        <w:gridCol w:w="146"/>
        <w:gridCol w:w="433"/>
        <w:gridCol w:w="1394"/>
        <w:gridCol w:w="166"/>
        <w:gridCol w:w="146"/>
        <w:gridCol w:w="211"/>
        <w:gridCol w:w="781"/>
        <w:gridCol w:w="166"/>
        <w:gridCol w:w="146"/>
        <w:gridCol w:w="211"/>
        <w:gridCol w:w="931"/>
        <w:gridCol w:w="313"/>
      </w:tblGrid>
      <w:tr>
        <w:tc>
          <w:tcPr>
            <w:tcW w:w="3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c>
          <w:tcPr>
            <w:tcW w:w="31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1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1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1,161,798</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1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1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1,154,372</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1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2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2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1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cost of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1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r>
      <w:tr>
        <w:tc>
          <w:tcPr>
            <w:tcW w:w="31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324,558</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1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to 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2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2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1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2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131,406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1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Benefit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2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2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31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2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1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2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2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185,846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1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2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19,430</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127"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Transaction and acquisition-related charges </w:t>
            </w:r>
            <w:r>
              <w:rPr>
                <w:rFonts w:ascii="Times New Roman" w:hAnsi="Times New Roman"/>
                <w:color w:val="000000"/>
                <w:sz w:val="13"/>
              </w:rPr>
              <w:t>(a)</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2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2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127"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Integration, restructuring, and other charges </w:t>
            </w:r>
            <w:r>
              <w:rPr>
                <w:rFonts w:ascii="Times New Roman" w:hAnsi="Times New Roman"/>
                <w:color w:val="000000"/>
                <w:sz w:val="13"/>
              </w:rPr>
              <w:t>(b)</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2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2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23,714</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1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2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2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(38,293</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charges incurred related to acquisitions and similar transactions, primarily consisting of change in control-related costs, professional service fees, and other third-party costs. Transaction and acquisition related charges for the three and nine months ended September 30, 2026 include approximately $0.1 million and $0.6 million, respectively, of expense associated with the Sterling Acquisition. Transaction and acquisition related charges for the three and nine months ended September 30, 2025 include approximately $1.4 million and $7.5 million, respectively, of expense associated with the Sterling Acquisition.</w:t>
      </w:r>
    </w:p>
    <w:p>
      <w:pPr>
        <w:pStyle w:val="TextBody"/>
        <w:bidi w:val="0"/>
        <w:spacing w:before="0" w:after="180"/>
        <w:jc w:val="left"/>
        <w:rPr>
          <w:rFonts w:ascii="Times New Roman" w:hAnsi="Times New Roman"/>
          <w:color w:val="000000"/>
          <w:sz w:val="16"/>
        </w:rPr>
      </w:pPr>
      <w:r>
        <w:rPr>
          <w:rFonts w:ascii="Times New Roman" w:hAnsi="Times New Roman"/>
          <w:color w:val="000000"/>
          <w:sz w:val="16"/>
        </w:rPr>
        <w:t>(b)</w:t>
      </w:r>
    </w:p>
    <w:p>
      <w:pPr>
        <w:pStyle w:val="TextBody"/>
        <w:bidi w:val="0"/>
        <w:spacing w:before="0" w:after="180"/>
        <w:jc w:val="left"/>
        <w:rPr>
          <w:rFonts w:ascii="Times New Roman" w:hAnsi="Times New Roman"/>
          <w:color w:val="000000"/>
          <w:sz w:val="16"/>
        </w:rPr>
      </w:pPr>
      <w:r>
        <w:rPr>
          <w:rFonts w:ascii="Times New Roman" w:hAnsi="Times New Roman"/>
          <w:color w:val="000000"/>
          <w:sz w:val="16"/>
        </w:rPr>
        <w:t>Represents charges from organizational restructuring and integration activities, non-cash, and other charges primarily related to nonrecurring legal exposures, foreign currency (gains) losses, (gains) losses on the sale of assets, impairment of capitalized software and other non-recurring items. Integration, restructuring, and other charges for the three and nine months ended September 30, 2026 include approximately $1.3 million and $4.9 million, respectively, of expense associated with the integration of Sterling. Integration, restructuring, and other charges for the three and nine months ended September 30, 2025 include approximately $3.8 million and $15.4 million, respectively, of expense associated with the integration of Sterling. The three and nine months ended September 30, 2025 also include approximately $1.5 million of expenses related to debt refinancing activities, as well as capitalized software impairment charges of approximately $1.2 million.</w:t>
      </w:r>
    </w:p>
    <w:p>
      <w:pPr>
        <w:pStyle w:val="TextBody"/>
        <w:bidi w:val="0"/>
        <w:spacing w:before="0" w:after="180"/>
        <w:jc w:val="left"/>
        <w:rPr>
          <w:rFonts w:ascii="Times New Roman" w:hAnsi="Times New Roman"/>
          <w:sz w:val="20"/>
        </w:rPr>
      </w:pPr>
      <w:r>
        <w:rPr>
          <w:rFonts w:ascii="Times New Roman" w:hAnsi="Times New Roman"/>
          <w:i/>
          <w:color w:val="000000"/>
          <w:sz w:val="20"/>
        </w:rPr>
        <w:t>Geographic Information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categorizes revenues by geographic region in which the revenues and invoicing are recorded. Other than the United States, no single country accounted for 10% or more of our total revenues during these periods.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summarizes revenues by geographical region (in thousands):</w:t>
      </w:r>
    </w:p>
    <w:tbl>
      <w:tblPr>
        <w:tblW w:w="8043" w:type="dxa"/>
        <w:jc w:val="left"/>
        <w:tblInd w:w="0" w:type="dxa"/>
        <w:tblLayout w:type="fixed"/>
        <w:tblCellMar>
          <w:top w:w="28" w:type="dxa"/>
          <w:left w:w="28" w:type="dxa"/>
          <w:bottom w:w="28" w:type="dxa"/>
          <w:right w:w="28" w:type="dxa"/>
        </w:tblCellMar>
      </w:tblPr>
      <w:tblGrid>
        <w:gridCol w:w="1736"/>
        <w:gridCol w:w="246"/>
        <w:gridCol w:w="249"/>
        <w:gridCol w:w="921"/>
        <w:gridCol w:w="172"/>
        <w:gridCol w:w="172"/>
        <w:gridCol w:w="249"/>
        <w:gridCol w:w="921"/>
        <w:gridCol w:w="246"/>
        <w:gridCol w:w="246"/>
        <w:gridCol w:w="212"/>
        <w:gridCol w:w="938"/>
        <w:gridCol w:w="147"/>
        <w:gridCol w:w="147"/>
        <w:gridCol w:w="212"/>
        <w:gridCol w:w="938"/>
        <w:gridCol w:w="291"/>
      </w:tblGrid>
      <w:tr>
        <w:tc>
          <w:tcPr>
            <w:tcW w:w="17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17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1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407,637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349,284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1,130,114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987,980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 other countries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58,139</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59,867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169,626</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166,392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465,776</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409,151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1,299,740</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1,154,372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sets forth net long-lived assets by geographic area (in thousands):</w:t>
      </w:r>
    </w:p>
    <w:tbl>
      <w:tblPr>
        <w:tblW w:w="6085" w:type="dxa"/>
        <w:jc w:val="left"/>
        <w:tblInd w:w="0" w:type="dxa"/>
        <w:tblLayout w:type="fixed"/>
        <w:tblCellMar>
          <w:top w:w="28" w:type="dxa"/>
          <w:left w:w="28" w:type="dxa"/>
          <w:bottom w:w="28" w:type="dxa"/>
          <w:right w:w="28" w:type="dxa"/>
        </w:tblCellMar>
      </w:tblPr>
      <w:tblGrid>
        <w:gridCol w:w="2311"/>
        <w:gridCol w:w="146"/>
        <w:gridCol w:w="285"/>
        <w:gridCol w:w="1260"/>
        <w:gridCol w:w="146"/>
        <w:gridCol w:w="146"/>
        <w:gridCol w:w="277"/>
        <w:gridCol w:w="1223"/>
        <w:gridCol w:w="291"/>
      </w:tblGrid>
      <w:t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Long-lived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2,822,176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 other countries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438,668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long-lived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3,111,658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3,260,844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15. Subsequent Events</w:t>
      </w:r>
    </w:p>
    <w:p>
      <w:pPr>
        <w:pStyle w:val="TextBody"/>
        <w:bidi w:val="0"/>
        <w:spacing w:before="180" w:after="283"/>
        <w:jc w:val="left"/>
      </w:pPr>
      <w: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Effective as of November 4, 2026, the Company acquired 100% of the equity interests of a U.S.-based data platform business and small employment background screening operation for an aggregate cash consideration of $125.0 million, subject to working capital adjustments. In connection with the acquisition, the Company borrowed $45.0 million under its Amended Revolver. The acquisition is expected to enhance the Company’s proprietary data and technology capabilities, expand automated fulfillment capabilities, and advance product innovation.</w:t>
      </w:r>
    </w:p>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80"/>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discussion and analysis of First Advantage Corporation’s financial condition and results of operations is provided as a supplement to the condensed consolidated financial statements for the three and nine months ended September 30, 2026, and should be read in conjunction with the audited consolidated financial statements for the year ended December 31, 2025, our “Risk Factors,” and “Management’s Discussion and Analysis of Financial Condition and Results of Operations” included in the Company’s Annual Report on Form 10-K for the year ended December 31, 2025 (the “2025 Annual Report”), filed with the Securities and Exchange Commission (the “SEC”).</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the negative version of these words, or similar terms and phrases.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These forward-looking statements are subject to various risks, uncertainties, assumptions, or changes in circumstances that are difficult to predict or quantify. Such risks and uncertainties include, but are not limited to, the following: adverse changes in external events beyond our control, including our customers’ onboarding volumes, economic drivers which are sensitive to macroeconomic cycles, such as interest rate volatility and inflation, geopolitical unrest, global trade disputes, uncertainty in financial markets, and changes in tax laws; our operations in a highly regulated industry and the fact that we are subject to numerous and evolving laws and regulations, including with respect to personal data, data security, and artificial intelligence (“AI”); failure to identify attractive acquisition targets and strategic partnerships, successfully complete proposed business combination transactions or realize the expected benefits of such transactions; our inability to identify and successfully implement our growth strategies on a timely basis or at all; potential harm to our business, brand, and reputation as a result of security breaches, cyber-attacks, social, ethical, and legal issues relating to the use of new and evolving technologies, employee or other internal misconduct, computer viruses, or the mishandling of personal data; operating in a penetrated and competitive market; our reliance on third-party data providers; our sales to government entities and higher-tier contractors to governmental customers which involve unique competitive, procurement, budget, administrative and contractual risks; due to the sensitive and privacy-driven nature of our products and solutions, we could face liability and legal or regulatory proceedings, which could be costly and time-consuming to defend and may not be fully covered by insurance; our international business exposes us to a number of risks; real or perceived errors, failures, or bugs in our products could adversely affect our business, results of operations, financial condition, and growth prospects; failure to comply with anti-corruption, economic and trade sanctions, and anti-money laundering laws and regulations; disruptions at our Operation Centers of Excellence and other operational sites; our contracts with our customers, which do not guarantee exclusivity or contracted volumes; the timing, manner and volume of repurchases of common stock pursuant to our share repurchase program; disruptions, outages, or other errors with our technology and network infrastructure, including our data centers, servers, and third-party cloud and internet providers and our migration to the cloud; the continued integration of our platforms and solutions with human resource providers such as applicant tracking systems and human capital management systems as well as our relationships with such human resource providers; risks relating to public opinion, which may be magnified by incidents or adverse publicity concerning our industry or operations; our reliance on third-party vendors to carry out certain portions of our operations; our dependence on the service of our key executives and other employees, and our ability to find and retain qualified employees; our ability to obtain, maintain, protect and enforce our intellectual property and other proprietary information; our ability to maintain, protect, and enforce the confidentiality of our trade secrets; the use of open-source software in our applications; seasonality in our operations from quarter to quarter; our indebtedness could adversely affect our ability to raise additional capital to fund our operations, limit our ability to react to changes in the economy or our industry, and prevent us from meeting our obligations; and Silver Lake’s significant ownership of our common stock and the potential conflict of its interest with ours or those of our stockholders.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additional information on these and other factors that could cause First Advantage’s actual results to differ materially from expected results, please see our 2025 Annual Report, as such factors may be updated from time to time in our periodic filings with the SEC, which are accessible on the SEC’s website at www.sec.gov. The forward-looking statements included in this Quarterly Report on Form 10-Q are made only as of the date of this Form 10-Q, and we undertake no obligation to publicly update or review any forward-looking statement, whether as a result of new information, future developments, or otherwise, except as required by law.</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80"/>
        <w:jc w:val="left"/>
        <w:rPr>
          <w:rFonts w:ascii="Times New Roman" w:hAnsi="Times New Roman"/>
          <w:sz w:val="20"/>
        </w:rPr>
      </w:pPr>
      <w:r>
        <w:rPr>
          <w:rFonts w:ascii="Times New Roman" w:hAnsi="Times New Roman"/>
          <w:b/>
          <w:color w:val="000000"/>
          <w:sz w:val="20"/>
        </w:rPr>
        <w:t>Glossary of Selected Terminology</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terms are used in this Form 10-Q, unless otherwise noted or indicated by the context:</w:t>
      </w:r>
    </w:p>
    <w:p>
      <w:pPr>
        <w:pStyle w:val="TextBody"/>
        <w:bidi w:val="0"/>
        <w:spacing w:before="0" w:after="0"/>
        <w:jc w:val="left"/>
        <w:rPr>
          <w:color w:val="000000"/>
        </w:rPr>
      </w:pPr>
      <w:r>
        <w:rPr>
          <w:color w:val="000000"/>
        </w:rPr>
        <w:t>•</w:t>
      </w:r>
    </w:p>
    <w:p>
      <w:pPr>
        <w:pStyle w:val="TextBody"/>
        <w:bidi w:val="0"/>
        <w:spacing w:before="0" w:after="0"/>
        <w:jc w:val="left"/>
        <w:rPr>
          <w:color w:val="000000"/>
        </w:rPr>
      </w:pPr>
      <w:r>
        <w:rPr>
          <w:color w:val="000000"/>
        </w:rPr>
        <w:t>“</w:t>
      </w:r>
      <w:r>
        <w:rPr>
          <w:rFonts w:ascii="Times New Roman" w:hAnsi="Times New Roman"/>
          <w:color w:val="000000"/>
          <w:sz w:val="20"/>
        </w:rPr>
        <w:t>Americas” in regards to our business, means the United States, Canada, and Latin America;</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First Advantage,” the “Company,” “we,” “us,” and “our” mean the business of First Advantage Corporation and its subsidiaries;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International” in regards to our business, means all geographical regions outside of the United States, Canada, and Latin America;</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Legacy First Advantage” refers to First Advantage Corporation and its subsidiaries, prior to the Sterling Acquisition, encompassing its core business operations, established workforce, existing processes, and the technology systems in place;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Sterling” refers to Sterling Check Corp., which became an indirect, wholly owned subsidiary of First Advantage on October 31, 2024, and now operates as a separate reportable segment;</w:t>
      </w:r>
    </w:p>
    <w:p>
      <w:pPr>
        <w:pStyle w:val="TextBody"/>
        <w:bidi w:val="0"/>
        <w:spacing w:before="120" w:after="180"/>
        <w:jc w:val="left"/>
        <w:rPr>
          <w:color w:val="000000"/>
        </w:rPr>
      </w:pPr>
      <w:r>
        <w:rPr>
          <w:color w:val="000000"/>
        </w:rPr>
        <w:t>•</w:t>
      </w:r>
    </w:p>
    <w:p>
      <w:pPr>
        <w:pStyle w:val="TextBody"/>
        <w:bidi w:val="0"/>
        <w:spacing w:before="120" w:after="180"/>
        <w:jc w:val="left"/>
        <w:rPr>
          <w:color w:val="000000"/>
        </w:rPr>
      </w:pPr>
      <w:r>
        <w:rPr>
          <w:color w:val="000000"/>
        </w:rPr>
        <w:t>“</w:t>
      </w:r>
      <w:r>
        <w:rPr>
          <w:rFonts w:ascii="Times New Roman" w:hAnsi="Times New Roman"/>
          <w:color w:val="000000"/>
          <w:sz w:val="20"/>
        </w:rPr>
        <w:t>Revenues attributable to the Company’s acquisitions” means revenues recognized in the first year following each acquisition; and</w:t>
      </w:r>
    </w:p>
    <w:p>
      <w:pPr>
        <w:pStyle w:val="TextBody"/>
        <w:bidi w:val="0"/>
        <w:spacing w:before="0" w:after="180"/>
        <w:jc w:val="left"/>
        <w:rPr>
          <w:color w:val="000000"/>
        </w:rPr>
      </w:pPr>
      <w:r>
        <w:rPr>
          <w:color w:val="000000"/>
        </w:rPr>
        <w:t>•</w:t>
      </w:r>
    </w:p>
    <w:p>
      <w:pPr>
        <w:pStyle w:val="TextBody"/>
        <w:bidi w:val="0"/>
        <w:spacing w:before="0" w:after="180"/>
        <w:jc w:val="left"/>
        <w:rPr>
          <w:color w:val="000000"/>
        </w:rPr>
      </w:pPr>
      <w:r>
        <w:rPr>
          <w:color w:val="000000"/>
        </w:rPr>
        <w:t>“</w:t>
      </w:r>
      <w:r>
        <w:rPr>
          <w:rFonts w:ascii="Times New Roman" w:hAnsi="Times New Roman"/>
          <w:color w:val="000000"/>
          <w:sz w:val="20"/>
        </w:rPr>
        <w:t>Silver Lake” means Silver Lake Group, L.L.C., together with its affiliates, successors, and assignees.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condensed consolidated financial statements included elsewhere in this Quarterly Report on Form 10-Q. Certain other amounts that appear in this Quarterly Report on Form 10-Q may not sum due to rounding.</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Website and Social Media Disclosure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use our websites (https://fadv.com/ and https://investors.fadv.com/) to distribute company information.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 The information we post on our websites may be deemed material. Accordingly, investors should monitor our websites, in addition to following our press releases, filings with the SEC, and public conference calls and webcasts. In addition, you may opt in to automatically receive email alerts and other information about First Advantage when you enroll your email address by visiting the “Email Alerts” section of our investor website at https://investors.fadv.com/. The contents of our websites and social media channels are not, however, a part of this Quarterly Report on Form 10-Q.</w:t>
      </w:r>
    </w:p>
    <w:p>
      <w:pPr>
        <w:pStyle w:val="TextBody"/>
        <w:bidi w:val="0"/>
        <w:spacing w:before="0" w:after="18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First Advantage is a global software and data company. We provide comprehensive, end-to-end identity solutions, criminal background screening, credential verifications, drug and health screening, and continuous risk monitoring. Combining AI-powered proprietary technology platforms with proprietary data, primary source data, and third-party data, we help organizations hire with confidence and manage risk across the entire employee lifecycle.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derive a substantial majority of our revenues from pre-onboarding screening and perform screens across over 200 countries and territories, enabling us to serve as a one-stop-shop provider to both multinational companies and growth companies. Our over 80,000 customers are global enterprises, mid-sized companies, and small companies, and our products and solutions are used by personnel in Executive Management, Human Resources, Talent Acquisition, Compliance, Risk, Legal, Safety, and Vendor Management.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platforms offer flexibility for customers to specify which products to include in their screening package, such as Social Security numbers, criminal records, education and work verifications, sex offender registry, and global sanctions. Generally, our customers order a background screening package or selected combination of screens related to a single individual before they onboard that individual. The type and mix of products and solutions we sell to a customer vary by customer size, their screening requirements, and industry vertical. Therefore, order volumes are not comparable across customers or periods. Package pricing can also vary considerably by customer depending on the product mix in their screening packages, order volumes, screening requirements and preferences, pass-through and third-party out-of-pocket costs, and bundling of products.</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enter into contracts with our customers that are typically three years in length. These contracts set forth the general terms and pricing of our products and solutions but generally do not include minimum order volumes or committed order volumes. Certain of our customer contracts include exclusivity or primary provider provisions; however, such provisions are not included in all customer contracts and do not necessarily guarantee order volumes. Due to our contract terms and the nature of the background screening industry, we determined our contract terms for ASC 606 purposes to be three years or less. We typically bill our customers at the end of each month and recognize revenues as completed orders are reported or otherwise made available to our customers.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generated revenues of $465.8 million for the three months ended September 30, 2026, as compared to $409.2 million for the three months ended September 30, 2025 and generated revenues of $1,299.7 million for the nine months ended September 30, 2026, as compared to $1,154.4 million for the nine months ended September 30, 2025. Approximately 88% of our revenues for the three months ended September 30, 2026 was generated in the United States, while the remaining 12% was generated abroad. Approximately 87% of our revenues for the nine months ended September 30, 2026 was generated in the United States, while the remaining 13% was generated abroad. Other than the United States, no single country accounted for 10% or more of our total revenues for the three and nine months ended September 30, 2026. Please refer to “Results of Operations” for further details. </w:t>
      </w:r>
    </w:p>
    <w:p>
      <w:pPr>
        <w:pStyle w:val="TextBody"/>
        <w:bidi w:val="0"/>
        <w:spacing w:before="0" w:after="180"/>
        <w:jc w:val="left"/>
        <w:rPr>
          <w:rFonts w:ascii="Times New Roman" w:hAnsi="Times New Roman"/>
          <w:sz w:val="20"/>
        </w:rPr>
      </w:pPr>
      <w:r>
        <w:rPr>
          <w:rFonts w:ascii="Times New Roman" w:hAnsi="Times New Roman"/>
          <w:b/>
          <w:color w:val="000000"/>
          <w:sz w:val="20"/>
        </w:rPr>
        <w:t>Segments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manage our business and report our financial results in three reportable segments, First Advantage Americas, First Advantage International, and Sterling: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sz w:val="20"/>
        </w:rPr>
      </w:pPr>
      <w:r>
        <w:rPr>
          <w:rFonts w:ascii="Times New Roman" w:hAnsi="Times New Roman"/>
          <w:b/>
          <w:i/>
          <w:color w:val="000000"/>
          <w:sz w:val="20"/>
        </w:rPr>
        <w:t xml:space="preserve">First Advantage Americas. </w:t>
      </w:r>
      <w:r>
        <w:rPr>
          <w:rFonts w:ascii="Times New Roman" w:hAnsi="Times New Roman"/>
          <w:color w:val="000000"/>
          <w:sz w:val="20"/>
        </w:rPr>
        <w:t>This segment pertains to our Legacy First Advantage business and performs a variety of background check and compliance services across all phases of the workforce lifecycle from pre-onboarding services to post-onboarding and ongoing monitoring services, covering employees, contractors, contingent workers, and drivers. We generally classify our service offerings into three categories: pre-onboarding, post-onboarding, and adjacent products. We deliver our solutions across multiple industry verticals in the United States, Canada, and Latin America.</w:t>
      </w:r>
    </w:p>
    <w:p>
      <w:pPr>
        <w:pStyle w:val="TextBody"/>
        <w:bidi w:val="0"/>
        <w:spacing w:before="120" w:after="180"/>
        <w:jc w:val="left"/>
        <w:rPr>
          <w:color w:val="000000"/>
        </w:rPr>
      </w:pPr>
      <w:r>
        <w:rPr>
          <w:color w:val="000000"/>
        </w:rPr>
        <w:t>•</w:t>
      </w:r>
    </w:p>
    <w:p>
      <w:pPr>
        <w:pStyle w:val="TextBody"/>
        <w:bidi w:val="0"/>
        <w:spacing w:before="120" w:after="180"/>
        <w:jc w:val="left"/>
        <w:rPr>
          <w:rFonts w:ascii="Times New Roman" w:hAnsi="Times New Roman"/>
          <w:sz w:val="20"/>
        </w:rPr>
      </w:pPr>
      <w:r>
        <w:rPr>
          <w:rFonts w:ascii="Times New Roman" w:hAnsi="Times New Roman"/>
          <w:b/>
          <w:i/>
          <w:color w:val="000000"/>
          <w:sz w:val="20"/>
        </w:rPr>
        <w:t xml:space="preserve">First Advantage International. </w:t>
      </w:r>
      <w:r>
        <w:rPr>
          <w:rFonts w:ascii="Times New Roman" w:hAnsi="Times New Roman"/>
          <w:color w:val="000000"/>
          <w:sz w:val="20"/>
        </w:rPr>
        <w:t>The First Advantage International segment pertains to our Legacy First Advantage business and provides services similar to our Americas segment in regions outside of the Americas. We primarily deliver our solutions across multiple industry verticals in Europe, India, and Asia Pacific.</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sz w:val="20"/>
        </w:rPr>
      </w:pPr>
      <w:r>
        <w:rPr>
          <w:rFonts w:ascii="Times New Roman" w:hAnsi="Times New Roman"/>
          <w:b/>
          <w:i/>
          <w:color w:val="000000"/>
          <w:sz w:val="20"/>
        </w:rPr>
        <w:t xml:space="preserve">Sterling. </w:t>
      </w:r>
      <w:r>
        <w:rPr>
          <w:rFonts w:ascii="Times New Roman" w:hAnsi="Times New Roman"/>
          <w:color w:val="000000"/>
          <w:sz w:val="20"/>
        </w:rPr>
        <w:t>This segment is comprised of the acquired entity, Sterling Check Corp., which was acquired on October 31, 2024. The Sterling segment provides similar services as compared to First Advantage’s Americas and International segments on a global basis.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experience seasonality with respect to certain industries due to fluctuations in hiring volumes and other economic activity. For example, pre-onboarding revenues generated from our customers in the retail and transportation industries are historically highest during the months of October and November, leading up to the U.S. holiday season and lowest in December and at the beginning of the new year, following the U.S. holiday hiring season. Certain customers across various industries also historically increase their hiring throughout the second quarter of the year as winter concludes, and the school year ends, giving rise to student and graduate hiring, and increased commercial activity tied to outdoor activities. As a result, we have a mostly balanced revenue distribution across the second, third, and fourth quarters each year and a seasonal low in the first quarter. We expect that changes in consumer behavior, labor market conditions, technological innovation, and broader macroeconomic factors may impact future seasonality, but we are unable to predict these potential shifts and their impact to our business.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Current Economic Conditions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results continue to be influenced by our customers’ underlying business performance, hiring patterns, and workforce strategies, which collectively drive demand for our background screening and adjacent solutions. Customer demand remains sensitive to a range of macroeconomic and labor-market factors, including hiring velocity, employee turnover, sector</w:t>
        <w:noBreakHyphen/>
        <w:t>specific employment trends, and overall economic conditions. During periods of economic uncertainty, employers may reduce or delay hiring, slow onboarding activity, or take a more measured approach to workforce expansion, which can negatively impact demand for our solutions.</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Macroeconomic conditions during the period have remained uncertain. While economic activity has remained resilient in certain markets, employers continue to operate in an environment characterized by elevated inflation and interest rates, uneven hiring activity across industries and geographies, and ongoing uncertainty regarding the outlook for economic growth. Labor-market conditions have also varied across sectors, with employers continuing to exercise caution in workforce planning and hiring decisions. At the same time, we have experienced increased demand from customers and end markets benefiting from investment in artificial intelligence and data center infrastructure, which has contributed positively to our revenue growth. The level of demand associated with these areas may vary from period to period based on the timing and pace of infrastructure investment, customer hiring activity, and broader economic conditions. Geopolitical developments and regional conflicts, including ongoing conflict in the Middle East, have contributed to volatility in global energy markets and inflationary pressures and have increased uncertainty surrounding business planning and investment decisions. In addition, evolving global trade and tariff policies, changes in supply-chain strategies, and regulatory and compliance developments continue to create uncertainty for businesses, particularly those with international operations or exposure to cyclical end markets.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These macroeconomic, geopolitical, and policy conditions may contribute to variability in customer hiring plans and workforce strategies and can result in slower decision-making, increased cost scrutiny, and a greater focus on operational efficiency, including the pace and scale of new hiring initiatives. If economic uncertainty is sustained or increases, we may experience a negative impact on new business generation, customer renewals, overall demand levels, sales and marketing efforts, revenue growth rates, customer deployments, customer collections, product development, or other financial metrics. Any of these factors could harm our business, financial condition, and operating results. Our ability to grow our business will also depend on the long-term strength, diversity, and durability of the verticals that we focus on and rely upon to drive our revenues.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Despite these macroeconomic conditions, we remain confident in the overall long-term health of our business, the strength of our product offerings, and our ability to continue to execute on our strategy and help our customers hire with confidence and manage risk across the entire employee lifecycle. Our continued focus on delivering innovative solutions that enhance workplace safety and address evolving compliance requirements as well as our diversified customer base have contributed to the stability of our business and long-term financial performance.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additional information, see our “Risk Factors” and “Management’s Discussion and Analysis of Financial Condition and Results of Operations” included in the 2025 Annual Report.</w:t>
      </w:r>
    </w:p>
    <w:p>
      <w:pPr>
        <w:pStyle w:val="TextBody"/>
        <w:bidi w:val="0"/>
        <w:spacing w:before="0" w:after="180"/>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derives revenues from a variety of background screening and adjacent products performed across all phases of the workforce lifecycle from pre-onboarding screening services to post-onboarding and ongoing monitoring services, covering employees, contractors, contingent workers, and drivers. We generally classify our products and solutions into three major categories: pre-onboarding, post-onboarding, and adjacent products, each of which is enabled by our technologies, proprietary internal databases, and data analytics capabilities. Pre-onboarding products, which comprise the substantial majority of our revenues, span an extensive array of products that customers typically utilize to enhance their applicant evaluation process and support compliance with their workforce onboarding criteria from the time an application is submitted to an applicant’s successful onboarding. Post-onboarding products are comprised of continuous monitoring, re-screening, and other solutions to help our customers keep their end customers, workforces, and other stakeholders safer, more productive, and more compliant. Adjacent products include products that complement our pre-onboarding and post-onboarding solutions such as fleet and vehicle compliance, hiring tax credits and incentives, employment eligibility, and investigative research.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suite of products is available individually or through packaged solutions that can be configured and tailored according to our customers’ needs. We typically bill our customers at the end of each month and recognize revenues after completed orders are reported or otherwise made available to our customers, with a substantial majority of our customers’ orders completed the same day they are submitted. We recognize revenues for other products over time as the customer simultaneously receives and consumes the benefits of the products and solutions delivered.</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8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incur the following expenses related to our cost of revenues and operating expenses: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sz w:val="20"/>
        </w:rPr>
      </w:pPr>
      <w:r>
        <w:rPr>
          <w:rFonts w:ascii="Times New Roman" w:hAnsi="Times New Roman"/>
          <w:i/>
          <w:color w:val="000000"/>
          <w:sz w:val="20"/>
        </w:rPr>
        <w:t>Cost of Services (exclusive of depreciation and amortization below)</w:t>
      </w:r>
      <w:r>
        <w:rPr>
          <w:rFonts w:ascii="Times New Roman" w:hAnsi="Times New Roman"/>
          <w:color w:val="000000"/>
          <w:sz w:val="20"/>
        </w:rPr>
        <w:t>: Consists of amounts paid to third parties for access to government records, other third-party data and services, and our internal processing fulfillment and customer care functions. In addition, cost of services includes expenses from our drug screening lab and collection site network as well as our court runner network. Third-party cost of services are largely variable in nature and are typically invoiced to our customers as direct pass-through costs. Cost of services also includes our salaries and benefits expense for personnel involved in the processing and fulfillment of our screening products and solutions, as well as our customer care organization and robotics process automation implementation team. Other costs included in cost of services relate to allocations of certain overhead costs for our revenue-generating products and solutions, primarily consisting of certain facility costs and administrative services allocated by headcount or another related metric. We do not allocate depreciation and amortization to cost of services.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sz w:val="20"/>
        </w:rPr>
      </w:pPr>
      <w:r>
        <w:rPr>
          <w:rFonts w:ascii="Times New Roman" w:hAnsi="Times New Roman"/>
          <w:i/>
          <w:color w:val="000000"/>
          <w:sz w:val="20"/>
        </w:rPr>
        <w:t>Product and Technology Expense</w:t>
      </w:r>
      <w:r>
        <w:rPr>
          <w:rFonts w:ascii="Times New Roman" w:hAnsi="Times New Roman"/>
          <w:color w:val="000000"/>
          <w:sz w:val="20"/>
        </w:rPr>
        <w:t>: Consists of salaries and benefits of personnel involved in the maintenance of our technology and its integrations and APIs, product marketing, management of our network and infrastructure capabilities, and maintenance of our information security and business continuity functions. A portion of the personnel costs are related to the development of new products and features that are primarily developed through agile methodologies. Certain of these costs are capitalized, and therefore, are partially reflected as amortization expense within the depreciation and amortization cost line item. Product and technology expense also includes third-party costs related to our cloud computing services, software licensing and maintenance, telecommunications, and other data processing functions. We do not allocate depreciation and amortization to product and technology expense.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sz w:val="20"/>
        </w:rPr>
      </w:pPr>
      <w:r>
        <w:rPr>
          <w:rFonts w:ascii="Times New Roman" w:hAnsi="Times New Roman"/>
          <w:i/>
          <w:color w:val="000000"/>
          <w:sz w:val="20"/>
        </w:rPr>
        <w:t>Selling, General, and Administrative Expense</w:t>
      </w:r>
      <w:r>
        <w:rPr>
          <w:rFonts w:ascii="Times New Roman" w:hAnsi="Times New Roman"/>
          <w:color w:val="000000"/>
          <w:sz w:val="20"/>
        </w:rPr>
        <w:t xml:space="preserve">: Consists of sales, customer success, marketing, and general and administrative expenses. Sales, customer success, and marketing expenses consist primarily of employee compensation such as salaries, bonuses, sales commissions, share-based compensation, and other employee benefits for our verticalized sales and customer success teams. General and administrative expenses include travel expenses and various corporate functions including finance, human resources, legal, and other administrative roles, in addition to certain professional service fees and expenses incurred in connection with acquisitions. Selling, general, and administrative expenses also include gains and losses from the sale of assets that do not constitute a sale of a business or discontinued operations. We do not allocate depreciation and amortization to selling, general, and administrative expenses.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sz w:val="20"/>
        </w:rPr>
      </w:pPr>
      <w:r>
        <w:rPr>
          <w:rFonts w:ascii="Times New Roman" w:hAnsi="Times New Roman"/>
          <w:i/>
          <w:color w:val="000000"/>
          <w:sz w:val="20"/>
        </w:rPr>
        <w:t>Depreciation and Amortizatio</w:t>
      </w:r>
      <w:r>
        <w:rPr>
          <w:rFonts w:ascii="Times New Roman" w:hAnsi="Times New Roman"/>
          <w:color w:val="000000"/>
          <w:sz w:val="20"/>
        </w:rPr>
        <w:t xml:space="preserve">n: Property and equipment consisting mainly of capitalized software costs, furniture, hardware, and leasehold improvements are depreciated or amortized and reflected as operating expenses. We also amortize the capitalized costs of finite-life intangible assets acquired in connection with business combinations.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 flexible cost structure that allows our business to adjust quickly to the impacts of macroeconomic events and scale to meet the needs of large customers. Operating expenses are influenced by revenue levels, customer and product mix, and the progress of acquisition-related integration activities. As revenues grow, we would generally expect cost of services to grow proportionally, although the rate of growth may vary based on automation, productivity initiatives, efficiency gains, shifts in mix, and third</w:t>
        <w:noBreakHyphen/>
        <w:t>party pass</w:t>
        <w:noBreakHyphen/>
        <w:t>through costs. We regularly review expenses and investments in the context of revenue trends and observed changes in the business to ensure alignment with our financial objectives. While we expect operating expenses to increase in absolute dollars as we support continued growth, we believe that, over the long term, operating expenses as a percentage of total revenues will gradually decline as we scale the business and advance our operating efficiency and automation initiatives.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other expense, net consists of the following: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sz w:val="20"/>
        </w:rPr>
      </w:pPr>
      <w:r>
        <w:rPr>
          <w:rFonts w:ascii="Times New Roman" w:hAnsi="Times New Roman"/>
          <w:i/>
          <w:color w:val="000000"/>
          <w:sz w:val="20"/>
        </w:rPr>
        <w:t>Interest expense, net</w:t>
      </w:r>
      <w:r>
        <w:rPr>
          <w:rFonts w:ascii="Times New Roman" w:hAnsi="Times New Roman"/>
          <w:color w:val="000000"/>
          <w:sz w:val="20"/>
        </w:rPr>
        <w:t xml:space="preserve">: Relates primarily to our debt service costs, the interest-related unrealized gains and losses of our interest rate derivative instruments and, to a lesser extent, the interest on our finance lease obligations and the amortization of deferred financing costs. Additionally, interest expense, net includes interest income earnings on our cash and cash equivalent balances held in interest-bearing accounts.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sz w:val="20"/>
        </w:rPr>
      </w:pPr>
      <w:r>
        <w:rPr>
          <w:rFonts w:ascii="Times New Roman" w:hAnsi="Times New Roman"/>
          <w:i/>
          <w:color w:val="000000"/>
          <w:sz w:val="20"/>
        </w:rPr>
        <w:t>Loss on Extinguishment of Debt</w:t>
      </w:r>
      <w:r>
        <w:rPr>
          <w:rFonts w:ascii="Times New Roman" w:hAnsi="Times New Roman"/>
          <w:color w:val="000000"/>
          <w:sz w:val="20"/>
        </w:rPr>
        <w:t>: Represents non-operating expense incurred when we repay or refinance debt prior to maturity. This includes the write-off of unamortized debt issuance costs and early repayment penalties, if any.</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80"/>
        <w:jc w:val="left"/>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Provision for income taxes consists of U.S. domestic and foreign corporate income taxes related to earnings, with applicable statutory tax rates varying by jurisdiction. Our effective tax rate may be affected by a number of factors, including changes in tax laws, regulations, or statutory rates; regulatory guidance, or new administrative interpretations of judicial decisions; and shifts in proportion of income earned in jurisdictions with differing statutory tax rates.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our business continues to expand globally, the distribution of pretax income across domestic and foreign jurisdictions may fluctuate, resulting in volatility in our effective tax rate. Additionally, the effective tax rate may also be affected by the availability of tax credits and incentives, non-deductible expenses, changes in valuation allowances, and the resolution of uncertain tax positions. These factors, individually or collectively, may cause our provision for income taxes and effective tax rate to differ materially from period to period. </w:t>
      </w:r>
    </w:p>
    <w:p>
      <w:pPr>
        <w:pStyle w:val="TextBody"/>
        <w:bidi w:val="0"/>
        <w:spacing w:before="0" w:after="18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information contained below should be read in conjunction with our accompanying historical condensed consolidated financial statements and the related notes.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Comparison of Results of Operations for the three and nine months ended September 30, 2026 compared to the three and nine months ended September 30, 2025</w:t>
      </w:r>
    </w:p>
    <w:tbl>
      <w:tblPr>
        <w:tblW w:w="10205" w:type="dxa"/>
        <w:jc w:val="left"/>
        <w:tblInd w:w="0" w:type="dxa"/>
        <w:tblLayout w:type="fixed"/>
        <w:tblCellMar>
          <w:top w:w="28" w:type="dxa"/>
          <w:left w:w="28" w:type="dxa"/>
          <w:bottom w:w="28" w:type="dxa"/>
          <w:right w:w="28" w:type="dxa"/>
        </w:tblCellMar>
      </w:tblPr>
      <w:tblGrid>
        <w:gridCol w:w="2793"/>
        <w:gridCol w:w="546"/>
        <w:gridCol w:w="218"/>
        <w:gridCol w:w="807"/>
        <w:gridCol w:w="280"/>
        <w:gridCol w:w="150"/>
        <w:gridCol w:w="218"/>
        <w:gridCol w:w="807"/>
        <w:gridCol w:w="546"/>
        <w:gridCol w:w="546"/>
        <w:gridCol w:w="211"/>
        <w:gridCol w:w="931"/>
        <w:gridCol w:w="271"/>
        <w:gridCol w:w="146"/>
        <w:gridCol w:w="211"/>
        <w:gridCol w:w="931"/>
        <w:gridCol w:w="593"/>
      </w:tblGrid>
      <w:tr>
        <w:tc>
          <w:tcPr>
            <w:tcW w:w="279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c>
          <w:tcPr>
            <w:tcW w:w="27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7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465,776</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409,151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1,299,740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1,154,372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7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7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(exclusive of depreciation and amortization below)</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253,925</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222,039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710,107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622,445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and technology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27,295</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57,582</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57,459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180,517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66,866</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190,949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185,846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2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405,668</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366,908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1,149,089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1,066,775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7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60,108</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150,651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87,597</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7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7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30,438</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131,406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2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31,053</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93,235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132,067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7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29,055</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7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20,489</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(38,293</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margin</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spacing w:before="0" w:after="180"/>
        <w:jc w:val="left"/>
        <w:rPr>
          <w:rFonts w:ascii="Times New Roman" w:hAnsi="Times New Roman"/>
          <w:sz w:val="20"/>
        </w:rPr>
      </w:pPr>
      <w:r>
        <w:rPr>
          <w:rFonts w:ascii="Times New Roman" w:hAnsi="Times New Roman"/>
          <w:i/>
          <w:color w:val="000000"/>
          <w:sz w:val="20"/>
        </w:rPr>
        <w:t>Revenues</w:t>
      </w:r>
      <w:r>
        <w:rPr>
          <w:rFonts w:ascii="Times New Roman" w:hAnsi="Times New Roman"/>
          <w:color w:val="000000"/>
          <w:sz w:val="20"/>
        </w:rPr>
        <w:t xml:space="preserve"> </w:t>
      </w:r>
    </w:p>
    <w:tbl>
      <w:tblPr>
        <w:tblW w:w="8953" w:type="dxa"/>
        <w:jc w:val="left"/>
        <w:tblInd w:w="0" w:type="dxa"/>
        <w:tblLayout w:type="fixed"/>
        <w:tblCellMar>
          <w:top w:w="28" w:type="dxa"/>
          <w:left w:w="28" w:type="dxa"/>
          <w:bottom w:w="28" w:type="dxa"/>
          <w:right w:w="28" w:type="dxa"/>
        </w:tblCellMar>
      </w:tblPr>
      <w:tblGrid>
        <w:gridCol w:w="2606"/>
        <w:gridCol w:w="246"/>
        <w:gridCol w:w="246"/>
        <w:gridCol w:w="913"/>
        <w:gridCol w:w="194"/>
        <w:gridCol w:w="170"/>
        <w:gridCol w:w="246"/>
        <w:gridCol w:w="913"/>
        <w:gridCol w:w="266"/>
        <w:gridCol w:w="246"/>
        <w:gridCol w:w="211"/>
        <w:gridCol w:w="931"/>
        <w:gridCol w:w="166"/>
        <w:gridCol w:w="146"/>
        <w:gridCol w:w="211"/>
        <w:gridCol w:w="931"/>
        <w:gridCol w:w="311"/>
      </w:tblGrid>
      <w:tr>
        <w:tc>
          <w:tcPr>
            <w:tcW w:w="26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26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231,007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182,805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491,662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79,435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Sterling</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210,205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199,440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590,701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Eliminations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465,776</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409,151</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1,299,740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1,154,372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Revenues were $465.8 million for the three months ended September 30, 2026, compared to $409.2 million for the three months ended September 30, 2025. Revenues for the three months ended September 30, 2026 increased by $56.6 million, or 13.8%, compared to the three months ended September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increase in revenues is due to: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sz w:val="20"/>
        </w:rPr>
      </w:pPr>
      <w:r>
        <w:rPr>
          <w:rFonts w:ascii="Times New Roman" w:hAnsi="Times New Roman"/>
          <w:color w:val="000000"/>
          <w:sz w:val="20"/>
        </w:rPr>
        <w:t>a net increase of $40.4 million, or 9.8% from existing customer revenues, primarily driven by increased volumes from existing customers and continued strength from upselling and cross-selling initiatives, which were partially offset by the impact of lost accounts; and</w:t>
      </w:r>
      <w:r>
        <w:rPr>
          <w:rFonts w:ascii="Times New Roman" w:hAnsi="Times New Roman"/>
          <w:color w:val="FF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revenues of $16.2 million, or 4.0%, from new customers, primarily attributable to our First Advantage Americas and Sterling segments.</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 xml:space="preserve">Revenues were $1,299.7 million for the nine months ended September 30, 2026, compared to $1,154.4 million for the nine months ended September 30, 2025. Revenues for the nine months ended September 30, 2026 increased by $145.4 million, or 12.6%, compared to the nine months ended September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increase in revenues is due to: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net increase of $97.3 million, or 8.4% from existing customer revenues, primarily driven by increased volumes from existing customers and continued strength from upselling and cross-selling initiatives, which were partially offset by the impact of lost accounts;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revenues of $48.1 million, or 4.2%, from new customers, primarily attributable to our First Advantage Americas and Sterling segments.</w:t>
      </w:r>
    </w:p>
    <w:p>
      <w:pPr>
        <w:pStyle w:val="TextBody"/>
        <w:bidi w:val="0"/>
        <w:spacing w:before="60" w:after="180"/>
        <w:jc w:val="left"/>
        <w:rPr>
          <w:rFonts w:ascii="Times New Roman" w:hAnsi="Times New Roman"/>
          <w:sz w:val="20"/>
        </w:rPr>
      </w:pPr>
      <w:r>
        <w:rPr>
          <w:rFonts w:ascii="Times New Roman" w:hAnsi="Times New Roman"/>
          <w:color w:val="000000"/>
          <w:sz w:val="20"/>
        </w:rPr>
        <w:t>Pricing remained relatively stable across all periods.</w:t>
      </w:r>
      <w:r>
        <w:rPr>
          <w:rFonts w:ascii="Times New Roman" w:hAnsi="Times New Roman"/>
          <w:color w:val="FF0000"/>
          <w:sz w:val="20"/>
        </w:rPr>
        <w:t xml:space="preserve"> </w:t>
      </w:r>
    </w:p>
    <w:p>
      <w:pPr>
        <w:pStyle w:val="TextBody"/>
        <w:bidi w:val="0"/>
        <w:spacing w:before="0" w:after="180"/>
        <w:jc w:val="left"/>
        <w:rPr>
          <w:rFonts w:ascii="Times New Roman" w:hAnsi="Times New Roman"/>
          <w:sz w:val="20"/>
        </w:rPr>
      </w:pPr>
      <w:r>
        <w:rPr>
          <w:rFonts w:ascii="Times New Roman" w:hAnsi="Times New Roman"/>
          <w:i/>
          <w:color w:val="000000"/>
          <w:sz w:val="20"/>
        </w:rPr>
        <w:t>Cost of Services</w:t>
      </w:r>
      <w:r>
        <w:rPr>
          <w:rFonts w:ascii="Times New Roman" w:hAnsi="Times New Roman"/>
          <w:color w:val="000000"/>
          <w:sz w:val="20"/>
        </w:rPr>
        <w:t xml:space="preserve"> </w:t>
      </w:r>
    </w:p>
    <w:tbl>
      <w:tblPr>
        <w:tblW w:w="9115" w:type="dxa"/>
        <w:jc w:val="left"/>
        <w:tblInd w:w="0" w:type="dxa"/>
        <w:tblLayout w:type="fixed"/>
        <w:tblCellMar>
          <w:top w:w="28" w:type="dxa"/>
          <w:left w:w="28" w:type="dxa"/>
          <w:bottom w:w="28" w:type="dxa"/>
          <w:right w:w="28" w:type="dxa"/>
        </w:tblCellMar>
      </w:tblPr>
      <w:tblGrid>
        <w:gridCol w:w="2851"/>
        <w:gridCol w:w="146"/>
        <w:gridCol w:w="236"/>
        <w:gridCol w:w="873"/>
        <w:gridCol w:w="303"/>
        <w:gridCol w:w="163"/>
        <w:gridCol w:w="236"/>
        <w:gridCol w:w="873"/>
        <w:gridCol w:w="271"/>
        <w:gridCol w:w="146"/>
        <w:gridCol w:w="211"/>
        <w:gridCol w:w="931"/>
        <w:gridCol w:w="271"/>
        <w:gridCol w:w="146"/>
        <w:gridCol w:w="211"/>
        <w:gridCol w:w="931"/>
        <w:gridCol w:w="316"/>
      </w:tblGrid>
      <w:t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28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253,925</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710,107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465,776</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1,299,740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1,154,372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as a %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Cost of services was $253.9 million for the three months ended September 30, 2026, compared to $222.0 million for the three months ended September 30, 2025. Cost of services for the three months ended September 30, 2026 increased by $31.9 million, or 14.4%, compared to the three months ended September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increase in cost of services was primarily due to a $27.1 million increase in third-party data expenses as a result of increased revenue volumes and changes in product mix.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Cost of services as a percentage of revenues was 54.5% for the three months ended September 30, 2026, compared to 54.3% for the three months ended September 30, 2025, reflecting the Company’s continued management of costs in line with revenue growth.</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Cost of services was $710.1 million for the nine months ended September 30, 2026, compared to $622.4 million for the nine months ended September 30, 2025. Cost of services for the nine months ended September 30, 2026 increased by $87.7 million, or 14.1%, compared to the nine months ended September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cost of services was primarily due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$73.5 million increase in third-party data expenses as a result of increased revenue volumes and changes in product mix;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$5.1 million increase in personnel costs.</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Cost of services as a percentage of revenues was 54.6% for the nine months ended September 30, 2026, compared to 53.9% for the nine months ended September 30, 2025. The cost of services percentage of revenues for the nine months ended September 30, 2026 was impacted by changes in product and customer mix and increases in third-party data costs driven by higher volume increases in certain industry verticals that require more third-party data to fulfill the underlying services.</w:t>
      </w:r>
    </w:p>
    <w:p>
      <w:pPr>
        <w:pStyle w:val="TextBody"/>
        <w:bidi w:val="0"/>
        <w:spacing w:before="0" w:after="180"/>
        <w:jc w:val="left"/>
        <w:rPr>
          <w:rFonts w:ascii="Times New Roman" w:hAnsi="Times New Roman"/>
          <w:sz w:val="20"/>
        </w:rPr>
      </w:pPr>
      <w:r>
        <w:rPr>
          <w:rFonts w:ascii="Times New Roman" w:hAnsi="Times New Roman"/>
          <w:i/>
          <w:color w:val="000000"/>
          <w:sz w:val="20"/>
        </w:rPr>
        <w:t>Product and Technology Expense</w:t>
      </w:r>
      <w:r>
        <w:rPr>
          <w:rFonts w:ascii="Times New Roman" w:hAnsi="Times New Roman"/>
          <w:color w:val="000000"/>
          <w:sz w:val="20"/>
        </w:rPr>
        <w:t xml:space="preserve"> </w:t>
      </w:r>
    </w:p>
    <w:tbl>
      <w:tblPr>
        <w:tblW w:w="8681" w:type="dxa"/>
        <w:jc w:val="left"/>
        <w:tblInd w:w="0" w:type="dxa"/>
        <w:tblLayout w:type="fixed"/>
        <w:tblCellMar>
          <w:top w:w="28" w:type="dxa"/>
          <w:left w:w="28" w:type="dxa"/>
          <w:bottom w:w="28" w:type="dxa"/>
          <w:right w:w="28" w:type="dxa"/>
        </w:tblCellMar>
      </w:tblPr>
      <w:tblGrid>
        <w:gridCol w:w="2776"/>
        <w:gridCol w:w="146"/>
        <w:gridCol w:w="274"/>
        <w:gridCol w:w="878"/>
        <w:gridCol w:w="189"/>
        <w:gridCol w:w="189"/>
        <w:gridCol w:w="274"/>
        <w:gridCol w:w="878"/>
        <w:gridCol w:w="146"/>
        <w:gridCol w:w="146"/>
        <w:gridCol w:w="265"/>
        <w:gridCol w:w="849"/>
        <w:gridCol w:w="183"/>
        <w:gridCol w:w="183"/>
        <w:gridCol w:w="265"/>
        <w:gridCol w:w="849"/>
        <w:gridCol w:w="191"/>
      </w:tblGrid>
      <w:t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and technology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Product and technology expense was $27.3 million for the three months ended September 30, 2026, compared to $25.1 million for the three months ended September 30, 2025. Product and technology expense for the three months ended September 30, 2026 increased by $2.2 million, or 8.6%, compared to the three months ended September 30,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product and technology expense was primarily due to a $1.8 million increase in personnel expenses related to continued investments in our products, solutions and technology platforms.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Product and technology expense was $79.2 million for the nine months ended September 30, 2026, compared to $78.0 million for the nine months ended September 30, 2025. Product and technology expense for the nine months ended September 30, 2026 increased by $1.2 million, or 1.5%, compared to the nine months ended September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product and technology expense was primarily driven by $3.9 million of higher personnel expenses related to continued investments in our products, solutions and technology platforms, partially offset by a $1.5 million decrease in software costs resulting from Sterling integration efforts.</w:t>
      </w:r>
    </w:p>
    <w:p>
      <w:pPr>
        <w:pStyle w:val="TextBody"/>
        <w:bidi w:val="0"/>
        <w:spacing w:before="0" w:after="180"/>
        <w:jc w:val="left"/>
        <w:rPr>
          <w:rFonts w:ascii="Times New Roman" w:hAnsi="Times New Roman"/>
          <w:sz w:val="20"/>
        </w:rPr>
      </w:pPr>
      <w:r>
        <w:rPr>
          <w:rFonts w:ascii="Times New Roman" w:hAnsi="Times New Roman"/>
          <w:i/>
          <w:color w:val="000000"/>
          <w:sz w:val="20"/>
        </w:rPr>
        <w:t>Selling, General, and Administrative Expense</w:t>
      </w:r>
      <w:r>
        <w:rPr>
          <w:rFonts w:ascii="Times New Roman" w:hAnsi="Times New Roman"/>
          <w:color w:val="000000"/>
          <w:sz w:val="20"/>
        </w:rPr>
        <w:t xml:space="preserve"> </w:t>
      </w:r>
    </w:p>
    <w:tbl>
      <w:tblPr>
        <w:tblW w:w="9609" w:type="dxa"/>
        <w:jc w:val="left"/>
        <w:tblInd w:w="0" w:type="dxa"/>
        <w:tblLayout w:type="fixed"/>
        <w:tblCellMar>
          <w:top w:w="28" w:type="dxa"/>
          <w:left w:w="28" w:type="dxa"/>
          <w:bottom w:w="28" w:type="dxa"/>
          <w:right w:w="28" w:type="dxa"/>
        </w:tblCellMar>
      </w:tblPr>
      <w:tblGrid>
        <w:gridCol w:w="3706"/>
        <w:gridCol w:w="146"/>
        <w:gridCol w:w="274"/>
        <w:gridCol w:w="878"/>
        <w:gridCol w:w="189"/>
        <w:gridCol w:w="189"/>
        <w:gridCol w:w="274"/>
        <w:gridCol w:w="878"/>
        <w:gridCol w:w="146"/>
        <w:gridCol w:w="146"/>
        <w:gridCol w:w="240"/>
        <w:gridCol w:w="890"/>
        <w:gridCol w:w="166"/>
        <w:gridCol w:w="166"/>
        <w:gridCol w:w="240"/>
        <w:gridCol w:w="890"/>
        <w:gridCol w:w="191"/>
      </w:tblGrid>
      <w:t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7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57,582</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Selling, general, and administrative expense was $57.6 million for the three months ended September 30, 2026, compared to $57.5 million for the three months ended September 30, 2025. Selling, general, and administrative expense for the three months ended September 30, 2026 increased by $0.1 million, or 0.2%, compared to the three months ended September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 increased primarily due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$2.6 million increase in personnel expenses;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$1.8 million increase in incentive compensation expense related to commission and bonus programs driven by the Company’s 2026 financial performance.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These increases were partially offset by: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$1.2 million decrease in share-based compensation expense, primarily due to the full vesting of Sterling equity awards that were converted to First Advantage equity awards in connection with the October 2024 acquisition;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$0.9 million decrease in facilities and office expenses resulting from cost-savings initiatives implemented by the Company in 2025;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$0.6 million decrease in software costs resulting from Sterling integration efforts.</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Selling, general, and administrative expense was $168.9 million for the nine months ended September 30, 2026, compared to $180.5 million for the nine months ended September 30, 2025. Selling, general, and administrative expense for the nine months ended September 30, 2026 decreased by $11.6 million, or 6.5%, compared to the nine months ended September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 decreased primarily due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$6.1 million decrease in share-based compensation expense, primarily due to the full vesting of Sterling equity awards that were converted to First Advantage equity awards in connection with the October 2024 acquisition;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$5.7 million favorable impact from foreign exchange gains;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$2.4 million decrease in personnel expenses resulting from cost-savings initiatives implemented by the Company in 2025;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$1.2 million impairment loss related to retiring legacy acquired platforms in the prior year that did not reoccur in the current year.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These decreases were partially offset by a $5.2 million loss on the sale of assets related to an adjacent product during the nine months ended September 30, 2026, which did not constitute a sale of a business or discontinued operations.</w:t>
      </w:r>
    </w:p>
    <w:p>
      <w:pPr>
        <w:pStyle w:val="TextBody"/>
        <w:bidi w:val="0"/>
        <w:spacing w:before="60" w:after="180"/>
        <w:jc w:val="left"/>
        <w:rPr>
          <w:rFonts w:ascii="Times New Roman" w:hAnsi="Times New Roman"/>
          <w:sz w:val="20"/>
        </w:rPr>
      </w:pPr>
      <w:r>
        <w:rPr>
          <w:rFonts w:ascii="Times New Roman" w:hAnsi="Times New Roman"/>
          <w:i/>
          <w:color w:val="000000"/>
          <w:sz w:val="20"/>
        </w:rPr>
        <w:t>Depreciation and Amortization</w:t>
      </w:r>
      <w:r>
        <w:rPr>
          <w:rFonts w:ascii="Times New Roman" w:hAnsi="Times New Roman"/>
          <w:color w:val="000000"/>
          <w:sz w:val="20"/>
        </w:rPr>
        <w:t xml:space="preserve"> </w:t>
      </w:r>
    </w:p>
    <w:tbl>
      <w:tblPr>
        <w:tblW w:w="8499" w:type="dxa"/>
        <w:jc w:val="left"/>
        <w:tblInd w:w="0" w:type="dxa"/>
        <w:tblLayout w:type="fixed"/>
        <w:tblCellMar>
          <w:top w:w="28" w:type="dxa"/>
          <w:left w:w="28" w:type="dxa"/>
          <w:bottom w:w="28" w:type="dxa"/>
          <w:right w:w="28" w:type="dxa"/>
        </w:tblCellMar>
      </w:tblPr>
      <w:tblGrid>
        <w:gridCol w:w="2596"/>
        <w:gridCol w:w="146"/>
        <w:gridCol w:w="274"/>
        <w:gridCol w:w="878"/>
        <w:gridCol w:w="189"/>
        <w:gridCol w:w="189"/>
        <w:gridCol w:w="274"/>
        <w:gridCol w:w="878"/>
        <w:gridCol w:w="146"/>
        <w:gridCol w:w="146"/>
        <w:gridCol w:w="240"/>
        <w:gridCol w:w="890"/>
        <w:gridCol w:w="166"/>
        <w:gridCol w:w="166"/>
        <w:gridCol w:w="240"/>
        <w:gridCol w:w="890"/>
        <w:gridCol w:w="191"/>
      </w:tblGrid>
      <w:t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Depreciation and amortization was $66.9 million for the three months ended September 30, 2026 compared to $62.3 million for the three months ended September 30, 2025. Depreciation and amortization for the three months ended September 30, 2026 increased by $4.6 million, or 7.4%, compared to the three months ended September 30, 2025. The increase was primarily attributed to $4.3 million of accelerated amortization resulting from a reassessment of the useful lives of certain intangible assets.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Depreciation and amortization was $190.9 million for the nine months ended September 30, 2026, compared to $185.8 million for the nine months ended September 30, 2025. Depreciation and amortization for the nine months ended September 30, 2026 increased by $5.1 million, or 2.7%, compared to the nine months ended September 30, 2025. The increase was primarily attributed to $4.3 million of accelerated amortization resulting from a reassessment of the useful lives of certain intangible assets.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Interest Expense, Net</w:t>
      </w:r>
    </w:p>
    <w:tbl>
      <w:tblPr>
        <w:tblW w:w="7675" w:type="dxa"/>
        <w:jc w:val="left"/>
        <w:tblInd w:w="0" w:type="dxa"/>
        <w:tblLayout w:type="fixed"/>
        <w:tblCellMar>
          <w:top w:w="28" w:type="dxa"/>
          <w:left w:w="28" w:type="dxa"/>
          <w:bottom w:w="28" w:type="dxa"/>
          <w:right w:w="28" w:type="dxa"/>
        </w:tblCellMar>
      </w:tblPr>
      <w:tblGrid>
        <w:gridCol w:w="1771"/>
        <w:gridCol w:w="146"/>
        <w:gridCol w:w="274"/>
        <w:gridCol w:w="878"/>
        <w:gridCol w:w="189"/>
        <w:gridCol w:w="189"/>
        <w:gridCol w:w="274"/>
        <w:gridCol w:w="878"/>
        <w:gridCol w:w="146"/>
        <w:gridCol w:w="146"/>
        <w:gridCol w:w="252"/>
        <w:gridCol w:w="808"/>
        <w:gridCol w:w="174"/>
        <w:gridCol w:w="174"/>
        <w:gridCol w:w="252"/>
        <w:gridCol w:w="933"/>
        <w:gridCol w:w="191"/>
      </w:tblGrid>
      <w:t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7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91,887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Interest expense, net was $30.4 million for the three months ended September 30, 2026, compared to $40.0 million for the three months ended September 30, 2025. Interest expense, net for the three months ended September 30, 2026 decreased by $9.6 million or 24.0%, compared to the three months ended September 30, 2025. </w:t>
      </w:r>
    </w:p>
    <w:p>
      <w:pPr>
        <w:pStyle w:val="TextBody"/>
        <w:bidi w:val="0"/>
        <w:jc w:val="left"/>
        <w:rPr>
          <w:rFonts w:ascii="Times New Roman" w:hAnsi="Times New Roman"/>
          <w:color w:val="000000"/>
          <w:sz w:val="20"/>
        </w:rPr>
      </w:pPr>
      <w:r>
        <w:rPr>
          <w:rFonts w:ascii="Times New Roman" w:hAnsi="Times New Roman"/>
          <w:color w:val="000000"/>
          <w:sz w:val="20"/>
        </w:rPr>
        <w:t>The decrease in interest expense was primarily driven by lower interest on the Company’s term loan, reflecting voluntary principal repayments and reduced interest rates following the Company’s 2025 amendment to its 2024 First Lien Credit Agreement. The decrease was further impacted by an increase in unrealized gains of $2.8 million on the Company’s interest rate swaps, driven by interest rate volatility during the period.</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Interest expense, net was $91.9 million for the nine months ended September 30, 2026, compared to $131.4 million for the nine months ended September 30, 2025. Interest expense, net for the nine months ended September 30, 2026 decreased by $39.5 million or 30.1%, compared to the nine months ended September 30, 2025. </w:t>
      </w:r>
    </w:p>
    <w:p>
      <w:pPr>
        <w:pStyle w:val="TextBody"/>
        <w:bidi w:val="0"/>
        <w:jc w:val="left"/>
        <w:rPr>
          <w:rFonts w:ascii="Times New Roman" w:hAnsi="Times New Roman"/>
          <w:color w:val="000000"/>
          <w:sz w:val="20"/>
        </w:rPr>
      </w:pPr>
      <w:r>
        <w:rPr>
          <w:rFonts w:ascii="Times New Roman" w:hAnsi="Times New Roman"/>
          <w:color w:val="000000"/>
          <w:sz w:val="20"/>
        </w:rPr>
        <w:t>The decrease in interest expense was primarily driven by lower interest on the Company’s term loan, reflecting voluntary principal repayments and reduced interest rates following the Company’s 2025 amendment to its 2024 First Lien Credit Agreement. The decrease was further impacted by an increase in unrealized gains of $17.4 million on the Company’s interest rate swaps, driven by interest rate volatility during the period.</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80" w:after="180"/>
        <w:jc w:val="left"/>
        <w:rPr>
          <w:rFonts w:ascii="Times New Roman" w:hAnsi="Times New Roman"/>
          <w:sz w:val="20"/>
        </w:rPr>
      </w:pPr>
      <w:r>
        <w:rPr>
          <w:rFonts w:ascii="Times New Roman" w:hAnsi="Times New Roman"/>
          <w:i/>
          <w:color w:val="000000"/>
          <w:sz w:val="20"/>
        </w:rPr>
        <w:t>Loss on Extinguishment of Debt</w:t>
      </w:r>
      <w:r>
        <w:rPr>
          <w:rFonts w:ascii="Times New Roman" w:hAnsi="Times New Roman"/>
          <w:color w:val="000000"/>
          <w:sz w:val="20"/>
        </w:rPr>
        <w:t xml:space="preserve"> </w:t>
      </w:r>
    </w:p>
    <w:tbl>
      <w:tblPr>
        <w:tblW w:w="8593" w:type="dxa"/>
        <w:jc w:val="left"/>
        <w:tblInd w:w="0" w:type="dxa"/>
        <w:tblLayout w:type="fixed"/>
        <w:tblCellMar>
          <w:top w:w="28" w:type="dxa"/>
          <w:left w:w="28" w:type="dxa"/>
          <w:bottom w:w="28" w:type="dxa"/>
          <w:right w:w="28" w:type="dxa"/>
        </w:tblCellMar>
      </w:tblPr>
      <w:tblGrid>
        <w:gridCol w:w="2686"/>
        <w:gridCol w:w="146"/>
        <w:gridCol w:w="364"/>
        <w:gridCol w:w="726"/>
        <w:gridCol w:w="252"/>
        <w:gridCol w:w="252"/>
        <w:gridCol w:w="364"/>
        <w:gridCol w:w="726"/>
        <w:gridCol w:w="146"/>
        <w:gridCol w:w="146"/>
        <w:gridCol w:w="321"/>
        <w:gridCol w:w="868"/>
        <w:gridCol w:w="222"/>
        <w:gridCol w:w="222"/>
        <w:gridCol w:w="321"/>
        <w:gridCol w:w="640"/>
        <w:gridCol w:w="191"/>
      </w:tblGrid>
      <w:t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6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Loss on extinguishment of debt for the three and nine months ended September 30, 2026 relates to the write-off of unamortized deferred financing costs as a result of voluntary principal repayments of $45.0 million and $95.0 million during the three and nine months ended September 30, 2026, respectively, on the Company’s outstanding term loan facility. </w:t>
      </w:r>
    </w:p>
    <w:p>
      <w:pPr>
        <w:pStyle w:val="TextBody"/>
        <w:bidi w:val="0"/>
        <w:spacing w:before="0" w:after="180"/>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w:t>
      </w:r>
    </w:p>
    <w:tbl>
      <w:tblPr>
        <w:tblW w:w="8962" w:type="dxa"/>
        <w:jc w:val="left"/>
        <w:tblInd w:w="0" w:type="dxa"/>
        <w:tblLayout w:type="fixed"/>
        <w:tblCellMar>
          <w:top w:w="28" w:type="dxa"/>
          <w:left w:w="28" w:type="dxa"/>
          <w:bottom w:w="28" w:type="dxa"/>
          <w:right w:w="28" w:type="dxa"/>
        </w:tblCellMar>
      </w:tblPr>
      <w:tblGrid>
        <w:gridCol w:w="3016"/>
        <w:gridCol w:w="146"/>
        <w:gridCol w:w="320"/>
        <w:gridCol w:w="868"/>
        <w:gridCol w:w="222"/>
        <w:gridCol w:w="222"/>
        <w:gridCol w:w="320"/>
        <w:gridCol w:w="731"/>
        <w:gridCol w:w="166"/>
        <w:gridCol w:w="146"/>
        <w:gridCol w:w="271"/>
        <w:gridCol w:w="868"/>
        <w:gridCol w:w="187"/>
        <w:gridCol w:w="187"/>
        <w:gridCol w:w="271"/>
        <w:gridCol w:w="810"/>
        <w:gridCol w:w="211"/>
      </w:tblGrid>
      <w:t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0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Our provision (benefit) for income taxes was $8.6 million for the three months ended September 30, 2026, compared to $(0.8) million for the three months ended September 30, 2025. Our provision for income taxes for the three months ended September 30, 2026 increased by $9.4 million, compared to the three months ended September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the provision for income taxes was primarily due to higher pre-tax earnings during the three months ended September 30, 2026, as compared to the three months ended September 30,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provision (benefit) for income taxes was $17.8 million for the nine months ended September 30, 2026, compared to $(6.2) million for the nine months ended September 30, 2025. Our provision for income taxes for the nine months ended September 30, 2026 increased by $24.0 million, compared to the nine months ended September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the provision for income taxes was primarily due to higher pre-tax earnings during the nine months ended September 30, 2026, as compared to the nine months ended September 30, 2025, during which the Company reported a pre-tax loss.</w:t>
      </w:r>
    </w:p>
    <w:p>
      <w:pPr>
        <w:pStyle w:val="TextBody"/>
        <w:bidi w:val="0"/>
        <w:spacing w:before="0" w:after="180"/>
        <w:jc w:val="left"/>
        <w:rPr>
          <w:rFonts w:ascii="Times New Roman" w:hAnsi="Times New Roman"/>
          <w:sz w:val="20"/>
        </w:rPr>
      </w:pPr>
      <w:r>
        <w:rPr>
          <w:rFonts w:ascii="Times New Roman" w:hAnsi="Times New Roman"/>
          <w:i/>
          <w:color w:val="000000"/>
          <w:sz w:val="20"/>
        </w:rPr>
        <w:t>Net Income and Net Income Margin</w:t>
      </w:r>
      <w:r>
        <w:rPr>
          <w:rFonts w:ascii="Times New Roman" w:hAnsi="Times New Roman"/>
          <w:color w:val="000000"/>
          <w:sz w:val="20"/>
        </w:rPr>
        <w:t xml:space="preserve"> </w:t>
      </w:r>
    </w:p>
    <w:tbl>
      <w:tblPr>
        <w:tblW w:w="8735" w:type="dxa"/>
        <w:jc w:val="left"/>
        <w:tblInd w:w="0" w:type="dxa"/>
        <w:tblLayout w:type="fixed"/>
        <w:tblCellMar>
          <w:top w:w="28" w:type="dxa"/>
          <w:left w:w="28" w:type="dxa"/>
          <w:bottom w:w="28" w:type="dxa"/>
          <w:right w:w="28" w:type="dxa"/>
        </w:tblCellMar>
      </w:tblPr>
      <w:tblGrid>
        <w:gridCol w:w="2521"/>
        <w:gridCol w:w="146"/>
        <w:gridCol w:w="271"/>
        <w:gridCol w:w="870"/>
        <w:gridCol w:w="348"/>
        <w:gridCol w:w="187"/>
        <w:gridCol w:w="271"/>
        <w:gridCol w:w="735"/>
        <w:gridCol w:w="271"/>
        <w:gridCol w:w="146"/>
        <w:gridCol w:w="243"/>
        <w:gridCol w:w="779"/>
        <w:gridCol w:w="312"/>
        <w:gridCol w:w="168"/>
        <w:gridCol w:w="243"/>
        <w:gridCol w:w="848"/>
        <w:gridCol w:w="376"/>
      </w:tblGrid>
      <w:t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c>
          <w:tcPr>
            <w:tcW w:w="25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20,489</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39,571</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Net income was $20.5 million for the three months ended September 30, 2026, compared to $2.6 million for the three months ended September 30, 2025. Net income for the three months ended September 30, 2026 increased by $17.9 million compared to the three months ended September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Net income margin was 4.4% for the three months ended September 30, 2026, compared to 0.6% for the three months ended September 30, 2025. The improvement in our net income margin was primarily attributable to increased revenues, our ability to leverage operational efficiencies to control overall expenses, and lower interest expense.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Net income (loss) was $39.6 million for the nine months ended September 30, 2026, compared to $(38.3) million for the nine months ended September 30, 2025. Net income for the nine months ended September 30, 2026 increased by $77.9 million compared to the nine months ended September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Net income (loss) margin was 3.0% for the nine months ended September 30, 2026, compared to (3.3)% for the nine months ended September 30, 2025. The improvement in our net income margin was primarily attributable to increased revenues, our ability to leverage operational efficiencies to control overall expenses, and lower interest expense.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to our results determined in accordance with GAAP, we believe certain measures are useful in evaluating our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peer companies using similar measures. Management supplements GAAP results with non-GAAP financial measures to provide a more complete understanding of the factors and trends affecting the business than GAAP results alone.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each non-GAAP financial measure to the most directly comparable financial measure stated in accordance with GAAP.</w:t>
      </w:r>
    </w:p>
    <w:p>
      <w:pPr>
        <w:pStyle w:val="TextBody"/>
        <w:bidi w:val="0"/>
        <w:spacing w:before="0" w:after="180"/>
        <w:jc w:val="left"/>
        <w:rPr>
          <w:rFonts w:ascii="Times New Roman" w:hAnsi="Times New Roman"/>
          <w:sz w:val="20"/>
        </w:rPr>
      </w:pPr>
      <w:r>
        <w:rPr>
          <w:rFonts w:ascii="Times New Roman" w:hAnsi="Times New Roman"/>
          <w:b/>
          <w:i/>
          <w:color w:val="000000"/>
          <w:sz w:val="20"/>
        </w:rPr>
        <w:t>Adjusted EBITDA and Adjusted EBITDA Margin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Management believes that Adjusted EBITDA is a strong indicator of our overall operating performance and is useful to management and investors as a measure of comparative operating performance from period to period. We define Adjusted EBITDA as net income (loss)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Adjusted EBITDA was $136.5 million for the three months ended September 30, 2026 and represented an Adjusted EBITDA Margin of 29.3%. Adjusted EBITDA was $118.5 million for the three months ended September 30, 2025 and represented an Adjusted EBITDA Margin of 29.0%. Adjusted EBITDA for the three months ended September 30, 2026 increased by $18.0 million, or 15.2%, compared to the three months ended September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Adjusted EBITDA was $370.3 million for the nine months ended September 30, 2026 and represented an Adjusted EBITDA Margin of 28.5%. Adjusted EBITDA was $324.6 million for the nine months ended September 30, 2025 and represented an Adjusted EBITDA Margin of 28.1%. Adjusted EBITDA for the nine months ended September 30, 2026 increased by $45.8 million, or 14.1%, compared to the nine months ended September 30,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Growth in Adjusted EBITDA for the three and nine months ended September 30, 2026 was primarily driven by broad-based revenue growth, operating leverage, and margin expansion attributable to cost efficiencies, partially offset by the impact of changes in product mix.</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table presents a reconciliation of Adjusted EBITDA for the periods presented. </w:t>
      </w:r>
    </w:p>
    <w:tbl>
      <w:tblPr>
        <w:tblW w:w="9771" w:type="dxa"/>
        <w:jc w:val="left"/>
        <w:tblInd w:w="0" w:type="dxa"/>
        <w:tblLayout w:type="fixed"/>
        <w:tblCellMar>
          <w:top w:w="28" w:type="dxa"/>
          <w:left w:w="28" w:type="dxa"/>
          <w:bottom w:w="28" w:type="dxa"/>
          <w:right w:w="28" w:type="dxa"/>
        </w:tblCellMar>
      </w:tblPr>
      <w:tblGrid>
        <w:gridCol w:w="3826"/>
        <w:gridCol w:w="146"/>
        <w:gridCol w:w="249"/>
        <w:gridCol w:w="921"/>
        <w:gridCol w:w="172"/>
        <w:gridCol w:w="172"/>
        <w:gridCol w:w="249"/>
        <w:gridCol w:w="921"/>
        <w:gridCol w:w="166"/>
        <w:gridCol w:w="146"/>
        <w:gridCol w:w="240"/>
        <w:gridCol w:w="890"/>
        <w:gridCol w:w="166"/>
        <w:gridCol w:w="166"/>
        <w:gridCol w:w="240"/>
        <w:gridCol w:w="890"/>
        <w:gridCol w:w="211"/>
      </w:tblGrid>
      <w:t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8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82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Transaction and acquisition-related charges</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82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Integration, restructuring, and other charges</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136,516</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118,500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370,324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324,558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left"/>
      </w:pPr>
      <w: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charges incurred related to acquisitions and similar transactions, primarily consisting of change in control-related costs, professional service fees, and other third-party costs. Transaction and acquisition related charges for the three and nine months ended September 30, 2026 include approximately $0.1 million and $0.6 million, respectively, of expense associated with the Sterling Acquisition. Transaction and acquisition related charges for the three and nine months ended September 30, 2025 include approximately $1.4 million and $7.5 million, respectively, of expense associated with the Sterling Acquisition.</w:t>
      </w:r>
    </w:p>
    <w:p>
      <w:pPr>
        <w:pStyle w:val="TextBody"/>
        <w:bidi w:val="0"/>
        <w:spacing w:before="0" w:after="180"/>
        <w:jc w:val="left"/>
        <w:rPr>
          <w:rFonts w:ascii="Times New Roman" w:hAnsi="Times New Roman"/>
          <w:color w:val="000000"/>
          <w:sz w:val="16"/>
        </w:rPr>
      </w:pPr>
      <w:r>
        <w:rPr>
          <w:rFonts w:ascii="Times New Roman" w:hAnsi="Times New Roman"/>
          <w:color w:val="000000"/>
          <w:sz w:val="16"/>
        </w:rPr>
        <w:t>(b)</w:t>
      </w:r>
    </w:p>
    <w:p>
      <w:pPr>
        <w:pStyle w:val="TextBody"/>
        <w:bidi w:val="0"/>
        <w:spacing w:before="0" w:after="180"/>
        <w:jc w:val="left"/>
        <w:rPr>
          <w:rFonts w:ascii="Times New Roman" w:hAnsi="Times New Roman"/>
          <w:color w:val="000000"/>
          <w:sz w:val="16"/>
        </w:rPr>
      </w:pPr>
      <w:r>
        <w:rPr>
          <w:rFonts w:ascii="Times New Roman" w:hAnsi="Times New Roman"/>
          <w:color w:val="000000"/>
          <w:sz w:val="16"/>
        </w:rPr>
        <w:t>Represents charges from organizational restructuring and integration activities, non-cash, and other charges primarily related to nonrecurring legal exposures, foreign currency (gains) losses, (gains) losses on the sale of assets, impairment of capitalized software and other non-recurring items. Integration, restructuring, and other charges for the three and nine months ended September 30, 2026 include approximately $1.3 million and $4.9 million, respectively, of expense associated with the integration of Sterling. Integration, restructuring, and other charges for the three and nine months ended September 30, 2025 include approximately $3.8 million and $15.4 million, respectively, of expense associated with the integration of Sterling. The three and nine months ended September 30, 2025 also include approximately $1.5 million of expenses related to debt refinancing activities, as well as capitalized software impairment charges of approximately $1.2 million.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define Adjusted EBITDA Margin as Adjusted EBITDA divided by total revenues. The following table presents the calculation of Adjusted EBITDA Margin for the periods presented. </w:t>
      </w:r>
    </w:p>
    <w:tbl>
      <w:tblPr>
        <w:tblW w:w="8874" w:type="dxa"/>
        <w:jc w:val="left"/>
        <w:tblInd w:w="0" w:type="dxa"/>
        <w:tblLayout w:type="fixed"/>
        <w:tblCellMar>
          <w:top w:w="28" w:type="dxa"/>
          <w:left w:w="28" w:type="dxa"/>
          <w:bottom w:w="28" w:type="dxa"/>
          <w:right w:w="28" w:type="dxa"/>
        </w:tblCellMar>
      </w:tblPr>
      <w:tblGrid>
        <w:gridCol w:w="2521"/>
        <w:gridCol w:w="146"/>
        <w:gridCol w:w="233"/>
        <w:gridCol w:w="862"/>
        <w:gridCol w:w="332"/>
        <w:gridCol w:w="161"/>
        <w:gridCol w:w="233"/>
        <w:gridCol w:w="862"/>
        <w:gridCol w:w="301"/>
        <w:gridCol w:w="146"/>
        <w:gridCol w:w="211"/>
        <w:gridCol w:w="931"/>
        <w:gridCol w:w="301"/>
        <w:gridCol w:w="146"/>
        <w:gridCol w:w="211"/>
        <w:gridCol w:w="931"/>
        <w:gridCol w:w="346"/>
      </w:tblGrid>
      <w:t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c>
          <w:tcPr>
            <w:tcW w:w="25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136,516</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370,324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324,558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465,776</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409,151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1,299,740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1,154,372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29.3</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following table presents a calculation of Adjusted EBITDA by segment for the periods presented. See Note 14, “Reportable Segments” to the condensed consolidated financial statements for a reconciliation of Adjusted EBITDA for the periods presented by segment. </w:t>
      </w:r>
    </w:p>
    <w:tbl>
      <w:tblPr>
        <w:tblW w:w="9224" w:type="dxa"/>
        <w:jc w:val="left"/>
        <w:tblInd w:w="0" w:type="dxa"/>
        <w:tblLayout w:type="fixed"/>
        <w:tblCellMar>
          <w:top w:w="28" w:type="dxa"/>
          <w:left w:w="28" w:type="dxa"/>
          <w:bottom w:w="28" w:type="dxa"/>
          <w:right w:w="28" w:type="dxa"/>
        </w:tblCellMar>
      </w:tblPr>
      <w:tblGrid>
        <w:gridCol w:w="2801"/>
        <w:gridCol w:w="146"/>
        <w:gridCol w:w="233"/>
        <w:gridCol w:w="862"/>
        <w:gridCol w:w="332"/>
        <w:gridCol w:w="161"/>
        <w:gridCol w:w="233"/>
        <w:gridCol w:w="862"/>
        <w:gridCol w:w="301"/>
        <w:gridCol w:w="146"/>
        <w:gridCol w:w="211"/>
        <w:gridCol w:w="931"/>
        <w:gridCol w:w="301"/>
        <w:gridCol w:w="146"/>
        <w:gridCol w:w="211"/>
        <w:gridCol w:w="931"/>
        <w:gridCol w:w="416"/>
      </w:tblGrid>
      <w:tr>
        <w:tc>
          <w:tcPr>
            <w:tcW w:w="2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c>
          <w:tcPr>
            <w:tcW w:w="28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0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Adjusted EBITDA</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71,857</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56,465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185,424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148,032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12,808</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Sterling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63,042</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56,933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180,468</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163,718</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136,516</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118,500</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370,324</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324,558</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8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231,007</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182,805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620,508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491,662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26,350</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74,532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79,435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Sterling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210,205</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199,440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609,658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590,701</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intersegment eliminations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465,776</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409,151</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1,299,740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1,154,372</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Sterling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29.3</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180"/>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180"/>
        <w:jc w:val="left"/>
        <w:rPr>
          <w:rFonts w:ascii="Times New Roman" w:hAnsi="Times New Roman"/>
          <w:color w:val="000000"/>
          <w:sz w:val="16"/>
        </w:rPr>
      </w:pPr>
      <w:r>
        <w:rPr>
          <w:rFonts w:ascii="Times New Roman" w:hAnsi="Times New Roman"/>
          <w:color w:val="000000"/>
          <w:sz w:val="16"/>
        </w:rPr>
        <w:t xml:space="preserve">See the reconciliation of net income (loss) to Adjusted EBITDA above. Segment Adjusted EBITDA margins are calculated using segment gross revenues and segment Adjusted EBITDA. Consolidated Adjusted EBITDA margin is calculated using consolidated revenues and consolidated Adjusted EBITDA.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Adjusted Net Income and Adjusted Diluted Earnings Per Share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Similar to Adjusted EBITDA, management believes that Adjusted Net Income and Adjusted Diluted Earnings Per Share are strong indicators of our overall operating performance and are useful to our management and investors as measures of comparative operating performance from period to period. We define Adjusted Net Income for a particular period as net income (loss) before taxes adjusted for debt-related costs, acquisition-related depreciation and amortization, share-based compensation, transaction and acquisition related charges, integration and restructuring charges, and other non-cash charges, to which we then apply the related effective tax rate. We define Adjusted Diluted Earnings Per Share as Adjusted Net Income divided by adjusted weighted average number of shares outstanding—diluted.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Net Income was $67.3 million for the three months ended September 30, 2026, compared to $52.3 million for the three months ended September 30, 2025. Adjusted Net Income for the three months ended September 30, 2026 increased by $15.0 million, or 28.6% compared to the three months ended September 30,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Diluted Earnings Per Share was $0.38 for the three months ended September 30, 2026, compared to $0.30 for the three months ended September 30, 2025. Adjusted Diluted Earnings Per Share for the three months ended September 30, 2026 increased by $0.08, or 26.7% compared to the three months ended September 30,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Net Income was $173.8 million for the nine months ended September 30, 2026, compared to $129.8 million for the nine months ended September 30, 2025. Adjusted Net Income for the nine months ended September 30, 2026 increased by $44.0 million, or 33.9% compared to the nine months ended September 30,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Diluted Earnings Per Share was $0.99 for the nine months ended September 30, 2026, compared to $0.74 for the nine months ended September 30, 2025. Adjusted Diluted Earnings Per Share for the nine months ended September 30, 2026 increased by $0.25, or 33.8% compared to the nine months ended September 30,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growth was driven primarily by the same factors contributing to Adjusted EBITDA growth, though Adjusted Net Income and Adjusted Diluted Earnings Per Share are also impacted by changes in acquisition-related depreciation and amortization and changes in our capital structure that are captured in interest expense. The 2025 refinancing of the Company’s 2024 First Lien Credit Agreement, voluntary debt prepayments, and gains or losses on the Company’s interest rate swaps impact the comparability of Adjusted Net Income and Adjusted Diluted Earnings Per Share across historical periods. Adjusted Diluted Earnings Per Share is further impacted by shares repurchased under the Company’s Repurchase Program.</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presents a reconciliation of Adjusted Net Income for the periods presented.</w:t>
      </w:r>
    </w:p>
    <w:tbl>
      <w:tblPr>
        <w:tblW w:w="10205" w:type="dxa"/>
        <w:jc w:val="left"/>
        <w:tblInd w:w="0" w:type="dxa"/>
        <w:tblLayout w:type="fixed"/>
        <w:tblCellMar>
          <w:top w:w="28" w:type="dxa"/>
          <w:left w:w="28" w:type="dxa"/>
          <w:bottom w:w="28" w:type="dxa"/>
          <w:right w:w="28" w:type="dxa"/>
        </w:tblCellMar>
      </w:tblPr>
      <w:tblGrid>
        <w:gridCol w:w="4282"/>
        <w:gridCol w:w="146"/>
        <w:gridCol w:w="269"/>
        <w:gridCol w:w="865"/>
        <w:gridCol w:w="211"/>
        <w:gridCol w:w="185"/>
        <w:gridCol w:w="269"/>
        <w:gridCol w:w="865"/>
        <w:gridCol w:w="166"/>
        <w:gridCol w:w="146"/>
        <w:gridCol w:w="237"/>
        <w:gridCol w:w="880"/>
        <w:gridCol w:w="186"/>
        <w:gridCol w:w="164"/>
        <w:gridCol w:w="237"/>
        <w:gridCol w:w="880"/>
        <w:gridCol w:w="217"/>
      </w:tblGrid>
      <w:tr>
        <w:tc>
          <w:tcPr>
            <w:tcW w:w="4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c>
          <w:tcPr>
            <w:tcW w:w="4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39,571</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(38,293</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57,416</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82"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Debt-related charges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82"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Acquisition-related depreciation and amortization</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154,582</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152,440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82"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Transaction and acquisition-related charges</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282"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Integration, restructuring, and other charges</w:t>
            </w:r>
            <w:r>
              <w:rPr>
                <w:rFonts w:ascii="Times New Roman" w:hAnsi="Times New Roman"/>
                <w:color w:val="000000"/>
                <w:sz w:val="13"/>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12,203</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before income tax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234,096</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173,712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282"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Less: Adjusted income taxes</w:t>
            </w:r>
            <w:r>
              <w:rPr>
                <w:rFonts w:ascii="Times New Roman" w:hAnsi="Times New Roman"/>
                <w:color w:val="000000"/>
                <w:sz w:val="13"/>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60,285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43,949</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67,266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173,811</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129,763</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presents the calculation of Adjusted Diluted Earnings Per Share for the periods presented.</w:t>
      </w:r>
    </w:p>
    <w:tbl>
      <w:tblPr>
        <w:tblW w:w="10205" w:type="dxa"/>
        <w:jc w:val="left"/>
        <w:tblInd w:w="0" w:type="dxa"/>
        <w:tblLayout w:type="fixed"/>
        <w:tblCellMar>
          <w:top w:w="28" w:type="dxa"/>
          <w:left w:w="28" w:type="dxa"/>
          <w:bottom w:w="28" w:type="dxa"/>
          <w:right w:w="28" w:type="dxa"/>
        </w:tblCellMar>
      </w:tblPr>
      <w:tblGrid>
        <w:gridCol w:w="1924"/>
        <w:gridCol w:w="546"/>
        <w:gridCol w:w="211"/>
        <w:gridCol w:w="1141"/>
        <w:gridCol w:w="166"/>
        <w:gridCol w:w="146"/>
        <w:gridCol w:w="211"/>
        <w:gridCol w:w="1141"/>
        <w:gridCol w:w="546"/>
        <w:gridCol w:w="546"/>
        <w:gridCol w:w="211"/>
        <w:gridCol w:w="1141"/>
        <w:gridCol w:w="166"/>
        <w:gridCol w:w="146"/>
        <w:gridCol w:w="211"/>
        <w:gridCol w:w="1141"/>
        <w:gridCol w:w="611"/>
      </w:tblGrid>
      <w:tr>
        <w:tc>
          <w:tcPr>
            <w:tcW w:w="192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c>
          <w:tcPr>
            <w:tcW w:w="19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share (GAAP)</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Adjusted Net Income adjustments per share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1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1924"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Debt-related charges</w:t>
            </w:r>
            <w:r>
              <w:rPr>
                <w:rFonts w:ascii="Times New Roman" w:hAnsi="Times New Roman"/>
                <w:color w:val="000000"/>
                <w:sz w:val="13"/>
              </w:rPr>
              <w:t>(a)</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924"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Acquisition-related depreciation and amortization</w:t>
            </w:r>
            <w:r>
              <w:rPr>
                <w:rFonts w:ascii="Times New Roman" w:hAnsi="Times New Roman"/>
                <w:color w:val="000000"/>
                <w:sz w:val="13"/>
              </w:rPr>
              <w:t>(b)</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924"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Transaction and acquisition-related charges</w:t>
            </w:r>
            <w:r>
              <w:rPr>
                <w:rFonts w:ascii="Times New Roman" w:hAnsi="Times New Roman"/>
                <w:color w:val="000000"/>
                <w:sz w:val="13"/>
              </w:rPr>
              <w:t>(c)</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924"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Integration, restructuring, and other charges</w:t>
            </w:r>
            <w:r>
              <w:rPr>
                <w:rFonts w:ascii="Times New Roman" w:hAnsi="Times New Roman"/>
                <w:color w:val="000000"/>
                <w:sz w:val="13"/>
              </w:rPr>
              <w:t>(d)</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924"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Adjusted income taxes</w:t>
            </w:r>
            <w:r>
              <w:rPr>
                <w:rFonts w:ascii="Times New Roman" w:hAnsi="Times New Roman"/>
                <w:color w:val="000000"/>
                <w:sz w:val="13"/>
              </w:rPr>
              <w:t>(e)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19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Adjusted Diluted Earnings Per Share (Non-GAAP)</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0.30</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9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1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used in computation of Adjusted Diluted Earnings Per Share: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shares outstanding—diluted (GAAP)</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175,435,437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175,549,342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174,286,474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173,071,481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and restricted stock not included in weighted average number of shares outstanding—diluted (GAAP) (using treasury stock method)</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2,064,886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1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weighted average number of shares outstanding—diluted (Non-GAAP)</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175,435,437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175,549,342</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174,286,474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175,136,367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left"/>
        <w:rPr>
          <w:rFonts w:ascii="Times New Roman" w:hAnsi="Times New Roman"/>
          <w:color w:val="000000"/>
          <w:sz w:val="15"/>
        </w:rPr>
      </w:pPr>
      <w:r>
        <w:rPr>
          <w:rFonts w:ascii="Times New Roman" w:hAnsi="Times New Roman"/>
          <w:color w:val="000000"/>
          <w:sz w:val="15"/>
        </w:rPr>
        <w:t>(a)</w:t>
      </w:r>
    </w:p>
    <w:p>
      <w:pPr>
        <w:pStyle w:val="TextBody"/>
        <w:bidi w:val="0"/>
        <w:spacing w:before="120" w:after="283"/>
        <w:jc w:val="left"/>
        <w:rPr>
          <w:rFonts w:ascii="Times New Roman" w:hAnsi="Times New Roman"/>
          <w:color w:val="000000"/>
          <w:sz w:val="15"/>
        </w:rPr>
      </w:pPr>
      <w:r>
        <w:rPr>
          <w:rFonts w:ascii="Times New Roman" w:hAnsi="Times New Roman"/>
          <w:color w:val="000000"/>
          <w:sz w:val="15"/>
        </w:rPr>
        <w:t>Represents the loss on extinguishment and non-cash interest expense associated with the amortization of debt issuance costs related to the refinancing of the Company’s First Lien Credit Facility. This adjustment also includes the impact of changes in fair value of interest rate swaps, which represents the difference between unrealized fair value gains or losses and actual cash payments and receipts on the interest rate swaps.</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(b)</w:t>
      </w:r>
    </w:p>
    <w:p>
      <w:pPr>
        <w:pStyle w:val="TextBody"/>
        <w:bidi w:val="0"/>
        <w:spacing w:before="0" w:after="0"/>
        <w:jc w:val="left"/>
        <w:rPr>
          <w:rFonts w:ascii="Times New Roman" w:hAnsi="Times New Roman"/>
          <w:sz w:val="15"/>
        </w:rPr>
      </w:pPr>
      <w:r>
        <w:rPr>
          <w:rFonts w:ascii="Times New Roman" w:hAnsi="Times New Roman"/>
          <w:color w:val="000000"/>
          <w:sz w:val="15"/>
        </w:rPr>
        <w:t xml:space="preserve">Represents the depreciation and amortization expense related to incremental intangible and developed technology assets recorded due to the application of ASC 805, </w:t>
      </w:r>
      <w:r>
        <w:rPr>
          <w:rFonts w:ascii="Times New Roman" w:hAnsi="Times New Roman"/>
          <w:i/>
          <w:color w:val="000000"/>
          <w:sz w:val="15"/>
        </w:rPr>
        <w:t xml:space="preserve">Business Combinations. </w:t>
      </w:r>
      <w:r>
        <w:rPr>
          <w:rFonts w:ascii="Times New Roman" w:hAnsi="Times New Roman"/>
          <w:color w:val="000000"/>
          <w:sz w:val="15"/>
        </w:rPr>
        <w:t>As a result, the purchase accounting related depreciation and amortization expense will recur in future periods until the related assets are fully depreciated or amortized, and the related purchase accounting assets may contribute to revenue generation.</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(c)</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Represents charges incurred related to acquisitions and similar transactions, primarily consisting of change in control-related costs, professional service fees, and other third-party costs. Transaction and acquisition related charges for the three and nine months ended September 30, 2026 include approximately $0.1 million and $0.6 million, respectively, of expense associated with the Sterling Acquisition. Transaction and acquisition related charges for the three and nine months ended September 30, 2025 include approximately $1.4 million and $7.5 million, respectively, of expense associated with the Sterling Acquisition.</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(d)</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Represents charges from organizational restructuring and integration activities, non-cash, and other charges primarily related to nonrecurring legal exposures, foreign currency (gains) losses, (gains) losses on the sale of assets, impairment of capitalized software and other non-recurring items. Integration, restructuring, and other charges for the three and nine months ended September 30, 2026 include approximately $1.3 million and $4.9 million, respectively, of expense associated with the integration of Sterling. Integration, restructuring, and other charges for the three and nine months ended September 30, 2025 include approximately $3.8 million and $15.4 million, respectively, of expense associated with the integration of Sterling. The three and nine months ended September 30, 2025 also include approximately $1.5 million of expenses related to debt refinancing activities, as well as capitalized software impairment charges of approximately $1.2 million.</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(e)</w:t>
      </w:r>
    </w:p>
    <w:p>
      <w:pPr>
        <w:pStyle w:val="TextBody"/>
        <w:bidi w:val="0"/>
        <w:jc w:val="left"/>
        <w:rPr>
          <w:rFonts w:ascii="Times New Roman" w:hAnsi="Times New Roman"/>
          <w:color w:val="000000"/>
          <w:sz w:val="15"/>
        </w:rPr>
      </w:pPr>
      <w:r>
        <w:rPr>
          <w:rFonts w:ascii="Times New Roman" w:hAnsi="Times New Roman"/>
          <w:color w:val="000000"/>
          <w:sz w:val="15"/>
        </w:rPr>
        <w:t>Effective tax rates of approximately 25.7% and 25.8% have been used to compute Adjusted Net Income and Adjusted Diluted Earnings Per Share for the three and nine months ended September 30, 2026, respectively. Effective tax rates of approximately 25.1% and 25.3% have been used to compute Adjusted Net Income and Adjusted Diluted Earnings Per Share for the three and nine months ended September 30, 2025, respectively.</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spacing w:before="0" w:after="18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primary liquidity requirements are for working capital, debt service, ongoing investments in software development and other capital expenditures, as well as other strategic growth initiatives. In addition, income taxes represent, and are expected to continue to represent, a significant use of cash depending on future profitability and applicable tax rates. The Company’s liquidity needs are met primarily through existing balance sheet cash, cash flows from operations, as well as funds available under our revolving credit facility and proceeds from our term loan borrowings, including incremental borrowings incurred to fund acquisitions. Our cash flows from operations include cash received from customers, less cash costs to provide services to our customers, which includes general and administrative costs and interest payments.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September 30, 2026, we had $240.9 million in cash and cash equivalents and $249.3 million available under our revolving credit facility. As of September 30, 2026, we had $2,019.5 million of total debt outstanding. We believe our cash on hand, together with amounts available under our revolving credit facility and cash provided by operating activities are and will continue to be adequate to meet our operational and business needs in the next 12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that may be beyond our control, including those described under our “Risk Factors” included in our 2025 Annual Report.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Credit Agreement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First Advantage Holdings, LLC, an indirect wholly-owned subsidiary of the Company, was a party to a First Lien Credit Agreement (as amended, “First Lien Credit Agreement”), which provided for a term loan of $766.6 million due January 31, 2027, carrying an interest rate prior to the effectiveness of the 2024 First Lien Credit Agreement of 2.75% to 3.00%, based on the first lien ratio, plus the Secured Overnight Financing Rate as administered by the Federal Reserve Bank of New York (“SOFR”) (subsequent to an amendment in June 2023 to transition the reference rate from LIBOR (the London Interbank Offer Rate)), and a $100.0 million revolving credit facility due July 31, 2026.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connection with the Sterling Acquisition, on October 31, 2024, the Company refinanced its existing First Lien Credit Agreement and all related Sterling debt (the “2024 First Lien Credit Agreement”). The 2024 First Lien Credit Agreement provided for a term loan of $2.185 billion due October 31, 2031, carrying an interest rate of 3.00% to 3.25%, based on the first lien ratio, plus SOFR and a $250.0 million revolving credit facility due October 31, 2029.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July 30, 2025, the Company amended its 2024 First Lien Credit Agreement (“2025 Amended First Lien Credit Agreement”) to reduce the interest rate on its term loan facility to a range of 2.50% to 2.75%, based on the first lien ratio, plus SOFR (“First Lien Credit Facility”). The amendment also reduced the interest rate on its revolving credit facility to a range of 2.25% to 2.75%, based on the first lien ratio, plus SOFR (“Amended Revolver”).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Borrowings under the 2025 Amended First Lien Credit Agreement bear interest at a rate per annum equal to an applicable margin plus, at our option, either (a) a base rate or (b) SOFR, which is subject to a floor of 0.00% per annum. The applicable margins under the agreement are subject to stepdowns based on our first lien net leverage ratio. In addition, the borrower, First Advantage Holdings, LLC is required to pay a commitment fee on any unutilized commitments under the revolving credit facility. The commitment fee rate ranges between 0.25% and 0.50% per annum based on our first lien net leverage ratio. The borrower is also required to pay customary letter of credit fees. The First Lien Credit Facility amortizes in equal quarterly installments in aggregate annual amounts equal to 1.00% of the principal amount. The Amended Revolver has no amortization.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2025 Amended First Lien Credit Agreement requires the borrower to prepay outstanding term loans, subject to certain exceptions, with certain proceeds from non-ordinary course asset sales, issuance of debt not permitted by the credit agreement to be incurred and annual excess cash flows. Voluntary prepayments made in connection with certain repricing transactions on or before January 30, 2026, were subject to a 1.00% prepayment premium. Otherwise, the borrower may voluntarily prepay outstanding loans without premium or penalty, other than customary “breakage” costs. Voluntary prepayments reduce the remaining scheduled principal repayment obligations under the term loan.</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2025 First Lien Credit Agreement contains customary affirmative covenants, negative covenants and events of default (including upon a change of control). The 2025 First Lien Credit Agreement also includes a “springing” first lien net leverage ratio test, applicable only to the Amended Revolver, that requires such ratio to be no greater than 7.75:1.00 on the last day of any fiscal quarter if more than 40.0% of the Amended Revolver is utilized on such date. See Note 5, “Debt,” to the condensed consolidated financial statements included elsewhere in this Quarterly Report on Form 10-Q for further information.</w:t>
      </w:r>
    </w:p>
    <w:p>
      <w:pPr>
        <w:pStyle w:val="TextBody"/>
        <w:bidi w:val="0"/>
        <w:jc w:val="left"/>
      </w:pPr>
      <w: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February 25, 2026, the Company’s Board of Directors authorized the repurchase of up to $100.0 million of the Company’s common stock (the “2026 Repurchase Program”) with no expiration date. 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The Company plans to use its existing cash to fund repurchases made under the 2026 Repurchase Program.</w:t>
      </w:r>
    </w:p>
    <w:p>
      <w:pPr>
        <w:pStyle w:val="TextBody"/>
        <w:bidi w:val="0"/>
        <w:jc w:val="left"/>
      </w:pPr>
      <w:r>
        <w:t> </w:t>
      </w:r>
    </w:p>
    <w:p>
      <w:pPr>
        <w:pStyle w:val="TextBody"/>
        <w:bidi w:val="0"/>
        <w:spacing w:before="0" w:after="180"/>
        <w:jc w:val="left"/>
        <w:rPr>
          <w:rFonts w:ascii="Times New Roman" w:hAnsi="Times New Roman"/>
          <w:sz w:val="20"/>
        </w:rPr>
      </w:pPr>
      <w:r>
        <w:rPr>
          <w:rFonts w:ascii="Times New Roman" w:hAnsi="Times New Roman"/>
          <w:b/>
          <w:color w:val="000000"/>
          <w:sz w:val="20"/>
        </w:rPr>
        <w:t>Cash Flow Analysis</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Comparison of Cash Flows for the nine months ended September 30, 2026 compared to the nine months ended September 30,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table is a summary of our cash flow activity for the periods presented: </w:t>
      </w:r>
    </w:p>
    <w:tbl>
      <w:tblPr>
        <w:tblW w:w="6415" w:type="dxa"/>
        <w:jc w:val="left"/>
        <w:tblInd w:w="0" w:type="dxa"/>
        <w:tblLayout w:type="fixed"/>
        <w:tblCellMar>
          <w:top w:w="28" w:type="dxa"/>
          <w:left w:w="28" w:type="dxa"/>
          <w:bottom w:w="28" w:type="dxa"/>
          <w:right w:w="28" w:type="dxa"/>
        </w:tblCellMar>
      </w:tblPr>
      <w:tblGrid>
        <w:gridCol w:w="3466"/>
        <w:gridCol w:w="146"/>
        <w:gridCol w:w="232"/>
        <w:gridCol w:w="926"/>
        <w:gridCol w:w="182"/>
        <w:gridCol w:w="160"/>
        <w:gridCol w:w="232"/>
        <w:gridCol w:w="860"/>
        <w:gridCol w:w="211"/>
      </w:tblGrid>
      <w:t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4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186,828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(126,873</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sz w:val="20"/>
        </w:rPr>
      </w:pPr>
      <w:r>
        <w:rPr>
          <w:rFonts w:ascii="Times New Roman" w:hAnsi="Times New Roman"/>
          <w:i/>
          <w:color w:val="000000"/>
          <w:sz w:val="20"/>
        </w:rPr>
        <w:t>Cash Flows from Operating Activities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Net cash provided by operating activities was $186.8 million for the nine months ended September 30, 2026, compared to $129.2 million for the nine months ended September 30, 2025. Net cash provided by operating activities for the nine months ended September 30, 2026 increased by $57.6 million compared to the nine months ended September 30, 2025. Cash flows provided by operating activities were positively impacted by revenue growth from existing customers, new customer go-lives, and lower interest payments on the Company’s term loan and revolving credit facility. These favorable impacts were partially offset by higher working capital requirements, largely attributable to the Company’s revenue growth during the nine months ended September 30, 2026.</w:t>
      </w:r>
    </w:p>
    <w:p>
      <w:pPr>
        <w:pStyle w:val="TextBody"/>
        <w:bidi w:val="0"/>
        <w:spacing w:before="0" w:after="180"/>
        <w:jc w:val="left"/>
        <w:rPr>
          <w:rFonts w:ascii="Times New Roman" w:hAnsi="Times New Roman"/>
          <w:sz w:val="20"/>
        </w:rPr>
      </w:pPr>
      <w:r>
        <w:rPr>
          <w:rFonts w:ascii="Times New Roman" w:hAnsi="Times New Roman"/>
          <w:i/>
          <w:color w:val="000000"/>
          <w:sz w:val="20"/>
        </w:rPr>
        <w:t>Cash Flows from Investing Activities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Net cash used in investing activities was $56.6 million for the nine months ended September 30, 2026, compared to $37.3 million for the nine months ended September 30, 2025. Net cash used in investing activities for the nine months ended September 30, 2026 increased by $19.3 million compared to the nine months ended September 30, 2025. The increase in cash used in investing activities was primarily due to continued investment in software development related to the Company’s screening platforms, partially offset by $2.0 million of cash proceeds from the sale of assets related to an adjacent product.</w:t>
      </w:r>
    </w:p>
    <w:p>
      <w:pPr>
        <w:pStyle w:val="TextBody"/>
        <w:bidi w:val="0"/>
        <w:spacing w:before="0" w:after="180"/>
        <w:jc w:val="left"/>
        <w:rPr>
          <w:rFonts w:ascii="Times New Roman" w:hAnsi="Times New Roman"/>
          <w:sz w:val="20"/>
        </w:rPr>
      </w:pPr>
      <w:r>
        <w:rPr>
          <w:rFonts w:ascii="Times New Roman" w:hAnsi="Times New Roman"/>
          <w:i/>
          <w:color w:val="000000"/>
          <w:sz w:val="20"/>
        </w:rPr>
        <w:t>Cash Flows from Financing Activities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Net cash used in financing activities was $126.9 million for the nine months ended September 30, 2026, compared to $45.0 million for the nine months ended September 30, 2025. Net cash used in financing activities for the nine months ended September 30, 2026 was primarily driven by principal repayments of $95.0 million on the Company’s term loan and shares repurchased under the Company’s Repurchase Program. During the nine months ended September 30, 2026, 3,252,970 shares were repurchased under the Repurchase Program at a total cost of $38.4 million.</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Contractual Obligations, Commitments, and Other Contingencies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three and nine months ended September 30, 2026, there have been no significant changes to our contractual obligations, commitments, and other contingencies compared with those disclosed in Part II, Item 7, “Management’s Discussion and Analysis of Financial Condition and Results of Operations” included in our 2025 Annual Report.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See Note 2 to the condensed consolidated financial statements for disclosure of the impact that recent accounting pronouncements may have on the condensed consolidated financial statements.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nine months ended September 30, 2026, there have been no significant changes to our critical accounting policies and estimates compared with those disclosed in Part II, Item 7, “Management’s Discussion and Analysis of Financial Condition and Results of Operations” included in our 2025 Annual Report.</w:t>
      </w:r>
    </w:p>
    <w:p>
      <w:pPr>
        <w:pStyle w:val="TextBody"/>
        <w:bidi w:val="0"/>
        <w:spacing w:before="0" w:after="180"/>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September 30, 2026, no material change had occurred in our market risks, compared with the disclosure in our 2025 Annual Report.</w:t>
      </w:r>
    </w:p>
    <w:p>
      <w:pPr>
        <w:pStyle w:val="TextBody"/>
        <w:bidi w:val="0"/>
        <w:spacing w:before="180" w:after="180"/>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management, with the participation of our Chief Executive Officer (principal executive officer) and Chief Financial Officer (principal financial officer), has evaluated the effectiveness of the design and operation of the Company’s disclosure controls and procedures as of the end of the period covered by this report.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discussions regarding required disclosures.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Management recognizes that any controls and procedures, no matter how well designed and operated, can provide only reasonable, not absolute, assurance of achieving their desired control objectives. Based on the evaluation of management’s disclosure controls and procedures as of the end of the period covered by this report, our Chief Executive Officer and Chief Financial Officer concluded that, as of such date, the disclosure controls and procedures were effective at a reasonable assurance level.</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quarter covered by this report, there were no changes in our internal control over financial reporting (as defined in Rules 13a-15(f) and 15d-15(f) under the Exchange Act) that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8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180" w:after="180"/>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Information in response to this Item is included in “Part I — Item 1. — Note 11 — Commitments and Contingencies” and is incorporated by reference into Part II of this Quarterly Report on Form 10-Q.</w:t>
      </w:r>
    </w:p>
    <w:p>
      <w:pPr>
        <w:pStyle w:val="TextBody"/>
        <w:bidi w:val="0"/>
        <w:spacing w:before="180" w:after="180"/>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There have been no material changes in our risk factors, compared with the disclosure in our 2025 Annual Report.</w:t>
      </w:r>
    </w:p>
    <w:p>
      <w:pPr>
        <w:pStyle w:val="TextBody"/>
        <w:bidi w:val="0"/>
        <w:spacing w:before="180" w:after="180"/>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February 25, 2026, the Company’s Board of Directors authorized the repurchase of up to $100.0 million of the Company’s common stock with no expiration date.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All share repurchases were made under the Company's publicly announced program, and there are no other programs under which the Company repurchases shares. The following information relates to the Company’s purchase of its common stock during each month within the third quarter of 2026:</w:t>
      </w:r>
    </w:p>
    <w:tbl>
      <w:tblPr>
        <w:tblW w:w="10205" w:type="dxa"/>
        <w:jc w:val="left"/>
        <w:tblInd w:w="0" w:type="dxa"/>
        <w:tblLayout w:type="fixed"/>
        <w:tblCellMar>
          <w:top w:w="28" w:type="dxa"/>
          <w:left w:w="28" w:type="dxa"/>
          <w:bottom w:w="28" w:type="dxa"/>
          <w:right w:w="28" w:type="dxa"/>
        </w:tblCellMar>
      </w:tblPr>
      <w:tblGrid>
        <w:gridCol w:w="1757"/>
        <w:gridCol w:w="146"/>
        <w:gridCol w:w="233"/>
        <w:gridCol w:w="1084"/>
        <w:gridCol w:w="146"/>
        <w:gridCol w:w="146"/>
        <w:gridCol w:w="251"/>
        <w:gridCol w:w="681"/>
        <w:gridCol w:w="146"/>
        <w:gridCol w:w="146"/>
        <w:gridCol w:w="408"/>
        <w:gridCol w:w="1902"/>
        <w:gridCol w:w="146"/>
        <w:gridCol w:w="146"/>
        <w:gridCol w:w="452"/>
        <w:gridCol w:w="2220"/>
        <w:gridCol w:w="195"/>
      </w:tblGrid>
      <w:tr>
        <w:tc>
          <w:tcPr>
            <w:tcW w:w="1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 xml:space="preserve">Average Price </w:t>
              <w:br/>
              <w:t xml:space="preserve">Paid Per Share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Dollar Value of Shares that May Yet Be Purchased Under the Plans or Programs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 2026 through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61,820,884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 2026 through August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61,820,884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 2026 through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61,618,776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61,618,776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Average price paid per share for shares purchased as part of our Repurchase Program (includes brokerage commissions).</w:t>
      </w:r>
    </w:p>
    <w:p>
      <w:pPr>
        <w:pStyle w:val="TextBody"/>
        <w:bidi w:val="0"/>
        <w:jc w:val="both"/>
      </w:pPr>
      <w:r>
        <w:t> </w:t>
      </w:r>
    </w:p>
    <w:p>
      <w:pPr>
        <w:pStyle w:val="TextBody"/>
        <w:bidi w:val="0"/>
        <w:jc w:val="left"/>
        <w:rPr>
          <w:rFonts w:ascii="Times New Roman" w:hAnsi="Times New Roman"/>
          <w:color w:val="000000"/>
          <w:sz w:val="20"/>
        </w:rPr>
      </w:pPr>
      <w:r>
        <w:rPr>
          <w:rFonts w:ascii="Times New Roman" w:hAnsi="Times New Roman"/>
          <w:color w:val="000000"/>
          <w:sz w:val="20"/>
        </w:rPr>
        <w:t>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180"/>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None</w:t>
      </w:r>
    </w:p>
    <w:p>
      <w:pPr>
        <w:pStyle w:val="TextBody"/>
        <w:bidi w:val="0"/>
        <w:spacing w:before="180" w:after="180"/>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80" w:after="180"/>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Rule 10b5-1 Trading Arrangements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three months ended September 30, 2026, none of our directors or officers (as defined in Rule 16a-1(f) of the Exchange Act) adopted, terminated, or modified a Rule 10b5-1 trading arrangement or non-Rule 10b5-1 trading arrangement (as such terms are defined in Item 408 of Regulation S-K), except as described below.</w:t>
      </w:r>
    </w:p>
    <w:tbl>
      <w:tblPr>
        <w:tblW w:w="10205" w:type="dxa"/>
        <w:jc w:val="left"/>
        <w:tblInd w:w="0" w:type="dxa"/>
        <w:tblLayout w:type="fixed"/>
        <w:tblCellMar>
          <w:top w:w="28" w:type="dxa"/>
          <w:left w:w="28" w:type="dxa"/>
          <w:bottom w:w="28" w:type="dxa"/>
          <w:right w:w="28" w:type="dxa"/>
        </w:tblCellMar>
      </w:tblPr>
      <w:tblGrid>
        <w:gridCol w:w="976"/>
        <w:gridCol w:w="146"/>
        <w:gridCol w:w="1128"/>
        <w:gridCol w:w="146"/>
        <w:gridCol w:w="1361"/>
        <w:gridCol w:w="146"/>
        <w:gridCol w:w="653"/>
        <w:gridCol w:w="146"/>
        <w:gridCol w:w="887"/>
        <w:gridCol w:w="146"/>
        <w:gridCol w:w="1881"/>
        <w:gridCol w:w="146"/>
        <w:gridCol w:w="2443"/>
      </w:tblGrid>
      <w:t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r>
      <w:tr>
        <w:tc>
          <w:tcPr>
            <w:tcW w:w="9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Director/Officer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Date of Adoption/Termination/</w:t>
              <w:br/>
              <w:t>Modification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5"/>
              </w:rPr>
            </w:pPr>
            <w:r>
              <w:rPr>
                <w:rFonts w:ascii="Times New Roman" w:hAnsi="Times New Roman"/>
                <w:b/>
                <w:color w:val="000000"/>
                <w:sz w:val="15"/>
              </w:rPr>
              <w:t>Rule 10b5-1</w:t>
            </w:r>
            <w:r>
              <w:rPr>
                <w:rFonts w:ascii="Times New Roman" w:hAnsi="Times New Roman"/>
                <w:b/>
                <w:color w:val="000000"/>
                <w:sz w:val="1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8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5"/>
              </w:rPr>
            </w:pPr>
            <w:r>
              <w:rPr>
                <w:rFonts w:ascii="Times New Roman" w:hAnsi="Times New Roman"/>
                <w:b/>
                <w:color w:val="000000"/>
                <w:sz w:val="15"/>
              </w:rPr>
              <w:t>Scheduled Expiration Date of Rule 10b5-1 Trading Plan</w:t>
            </w:r>
            <w:r>
              <w:rPr>
                <w:rFonts w:ascii="Times New Roman" w:hAnsi="Times New Roman"/>
                <w:b/>
                <w:color w:val="000000"/>
                <w:sz w:val="1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Aggregate Number of Securities to Be Purchased or Sold</w:t>
            </w:r>
          </w:p>
        </w:tc>
      </w:tr>
      <w:t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Douglas Nairne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Operating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Adopted August 12,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28,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Sale of up to 53,905 shares of common stock in multiple transactions</w:t>
            </w:r>
          </w:p>
        </w:tc>
      </w:tr>
    </w:tbl>
    <w:p>
      <w:pPr>
        <w:pStyle w:val="TextBody"/>
        <w:bidi w:val="0"/>
        <w:jc w:val="left"/>
      </w:pPr>
      <w: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Intended to satisfy the affirmative defense of Rule 10b5-1(c).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6"/>
        </w:rPr>
      </w:pPr>
      <w:r>
        <w:rPr>
          <w:rFonts w:ascii="Times New Roman" w:hAnsi="Times New Roman"/>
          <w:color w:val="000000"/>
          <w:sz w:val="16"/>
        </w:rPr>
        <w:t xml:space="preserve">A trading plan may also expire on such earlier date that all transactions under the trading plan are completed. </w:t>
      </w:r>
    </w:p>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8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12"/>
        <w:gridCol w:w="146"/>
        <w:gridCol w:w="9247"/>
      </w:tblGrid>
      <w:tr>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7" w:type="dxa"/>
            <w:tcBorders/>
            <w:vAlign w:val="center"/>
          </w:tcPr>
          <w:p>
            <w:pPr>
              <w:pStyle w:val="TableContents"/>
              <w:bidi w:val="0"/>
              <w:spacing w:before="0" w:after="283"/>
              <w:jc w:val="left"/>
              <w:rPr>
                <w:sz w:val="4"/>
                <w:szCs w:val="4"/>
              </w:rPr>
            </w:pPr>
            <w:r>
              <w:rPr>
                <w:sz w:val="4"/>
                <w:szCs w:val="4"/>
              </w:rPr>
            </w:r>
          </w:p>
        </w:tc>
      </w:tr>
      <w:tr>
        <w:tc>
          <w:tcPr>
            <w:tcW w:w="812"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r>
      <w:t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pPr>
            <w:hyperlink r:id="rId2">
              <w:r>
                <w:rPr>
                  <w:rStyle w:val="InternetLink"/>
                  <w:rFonts w:ascii="Times New Roman" w:hAnsi="Times New Roman"/>
                  <w:color w:val="0000FF"/>
                  <w:sz w:val="20"/>
                  <w:u w:val="single"/>
                </w:rPr>
                <w:t>Amended and Restated Certificate of Incorporation of First Advantage Corporation (incorporated herein by reference to Exhibit 3.1 of First Advantage Corporation’s Form 8-K filed on June 25, 2021).</w:t>
              </w:r>
            </w:hyperlink>
          </w:p>
        </w:tc>
      </w:tr>
      <w:t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pPr>
            <w:hyperlink r:id="rId3">
              <w:r>
                <w:rPr>
                  <w:rStyle w:val="InternetLink"/>
                  <w:rFonts w:ascii="Times New Roman" w:hAnsi="Times New Roman"/>
                  <w:color w:val="0000FF"/>
                  <w:sz w:val="20"/>
                  <w:u w:val="single"/>
                </w:rPr>
                <w:t>Amended and Restated Bylaws of First Advantage Corporation (incorporated herein by reference to Exhibit 3.2 of First Advantage Corporation’s Form 8-K filed on June 25, 2021).</w:t>
              </w:r>
            </w:hyperlink>
          </w:p>
        </w:tc>
      </w:tr>
      <w:t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pPr>
            <w:hyperlink w:anchor="f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pPr>
            <w:hyperlink w:anchor="f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pPr>
            <w:hyperlink w:anchor="fa-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pPr>
            <w:hyperlink w:anchor="fa-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pPr>
      <w:r>
        <w:t> </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before="180" w:after="283"/>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pPr>
      <w:r>
        <w:t> </w:t>
      </w:r>
    </w:p>
    <w:tbl>
      <w:tblPr>
        <w:tblW w:w="7822" w:type="dxa"/>
        <w:jc w:val="left"/>
        <w:tblInd w:w="0" w:type="dxa"/>
        <w:tblLayout w:type="fixed"/>
        <w:tblCellMar>
          <w:top w:w="28" w:type="dxa"/>
          <w:left w:w="28" w:type="dxa"/>
          <w:bottom w:w="28" w:type="dxa"/>
          <w:right w:w="28" w:type="dxa"/>
        </w:tblCellMar>
      </w:tblPr>
      <w:tblGrid>
        <w:gridCol w:w="2101"/>
        <w:gridCol w:w="109"/>
        <w:gridCol w:w="406"/>
        <w:gridCol w:w="5206"/>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06"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CORPORATION</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Staples</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Staples</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Marks</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Marks</w:t>
            </w:r>
          </w:p>
        </w:tc>
      </w:tr>
      <w:t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Executive Vice President &amp;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21" w:name="fa-ex31_1.htm"/>
      <w:bookmarkStart w:id="22" w:name="ksfaex31_1"/>
      <w:bookmarkEnd w:id="21"/>
      <w:bookmarkEnd w:id="22"/>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pPr>
      <w:r>
        <w: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 Scott Staples, certify that:</w:t>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First Advantage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5107" w:type="dxa"/>
        <w:jc w:val="left"/>
        <w:tblInd w:w="0" w:type="dxa"/>
        <w:tblLayout w:type="fixed"/>
        <w:tblCellMar>
          <w:top w:w="28" w:type="dxa"/>
          <w:left w:w="28" w:type="dxa"/>
          <w:bottom w:w="28" w:type="dxa"/>
          <w:right w:w="28" w:type="dxa"/>
        </w:tblCellMar>
      </w:tblPr>
      <w:tblGrid>
        <w:gridCol w:w="2101"/>
        <w:gridCol w:w="109"/>
        <w:gridCol w:w="406"/>
        <w:gridCol w:w="2491"/>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Staples</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Staples</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t> </w:t>
      </w:r>
    </w:p>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23" w:name="fa-ex31_2.htm"/>
      <w:bookmarkStart w:id="24" w:name="ksfaex31_2"/>
      <w:bookmarkEnd w:id="23"/>
      <w:bookmarkEnd w:id="24"/>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pPr>
      <w:r>
        <w: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 Steven Marks, certify that:</w:t>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First Advantage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7072" w:type="dxa"/>
        <w:jc w:val="left"/>
        <w:tblInd w:w="0" w:type="dxa"/>
        <w:tblLayout w:type="fixed"/>
        <w:tblCellMar>
          <w:top w:w="28" w:type="dxa"/>
          <w:left w:w="28" w:type="dxa"/>
          <w:bottom w:w="28" w:type="dxa"/>
          <w:right w:w="28" w:type="dxa"/>
        </w:tblCellMar>
      </w:tblPr>
      <w:tblGrid>
        <w:gridCol w:w="2101"/>
        <w:gridCol w:w="109"/>
        <w:gridCol w:w="406"/>
        <w:gridCol w:w="4456"/>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Marks</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Marks</w:t>
            </w:r>
          </w:p>
        </w:tc>
      </w:tr>
      <w:t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Executive Vice President &amp;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25" w:name="fa-ex32_1.htm"/>
      <w:bookmarkStart w:id="26" w:name="ksfaex32_1"/>
      <w:bookmarkEnd w:id="25"/>
      <w:bookmarkEnd w:id="26"/>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First Advantage Corporation (the “Company”) for the quarter ended September 30, 2026, as filed with the Securities and Exchange Commission on the date hereof (the “Report”), I certify, pursuant to 18 U.S.C. § 1350, as adopted pursuant to § 906 of the Sarbanes-Oxley Act of 2002, that, to the best of my knowledge:</w:t>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pPr>
      <w:r>
        <w:t> </w:t>
      </w:r>
    </w:p>
    <w:p>
      <w:pPr>
        <w:pStyle w:val="TextBody"/>
        <w:bidi w:val="0"/>
        <w:jc w:val="left"/>
      </w:pPr>
      <w:r>
        <w:t> </w:t>
      </w:r>
    </w:p>
    <w:tbl>
      <w:tblPr>
        <w:tblW w:w="5107" w:type="dxa"/>
        <w:jc w:val="left"/>
        <w:tblInd w:w="0" w:type="dxa"/>
        <w:tblLayout w:type="fixed"/>
        <w:tblCellMar>
          <w:top w:w="28" w:type="dxa"/>
          <w:left w:w="28" w:type="dxa"/>
          <w:bottom w:w="28" w:type="dxa"/>
          <w:right w:w="28" w:type="dxa"/>
        </w:tblCellMar>
      </w:tblPr>
      <w:tblGrid>
        <w:gridCol w:w="2101"/>
        <w:gridCol w:w="109"/>
        <w:gridCol w:w="406"/>
        <w:gridCol w:w="2491"/>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Staples</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Staples</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pursuant to 18 U.S.C. Section 1350 and is not being filed as part of the Report or as a separate disclosure document.</w:t>
      </w:r>
    </w:p>
    <w:p>
      <w:pPr>
        <w:pStyle w:val="TextBody"/>
        <w:bidi w:val="0"/>
        <w:jc w:val="left"/>
      </w:pPr>
      <w:r>
        <w:t> </w:t>
      </w:r>
    </w:p>
    <w:p>
      <w:pPr>
        <w:pStyle w:val="TextBody"/>
        <w:bidi w:val="0"/>
        <w:jc w:val="center"/>
      </w:pPr>
      <w:r>
        <w:t> </w:t>
      </w:r>
    </w:p>
    <w:p>
      <w:pPr>
        <w:pStyle w:val="TextBody"/>
        <w:bidi w:val="0"/>
        <w:jc w:val="righ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27" w:name="fa-ex32_2.htm"/>
      <w:bookmarkStart w:id="28" w:name="ksfaex32_2"/>
      <w:bookmarkEnd w:id="27"/>
      <w:bookmarkEnd w:id="28"/>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First Advantage Corporation (the “Company”) for the quarter ended September 30, 2026, as filed with the Securities and Exchange Commission on the date hereof (the “Report”), I certify, pursuant to 18 U.S.C. § 1350, as adopted pursuant to § 906 of the Sarbanes-Oxley Act of 2002, that, to the best of my knowledge:</w:t>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pPr>
      <w:r>
        <w:t> </w:t>
      </w:r>
    </w:p>
    <w:p>
      <w:pPr>
        <w:pStyle w:val="TextBody"/>
        <w:bidi w:val="0"/>
        <w:jc w:val="left"/>
      </w:pPr>
      <w:r>
        <w:t> </w:t>
      </w:r>
    </w:p>
    <w:tbl>
      <w:tblPr>
        <w:tblW w:w="7072" w:type="dxa"/>
        <w:jc w:val="left"/>
        <w:tblInd w:w="0" w:type="dxa"/>
        <w:tblLayout w:type="fixed"/>
        <w:tblCellMar>
          <w:top w:w="28" w:type="dxa"/>
          <w:left w:w="28" w:type="dxa"/>
          <w:bottom w:w="28" w:type="dxa"/>
          <w:right w:w="28" w:type="dxa"/>
        </w:tblCellMar>
      </w:tblPr>
      <w:tblGrid>
        <w:gridCol w:w="2101"/>
        <w:gridCol w:w="109"/>
        <w:gridCol w:w="406"/>
        <w:gridCol w:w="4456"/>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Marks</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Marks</w:t>
            </w:r>
          </w:p>
        </w:tc>
      </w:tr>
      <w:t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Executive Vice President &amp;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Section 1350 and is not being filed as part of the Report or as a separate disclosure document.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10677/000119312521200542/d12470dex31.htm" TargetMode="External"/><Relationship Id="rId3" Type="http://schemas.openxmlformats.org/officeDocument/2006/relationships/hyperlink" Target="https://www.sec.gov/Archives/edgar/data/1210677/000119312521200542/d12470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21971</Words>
  <Characters>125287</Characters>
  <CharactersWithSpaces>148747</CharactersWithSpaces>
  <Paragraphs>7272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