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fa-20260805.htm"/>
      <w:bookmarkStart w:id="1" w:name="ksfa202608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04" w:type="dxa"/>
        <w:jc w:val="left"/>
        <w:tblInd w:w="0" w:type="dxa"/>
        <w:tblLayout w:type="fixed"/>
        <w:tblCellMar>
          <w:top w:w="28" w:type="dxa"/>
          <w:left w:w="28" w:type="dxa"/>
          <w:bottom w:w="28" w:type="dxa"/>
          <w:right w:w="28" w:type="dxa"/>
        </w:tblCellMar>
      </w:tblPr>
      <w:tblGrid>
        <w:gridCol w:w="5504"/>
      </w:tblGrid>
      <w:tr>
        <w:trPr/>
        <w:tc>
          <w:tcPr>
            <w:tcW w:w="5504" w:type="dxa"/>
            <w:tcBorders/>
            <w:vAlign w:val="center"/>
          </w:tcPr>
          <w:p>
            <w:pPr>
              <w:pStyle w:val="TableContents"/>
              <w:bidi w:val="0"/>
              <w:spacing w:before="0" w:after="283"/>
              <w:jc w:val="left"/>
              <w:rPr>
                <w:sz w:val="4"/>
                <w:szCs w:val="4"/>
              </w:rPr>
            </w:pPr>
            <w:r>
              <w:rPr>
                <w:sz w:val="4"/>
                <w:szCs w:val="4"/>
              </w:rPr>
            </w:r>
          </w:p>
        </w:tc>
      </w:tr>
      <w:tr>
        <w:trPr/>
        <w:tc>
          <w:tcPr>
            <w:tcW w:w="550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August 5,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First Advantage Corporation</w:t>
      </w:r>
    </w:p>
    <w:p>
      <w:pPr>
        <w:pStyle w:val="TextBody"/>
        <w:bidi w:val="0"/>
        <w:spacing w:before="60" w:after="283"/>
        <w:jc w:val="center"/>
        <w:rPr>
          <w:rFonts w:ascii="Times New Roman" w:hAnsi="Times New Roman"/>
          <w:b/>
          <w:color w:val="000000"/>
          <w:sz w:val="14"/>
        </w:rPr>
      </w:pPr>
      <w:r>
        <w:rPr>
          <w:rFonts w:ascii="Times New Roman" w:hAnsi="Times New Roman"/>
          <w:b/>
          <w:color w:val="000000"/>
          <w:sz w:val="14"/>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5417" w:type="dxa"/>
        <w:jc w:val="left"/>
        <w:tblInd w:w="0" w:type="dxa"/>
        <w:tblLayout w:type="fixed"/>
        <w:tblCellMar>
          <w:top w:w="28" w:type="dxa"/>
          <w:left w:w="28" w:type="dxa"/>
          <w:bottom w:w="28" w:type="dxa"/>
          <w:right w:w="28" w:type="dxa"/>
        </w:tblCellMar>
      </w:tblPr>
      <w:tblGrid>
        <w:gridCol w:w="881"/>
        <w:gridCol w:w="801"/>
        <w:gridCol w:w="808"/>
        <w:gridCol w:w="1681"/>
        <w:gridCol w:w="1246"/>
      </w:tblGrid>
      <w:tr>
        <w:trPr/>
        <w:tc>
          <w:tcPr>
            <w:tcW w:w="88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001-31666</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84-3884690</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w:t>
              <w:br/>
              <w:t>of Incorporation)</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(Commission File Number)</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8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90"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 Concourse Parkway NE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200</w:t>
            </w:r>
          </w:p>
        </w:tc>
        <w:tc>
          <w:tcPr>
            <w:tcW w:w="292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Atlanta, Georgia</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30328</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6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(678) 868-4151</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4"/>
        </w:rPr>
      </w:pPr>
      <w:r>
        <w:rPr>
          <w:rFonts w:ascii="Times New Roman" w:hAnsi="Times New Roman"/>
          <w:b/>
          <w:color w:val="000000"/>
          <w:sz w:val="14"/>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ind w:left="490" w:right="0" w:hanging="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120" w:after="283"/>
        <w:ind w:left="490" w:right="0" w:hanging="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120" w:after="283"/>
        <w:ind w:left="490" w:right="0" w:hanging="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490" w:right="0" w:hanging="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w:t>
        <w:b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b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180" w:after="18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August 6, 2026, First Advantage Corporation (the “Company”) issued a press release announcing its financial results for the quarter ended June 30, 2026. A copy of the press release is furnished as Exhibit 99.1 to this Current Report on Form 8-K and is incorporated by reference herein.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information furnished under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under the Securities Act of 1933, as amended, or the Exchange Act, except as otherwise expressly stated by specific reference in any such filing.</w:t>
      </w:r>
    </w:p>
    <w:p>
      <w:pPr>
        <w:pStyle w:val="TextBody"/>
        <w:bidi w:val="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5, 2026, the Company’s Board of Directors (the “Board”), upon the recommendation of its Nominating and Corporate Governance Committee, increased the size of the Board to nine directors and appointed Sharon Binger as a Class I director of the Board, effective August 6, 2026, to serve until the Company’s 2028 Annual Meeting of Stockholders and until the election and qualification of her successor or earlier death, resignation, retirement, disqualification or removal.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the Board appointed Ms. Binger as a member of the Nominating and Corporate Governance Committee of the Board, effective upon becoming a director, in substitution for Joseph Osnoss who remains as Chairman of the Board.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Board has determined that Ms. Binger qualifies as an independent director for service on the Board, under the Nasdaq listing standards and the Company’s Corporate Governance Guidelines.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Ms. Binger, a current Silver Lake employee, was designated and appointed to the Board and Nominating and Corporate Governance Committee at the request of Silver Lake, pursuant to the terms of the Amended and Restated Stockholders’ Agreement, dated as of February 28, 2024, by and among the Company, SLP Fastball Aggregator, L.P. and certain stockholders of the Company party thereto and in accordance with the Company’s Amended and Restated Charter and Amended and Restated Bylaws, the Silver Lake Transferee Group (as defined in the Stockholders’ Agreement). </w:t>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There are no transactions between Ms. Binger and the Company required to be reported under Item 404(a) of Regulation S-K.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connection with Ms. Binger’s appointment, the Company has entered into an indemnification agreement with Ms. Binger in substantially the same form of agreement that the Company has executed with its other directors and executive officers.</w:t>
      </w:r>
    </w:p>
    <w:p>
      <w:pPr>
        <w:pStyle w:val="Heading2"/>
        <w:bidi w:val="0"/>
        <w:spacing w:before="0" w:after="18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spacing w:before="0" w:after="180"/>
        <w:jc w:val="left"/>
        <w:rPr>
          <w:rFonts w:ascii="Times New Roman" w:hAnsi="Times New Roman"/>
          <w:color w:val="000000"/>
          <w:sz w:val="20"/>
        </w:rPr>
      </w:pPr>
      <w:r>
        <w:rPr>
          <w:rFonts w:ascii="Times New Roman" w:hAnsi="Times New Roman"/>
          <w:color w:val="000000"/>
          <w:sz w:val="20"/>
        </w:rPr>
        <w:t>(d) Exhibits.</w:t>
      </w:r>
    </w:p>
    <w:tbl>
      <w:tblPr>
        <w:tblW w:w="7858" w:type="dxa"/>
        <w:jc w:val="left"/>
        <w:tblInd w:w="0" w:type="dxa"/>
        <w:tblLayout w:type="fixed"/>
        <w:tblCellMar>
          <w:top w:w="28" w:type="dxa"/>
          <w:left w:w="28" w:type="dxa"/>
          <w:bottom w:w="28" w:type="dxa"/>
          <w:right w:w="28" w:type="dxa"/>
        </w:tblCellMar>
      </w:tblPr>
      <w:tblGrid>
        <w:gridCol w:w="1066"/>
        <w:gridCol w:w="146"/>
        <w:gridCol w:w="664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Description </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fa-ex99_1.htm">
              <w:r>
                <w:rPr>
                  <w:rStyle w:val="InternetLink"/>
                  <w:rFonts w:ascii="Times New Roman" w:hAnsi="Times New Roman"/>
                  <w:color w:val="0000FF"/>
                  <w:sz w:val="20"/>
                  <w:u w:val="single"/>
                </w:rPr>
                <w:t>Press Release of First Advantage Corporation dated August 6,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104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eading2"/>
        <w:bidi w:val="0"/>
        <w:spacing w:before="180" w:after="18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144" w:type="dxa"/>
        <w:jc w:val="left"/>
        <w:tblInd w:w="0" w:type="dxa"/>
        <w:tblLayout w:type="fixed"/>
        <w:tblCellMar>
          <w:top w:w="28" w:type="dxa"/>
          <w:left w:w="28" w:type="dxa"/>
          <w:bottom w:w="28" w:type="dxa"/>
          <w:right w:w="28" w:type="dxa"/>
        </w:tblCellMar>
      </w:tblPr>
      <w:tblGrid>
        <w:gridCol w:w="556"/>
        <w:gridCol w:w="1351"/>
        <w:gridCol w:w="451"/>
        <w:gridCol w:w="478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7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78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FIRST ADVANTAGE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786" w:type="dxa"/>
            <w:tcBorders>
              <w:bottom w:val="single" w:sz="4"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Steven Marks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7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Steven Marks</w:t>
              <w:br/>
              <w:t>Title: Executive Vice President &amp;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fa-ex99_1.htm"/>
      <w:bookmarkStart w:id="3" w:name="ksfaex99_1"/>
      <w:bookmarkEnd w:id="2"/>
      <w:bookmarkEnd w:id="3"/>
      <w:r>
        <w:rPr/>
        <w:t> </w:t>
      </w:r>
      <w:r>
        <w:br w:type="page"/>
      </w:r>
    </w:p>
    <w:p>
      <w:pPr>
        <w:pStyle w:val="TextBody"/>
        <w:bidi w:val="0"/>
        <w:spacing w:before="0" w:after="200"/>
        <w:jc w:val="right"/>
        <w:rPr>
          <w:rFonts w:ascii="Times New Roman" w:hAnsi="Times New Roman"/>
          <w:sz w:val="20"/>
        </w:rPr>
      </w:pPr>
      <w:r>
        <w:rPr>
          <w:rFonts w:ascii="Times New Roman" w:hAnsi="Times New Roman"/>
          <w:b/>
          <w:color w:val="000000"/>
          <w:sz w:val="20"/>
        </w:rPr>
        <w:t>Exhibit 99.1</w:t>
      </w:r>
      <w:r>
        <w:rPr>
          <w:rFonts w:ascii="Times New Roman" w:hAnsi="Times New Roman"/>
          <w:color w:val="000000"/>
          <w:sz w:val="20"/>
        </w:rPr>
        <w:t xml:space="preserve"> </w:t>
      </w:r>
    </w:p>
    <w:p>
      <w:pPr>
        <w:pStyle w:val="TextBody"/>
        <w:bidi w:val="0"/>
        <w:jc w:val="left"/>
        <w:rPr/>
      </w:pPr>
      <w:r>
        <w:rPr/>
        <w:drawing>
          <wp:inline distT="0" distB="0" distL="0" distR="0">
            <wp:extent cx="2695575"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95575" cy="561975"/>
                    </a:xfrm>
                    <a:prstGeom prst="rect">
                      <a:avLst/>
                    </a:prstGeom>
                  </pic:spPr>
                </pic:pic>
              </a:graphicData>
            </a:graphic>
          </wp:inline>
        </w:drawing>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eading1"/>
        <w:bidi w:val="0"/>
        <w:spacing w:before="0" w:after="200"/>
        <w:jc w:val="center"/>
        <w:rPr>
          <w:rFonts w:ascii="Arial" w:hAnsi="Arial"/>
          <w:color w:val="000000"/>
          <w:sz w:val="28"/>
        </w:rPr>
      </w:pPr>
      <w:r>
        <w:rPr>
          <w:rFonts w:ascii="Arial" w:hAnsi="Arial"/>
          <w:color w:val="000000"/>
          <w:sz w:val="28"/>
        </w:rPr>
        <w:t>First Advantage Reports Second Quarter 2026 Results</w:t>
      </w:r>
    </w:p>
    <w:p>
      <w:pPr>
        <w:pStyle w:val="Heading1"/>
        <w:bidi w:val="0"/>
        <w:spacing w:before="0" w:after="200"/>
        <w:jc w:val="center"/>
        <w:rPr>
          <w:rFonts w:ascii="Arial" w:hAnsi="Arial"/>
          <w:i/>
          <w:color w:val="000000"/>
          <w:sz w:val="28"/>
        </w:rPr>
      </w:pPr>
      <w:r>
        <w:rPr>
          <w:rFonts w:ascii="Arial" w:hAnsi="Arial"/>
          <w:i/>
          <w:color w:val="000000"/>
          <w:sz w:val="28"/>
        </w:rPr>
        <w:t>Posts Record Quarter and Raises Full Year 2026 Guidance</w:t>
      </w:r>
    </w:p>
    <w:p>
      <w:pPr>
        <w:pStyle w:val="TextBody"/>
        <w:bidi w:val="0"/>
        <w:spacing w:before="0" w:after="200"/>
        <w:jc w:val="both"/>
        <w:rPr>
          <w:rFonts w:ascii="Times New Roman" w:hAnsi="Times New Roman"/>
          <w:sz w:val="20"/>
        </w:rPr>
      </w:pPr>
      <w:r>
        <w:rPr>
          <w:rFonts w:ascii="Arial" w:hAnsi="Arial"/>
          <w:b/>
          <w:color w:val="000000"/>
          <w:sz w:val="22"/>
        </w:rPr>
        <w:t>Second Quarter 2026 Highlights</w:t>
      </w:r>
      <w:r>
        <w:rPr>
          <w:rFonts w:ascii="Arial" w:hAnsi="Arial"/>
          <w:b/>
          <w:color w:val="000000"/>
          <w:sz w:val="15"/>
        </w:rPr>
        <w:t>1</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Revenues of $448.8 million (14.9% growth year-over-year)</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Net income of $16.9 million (3.8% margin); Diluted net income per share of $0.10</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Adjusted EBITDA of $128.5 million (28.6% margin)</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Adjusted Net Income of $61.4 million; Adjusted Diluted Earnings Per Share of $0.35</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Cash Flows from Operations of $73.6 million</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Subsequent to the end of the quarter, voluntary debt prepayment of $45 million made on August 4, in addition to $25 million prepayment made on May 6</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color w:val="000000"/>
          <w:sz w:val="22"/>
        </w:rPr>
        <w:t>$18.7 million in shares repurchased under $100 million share repurchase program</w:t>
      </w:r>
      <w:r>
        <w:rPr>
          <w:color w:val="FF0000"/>
        </w:rPr>
        <w:t xml:space="preserve"> </w:t>
      </w:r>
    </w:p>
    <w:p>
      <w:pPr>
        <w:pStyle w:val="TextBody"/>
        <w:bidi w:val="0"/>
        <w:spacing w:before="0" w:after="200"/>
        <w:jc w:val="both"/>
        <w:rPr>
          <w:rFonts w:ascii="Times New Roman" w:hAnsi="Times New Roman"/>
          <w:sz w:val="20"/>
        </w:rPr>
      </w:pPr>
      <w:r>
        <w:rPr>
          <w:rFonts w:ascii="Arial" w:hAnsi="Arial"/>
          <w:b/>
          <w:color w:val="000000"/>
          <w:sz w:val="22"/>
        </w:rPr>
        <w:t>Raising Full Year 2026 Guidance</w:t>
      </w:r>
      <w:r>
        <w:rPr>
          <w:rFonts w:ascii="Times New Roman" w:hAnsi="Times New Roman"/>
          <w:color w:val="000000"/>
          <w:sz w:val="20"/>
        </w:rPr>
        <w:t xml:space="preserve"> </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color w:val="000000"/>
          <w:sz w:val="22"/>
        </w:rPr>
        <w:t>Raising full year 2026 guidance ranges for Revenues of $1.67 billion to $1.71 billion, Adjusted EBITDA of $472 million to $486 million, Adjusted Net Income of $214 million to $225 million, and Adjusted Diluted Earnings Per Share of $1.23 to $1.29</w:t>
      </w:r>
      <w:r>
        <w:rPr>
          <w:rFonts w:ascii="Arial" w:hAnsi="Arial"/>
          <w:color w:val="000000"/>
          <w:sz w:val="15"/>
        </w:rPr>
        <w:t>2</w:t>
      </w:r>
    </w:p>
    <w:p>
      <w:pPr>
        <w:pStyle w:val="TextBody"/>
        <w:bidi w:val="0"/>
        <w:spacing w:before="0" w:after="200"/>
        <w:jc w:val="both"/>
        <w:rPr>
          <w:rFonts w:ascii="Arial" w:hAnsi="Arial"/>
          <w:color w:val="000000"/>
          <w:sz w:val="22"/>
        </w:rPr>
      </w:pPr>
      <w:r>
        <w:rPr>
          <w:rFonts w:ascii="Arial" w:hAnsi="Arial"/>
          <w:color w:val="000000"/>
          <w:sz w:val="22"/>
        </w:rPr>
        <w:t>ATLANTA, August 6, 2026 – First Advantage Corporation (NASDAQ: FA), a global software and data company, today announced financial results for the second quarter ended June 30, 2026.</w:t>
      </w:r>
    </w:p>
    <w:p>
      <w:pPr>
        <w:pStyle w:val="TextBody"/>
        <w:bidi w:val="0"/>
        <w:jc w:val="both"/>
        <w:rPr>
          <w:rFonts w:ascii="Times New Roman" w:hAnsi="Times New Roman"/>
          <w:sz w:val="20"/>
        </w:rPr>
      </w:pPr>
      <w:r>
        <w:rPr>
          <w:rFonts w:ascii="Arial" w:hAnsi="Arial"/>
          <w:b/>
          <w:color w:val="000000"/>
          <w:sz w:val="22"/>
        </w:rPr>
        <w:t>Key Financials</w:t>
      </w:r>
      <w:r>
        <w:rPr>
          <w:rFonts w:ascii="Times New Roman" w:hAnsi="Times New Roman"/>
          <w:color w:val="000000"/>
          <w:sz w:val="20"/>
        </w:rPr>
        <w:t xml:space="preserve"> </w:t>
      </w:r>
    </w:p>
    <w:p>
      <w:pPr>
        <w:pStyle w:val="TextBody"/>
        <w:bidi w:val="0"/>
        <w:jc w:val="both"/>
        <w:rPr>
          <w:rFonts w:ascii="Arial" w:hAnsi="Arial"/>
          <w:i/>
          <w:color w:val="000000"/>
          <w:sz w:val="16"/>
        </w:rPr>
      </w:pPr>
      <w:r>
        <w:rPr>
          <w:rFonts w:ascii="Arial" w:hAnsi="Arial"/>
          <w:i/>
          <w:color w:val="000000"/>
          <w:sz w:val="16"/>
        </w:rPr>
        <w:t>(Amounts in millions, except per share data and percentages)</w:t>
      </w:r>
    </w:p>
    <w:p>
      <w:pPr>
        <w:pStyle w:val="TextBody"/>
        <w:bidi w:val="0"/>
        <w:jc w:val="both"/>
        <w:rPr/>
      </w:pPr>
      <w:r>
        <w:rPr/>
        <w:t> </w:t>
      </w:r>
    </w:p>
    <w:tbl>
      <w:tblPr>
        <w:tblW w:w="6976" w:type="dxa"/>
        <w:jc w:val="left"/>
        <w:tblInd w:w="0" w:type="dxa"/>
        <w:tblLayout w:type="fixed"/>
        <w:tblCellMar>
          <w:top w:w="28" w:type="dxa"/>
          <w:left w:w="28" w:type="dxa"/>
          <w:bottom w:w="28" w:type="dxa"/>
          <w:right w:w="28" w:type="dxa"/>
        </w:tblCellMar>
      </w:tblPr>
      <w:tblGrid>
        <w:gridCol w:w="3376"/>
        <w:gridCol w:w="211"/>
        <w:gridCol w:w="586"/>
        <w:gridCol w:w="286"/>
        <w:gridCol w:w="146"/>
        <w:gridCol w:w="211"/>
        <w:gridCol w:w="586"/>
        <w:gridCol w:w="286"/>
        <w:gridCol w:w="146"/>
        <w:gridCol w:w="188"/>
        <w:gridCol w:w="623"/>
        <w:gridCol w:w="331"/>
      </w:tblGrid>
      <w:tr>
        <w:trPr/>
        <w:tc>
          <w:tcPr>
            <w:tcW w:w="3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376" w:type="dxa"/>
            <w:vMerge w:val="restart"/>
            <w:tcBorders/>
            <w:shd w:fill="005656" w:val="clear"/>
            <w:tcMar>
              <w:top w:w="0" w:type="dxa"/>
              <w:left w:w="0" w:type="dxa"/>
              <w:bottom w:w="0" w:type="dxa"/>
              <w:right w:w="0" w:type="dxa"/>
            </w:tcMar>
            <w:vAlign w:val="center"/>
          </w:tcPr>
          <w:p>
            <w:pPr>
              <w:pStyle w:val="TableContents"/>
              <w:bidi w:val="0"/>
              <w:spacing w:before="0" w:after="283"/>
              <w:jc w:val="center"/>
              <w:rPr/>
            </w:pPr>
            <w:r>
              <w:rPr/>
              <w:t> </w:t>
            </w:r>
          </w:p>
        </w:tc>
        <w:tc>
          <w:tcPr>
            <w:tcW w:w="3269" w:type="dxa"/>
            <w:gridSpan w:val="10"/>
            <w:tcBorders/>
            <w:shd w:fill="005656"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20"/>
              </w:rPr>
            </w:pPr>
            <w:r>
              <w:rPr>
                <w:rFonts w:ascii="Arial" w:hAnsi="Arial"/>
                <w:b/>
                <w:color w:val="FFFFFF"/>
                <w:sz w:val="20"/>
              </w:rPr>
              <w:t>Three Months Ended June 30,</w:t>
            </w:r>
          </w:p>
        </w:tc>
        <w:tc>
          <w:tcPr>
            <w:tcW w:w="331" w:type="dxa"/>
            <w:tcBorders/>
            <w:shd w:fill="00565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vMerge w:val="continue"/>
            <w:tcBorders/>
            <w:shd w:fill="005656" w:val="clear"/>
            <w:tcMar>
              <w:top w:w="0" w:type="dxa"/>
              <w:left w:w="0" w:type="dxa"/>
              <w:bottom w:w="0" w:type="dxa"/>
              <w:right w:w="0" w:type="dxa"/>
            </w:tcMar>
            <w:vAlign w:val="center"/>
          </w:tcPr>
          <w:p>
            <w:pPr>
              <w:pStyle w:val="Normal"/>
              <w:bidi w:val="0"/>
              <w:jc w:val="left"/>
              <w:rPr/>
            </w:pPr>
            <w:r>
              <w:rPr/>
            </w:r>
          </w:p>
        </w:tc>
        <w:tc>
          <w:tcPr>
            <w:tcW w:w="797" w:type="dxa"/>
            <w:gridSpan w:val="2"/>
            <w:tcBorders>
              <w:top w:val="single" w:sz="4" w:space="0" w:color="FFFFFF"/>
            </w:tcBorders>
            <w:shd w:fill="005656" w:val="clear"/>
            <w:tcMar>
              <w:left w:w="0" w:type="dxa"/>
              <w:bottom w:w="0" w:type="dxa"/>
              <w:right w:w="0" w:type="dxa"/>
            </w:tcMar>
            <w:vAlign w:val="center"/>
          </w:tcPr>
          <w:p>
            <w:pPr>
              <w:pStyle w:val="TableContents"/>
              <w:bidi w:val="0"/>
              <w:spacing w:before="0" w:after="283"/>
              <w:jc w:val="center"/>
              <w:rPr>
                <w:rFonts w:ascii="Arial" w:hAnsi="Arial"/>
                <w:b/>
                <w:color w:val="FFFFFF"/>
                <w:sz w:val="20"/>
              </w:rPr>
            </w:pPr>
            <w:r>
              <w:rPr>
                <w:rFonts w:ascii="Arial" w:hAnsi="Arial"/>
                <w:b/>
                <w:color w:val="FFFFFF"/>
                <w:sz w:val="20"/>
              </w:rPr>
              <w:t>2026</w:t>
            </w:r>
          </w:p>
        </w:tc>
        <w:tc>
          <w:tcPr>
            <w:tcW w:w="286" w:type="dxa"/>
            <w:tcBorders>
              <w:top w:val="single" w:sz="4" w:space="0" w:color="FFFFFF"/>
            </w:tcBorders>
            <w:shd w:fill="005656"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005656" w:val="clear"/>
            <w:tcMar>
              <w:left w:w="0" w:type="dxa"/>
              <w:bottom w:w="0" w:type="dxa"/>
              <w:right w:w="0" w:type="dxa"/>
            </w:tcMar>
            <w:vAlign w:val="center"/>
          </w:tcPr>
          <w:p>
            <w:pPr>
              <w:pStyle w:val="TableContents"/>
              <w:bidi w:val="0"/>
              <w:spacing w:before="0" w:after="283"/>
              <w:jc w:val="center"/>
              <w:rPr/>
            </w:pPr>
            <w:r>
              <w:rPr/>
              <w:t> </w:t>
            </w:r>
          </w:p>
        </w:tc>
        <w:tc>
          <w:tcPr>
            <w:tcW w:w="797" w:type="dxa"/>
            <w:gridSpan w:val="2"/>
            <w:tcBorders>
              <w:top w:val="single" w:sz="4" w:space="0" w:color="FFFFFF"/>
            </w:tcBorders>
            <w:shd w:fill="005656" w:val="clear"/>
            <w:tcMar>
              <w:left w:w="0" w:type="dxa"/>
              <w:bottom w:w="0" w:type="dxa"/>
              <w:right w:w="0" w:type="dxa"/>
            </w:tcMar>
            <w:vAlign w:val="center"/>
          </w:tcPr>
          <w:p>
            <w:pPr>
              <w:pStyle w:val="TableContents"/>
              <w:bidi w:val="0"/>
              <w:spacing w:before="0" w:after="283"/>
              <w:jc w:val="center"/>
              <w:rPr>
                <w:rFonts w:ascii="Arial" w:hAnsi="Arial"/>
                <w:b/>
                <w:color w:val="FFFFFF"/>
                <w:sz w:val="20"/>
              </w:rPr>
            </w:pPr>
            <w:r>
              <w:rPr>
                <w:rFonts w:ascii="Arial" w:hAnsi="Arial"/>
                <w:b/>
                <w:color w:val="FFFFFF"/>
                <w:sz w:val="20"/>
              </w:rPr>
              <w:t>2025</w:t>
            </w:r>
          </w:p>
        </w:tc>
        <w:tc>
          <w:tcPr>
            <w:tcW w:w="286" w:type="dxa"/>
            <w:tcBorders>
              <w:top w:val="single" w:sz="4" w:space="0" w:color="FFFFFF"/>
            </w:tcBorders>
            <w:shd w:fill="005656"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005656" w:val="clear"/>
            <w:tcMar>
              <w:left w:w="0" w:type="dxa"/>
              <w:bottom w:w="0" w:type="dxa"/>
              <w:right w:w="0" w:type="dxa"/>
            </w:tcMar>
            <w:vAlign w:val="center"/>
          </w:tcPr>
          <w:p>
            <w:pPr>
              <w:pStyle w:val="TableContents"/>
              <w:bidi w:val="0"/>
              <w:spacing w:before="0" w:after="283"/>
              <w:jc w:val="center"/>
              <w:rPr/>
            </w:pPr>
            <w:r>
              <w:rPr/>
              <w:t> </w:t>
            </w:r>
          </w:p>
        </w:tc>
        <w:tc>
          <w:tcPr>
            <w:tcW w:w="811" w:type="dxa"/>
            <w:gridSpan w:val="2"/>
            <w:tcBorders>
              <w:top w:val="single" w:sz="4" w:space="0" w:color="FFFFFF"/>
            </w:tcBorders>
            <w:shd w:fill="005656" w:val="clear"/>
            <w:tcMar>
              <w:left w:w="0" w:type="dxa"/>
              <w:bottom w:w="0" w:type="dxa"/>
              <w:right w:w="0" w:type="dxa"/>
            </w:tcMar>
            <w:vAlign w:val="center"/>
          </w:tcPr>
          <w:p>
            <w:pPr>
              <w:pStyle w:val="TableContents"/>
              <w:bidi w:val="0"/>
              <w:spacing w:before="0" w:after="283"/>
              <w:jc w:val="center"/>
              <w:rPr>
                <w:rFonts w:ascii="Arial" w:hAnsi="Arial"/>
                <w:b/>
                <w:color w:val="FFFFFF"/>
                <w:sz w:val="20"/>
              </w:rPr>
            </w:pPr>
            <w:r>
              <w:rPr>
                <w:rFonts w:ascii="Arial" w:hAnsi="Arial"/>
                <w:b/>
                <w:color w:val="FFFFFF"/>
                <w:sz w:val="20"/>
              </w:rPr>
              <w:t>Change</w:t>
            </w:r>
          </w:p>
        </w:tc>
        <w:tc>
          <w:tcPr>
            <w:tcW w:w="331" w:type="dxa"/>
            <w:tcBorders>
              <w:top w:val="single" w:sz="4" w:space="0" w:color="FFFFFF"/>
            </w:tcBorders>
            <w:shd w:fill="005656" w:val="clear"/>
            <w:tcMar>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Revenues</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448.8</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390.6</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w:t>
            </w:r>
          </w:p>
        </w:tc>
        <w:tc>
          <w:tcPr>
            <w:tcW w:w="33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margin</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33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Diluted net income per share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Adjusted EBITDA</w:t>
            </w:r>
            <w:r>
              <w:rPr>
                <w:rFonts w:ascii="Arial" w:hAnsi="Arial"/>
                <w:color w:val="000000"/>
                <w:sz w:val="13"/>
              </w:rPr>
              <w:t>1</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128.5</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113.9</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33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Adjusted EBITDA Margin</w:t>
            </w:r>
            <w:r>
              <w:rPr>
                <w:rFonts w:ascii="Arial" w:hAnsi="Arial"/>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Adjusted Net Income</w:t>
            </w:r>
            <w:r>
              <w:rPr>
                <w:rFonts w:ascii="Arial" w:hAnsi="Arial"/>
                <w:color w:val="000000"/>
                <w:sz w:val="13"/>
              </w:rPr>
              <w:t>1</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w:t>
            </w:r>
          </w:p>
        </w:tc>
        <w:tc>
          <w:tcPr>
            <w:tcW w:w="33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Adjusted Diluted Earnings Per Share</w:t>
            </w:r>
            <w:r>
              <w:rPr>
                <w:rFonts w:ascii="Arial" w:hAnsi="Arial"/>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20" w:after="283"/>
        <w:jc w:val="both"/>
        <w:rPr>
          <w:rFonts w:ascii="Times New Roman" w:hAnsi="Times New Roman"/>
          <w:sz w:val="20"/>
        </w:rPr>
      </w:pPr>
      <w:r>
        <w:rPr>
          <w:rFonts w:ascii="Arial" w:hAnsi="Arial"/>
          <w:smallCaps/>
          <w:color w:val="000000"/>
          <w:sz w:val="9"/>
        </w:rPr>
        <w:t xml:space="preserve">1 </w:t>
      </w:r>
      <w:r>
        <w:rPr>
          <w:rFonts w:ascii="Arial" w:hAnsi="Arial"/>
          <w:color w:val="000000"/>
          <w:sz w:val="13"/>
        </w:rPr>
        <w:t>Adjusted EBITDA, Adjusted EBITDA Margin, Adjusted Net Income, and Adjusted Diluted Earnings Per Share are non-GAAP measures. Please see the end of this earnings release for definitions and schedules with reconciliations of these measures to their most directly comparable respective GAAP measures.</w:t>
      </w:r>
    </w:p>
    <w:p>
      <w:pPr>
        <w:pStyle w:val="TextBody"/>
        <w:bidi w:val="0"/>
        <w:spacing w:before="0" w:after="200"/>
        <w:jc w:val="both"/>
        <w:rPr>
          <w:rFonts w:ascii="Arial" w:hAnsi="Arial"/>
          <w:color w:val="000000"/>
          <w:sz w:val="13"/>
        </w:rPr>
      </w:pPr>
      <w:r>
        <w:rPr>
          <w:rFonts w:ascii="Arial" w:hAnsi="Arial"/>
          <w:color w:val="000000"/>
          <w:sz w:val="13"/>
        </w:rPr>
        <w:t>Note: "NA" indicates not applicable information; "NM" indicates not meaningful information.</w:t>
      </w:r>
    </w:p>
    <w:p>
      <w:pPr>
        <w:pStyle w:val="TextBody"/>
        <w:bidi w:val="0"/>
        <w:spacing w:before="0" w:after="200"/>
        <w:jc w:val="both"/>
        <w:rPr>
          <w:color w:val="000000"/>
        </w:rPr>
      </w:pPr>
      <w:r>
        <w:rPr>
          <w:color w:val="000000"/>
        </w:rPr>
        <w:t>“</w:t>
      </w:r>
      <w:r>
        <w:rPr>
          <w:rFonts w:ascii="Arial" w:hAnsi="Arial"/>
          <w:color w:val="000000"/>
          <w:sz w:val="22"/>
        </w:rPr>
        <w:t>Our outstanding second quarter performance, highlighted by 15% year-over-year revenue growth and exceptional per share earnings growth, demonstrated the strength of our AI-driven proprietary technology platform and our continued go-to-market momentum. In addition to our team’s excellent execution, our results benefited from sustained momentum driven by our recent large contract wins and continued improvement in base revenue performance. We further showcased the agility, flexibility, and scalability of our operations by seamlessly absorbing increased volumes and continuing to enable our customers to hire with speed and confidence,” said Scott Staples, Chief Executive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color w:val="000000"/>
        </w:rPr>
      </w:pPr>
      <w:r>
        <w:rPr>
          <w:color w:val="000000"/>
        </w:rPr>
        <w:t>“</w:t>
      </w:r>
      <w:r>
        <w:rPr>
          <w:rFonts w:ascii="Arial" w:hAnsi="Arial"/>
          <w:color w:val="000000"/>
          <w:sz w:val="22"/>
        </w:rPr>
        <w:t>We continue to see increased customer demand across a number of our verticals, including in transportation &amp; logistics, retail &amp; e-commerce, industrials &amp; manufacturing, and general staffing. We outpaced our previously stated expectations for the quarter as well as our long-term revenue growth algorithm target, supported by exceptional base growth, upsell and cross-sell outperformance, consistent new logo wins, including 20 enterprise bookings in the quarter, and healthy customer retention. As we mark the fifth anniversary of our IPO, we continue to win with our differentiated suite of products, including Digital Identity, underpinned by our proprietary data sets, deep customer relationships, and focused FA 5.0 strategy,” Staples concluded.</w:t>
      </w:r>
    </w:p>
    <w:p>
      <w:pPr>
        <w:pStyle w:val="TextBody"/>
        <w:bidi w:val="0"/>
        <w:spacing w:before="0" w:after="200"/>
        <w:jc w:val="both"/>
        <w:rPr>
          <w:rFonts w:ascii="Times New Roman" w:hAnsi="Times New Roman"/>
          <w:sz w:val="20"/>
        </w:rPr>
      </w:pPr>
      <w:r>
        <w:rPr>
          <w:rFonts w:ascii="Arial" w:hAnsi="Arial"/>
          <w:b/>
          <w:color w:val="000000"/>
          <w:sz w:val="22"/>
        </w:rPr>
        <w:t>Raising Full Year 2026 Guidance</w:t>
      </w:r>
      <w:r>
        <w:rPr>
          <w:rFonts w:ascii="Times New Roman" w:hAnsi="Times New Roman"/>
          <w:color w:val="000000"/>
          <w:sz w:val="20"/>
        </w:rPr>
        <w:t xml:space="preserve"> </w:t>
      </w:r>
    </w:p>
    <w:p>
      <w:pPr>
        <w:pStyle w:val="TextBody"/>
        <w:bidi w:val="0"/>
        <w:spacing w:before="0" w:after="200"/>
        <w:jc w:val="both"/>
        <w:rPr>
          <w:color w:val="000000"/>
        </w:rPr>
      </w:pPr>
      <w:r>
        <w:rPr>
          <w:color w:val="000000"/>
        </w:rPr>
        <w:t>“</w:t>
      </w:r>
      <w:r>
        <w:rPr>
          <w:rFonts w:ascii="Arial" w:hAnsi="Arial"/>
          <w:color w:val="000000"/>
          <w:sz w:val="22"/>
        </w:rPr>
        <w:t>We are progressing toward our long-term financial targets, with revenue growth, Adjusted EBITDA Margins, and robust cash flow reflecting the consistency and durability of our business. We continue to deploy capital in a balanced and disciplined manner, with a focus on deleveraging, as reflected by our previously announced $25 million debt prepayment during the quarter and an additional, upsized $45 million prepayment subsequent to quarter-end. We also repurchased $18.7 million of common stock during the quarter under our $100 million share repurchase program, with total repurchases through July 31, 2026 of $38.2 million, or approximately 1.9% of total shares outstanding,” said Steven Marks, Chief Financial Officer. “In view of our strong year-to-date performance, current labor market trends, and our confidence in our outlook for the remainder of the year, we are raising our full year guidance.”</w:t>
      </w:r>
    </w:p>
    <w:p>
      <w:pPr>
        <w:pStyle w:val="TextBody"/>
        <w:bidi w:val="0"/>
        <w:spacing w:before="0" w:after="200"/>
        <w:jc w:val="both"/>
        <w:rPr>
          <w:rFonts w:ascii="Times New Roman" w:hAnsi="Times New Roman"/>
          <w:sz w:val="20"/>
        </w:rPr>
      </w:pPr>
      <w:r>
        <w:rPr>
          <w:rFonts w:ascii="Arial" w:hAnsi="Arial"/>
          <w:color w:val="000000"/>
          <w:sz w:val="22"/>
        </w:rPr>
        <w:t>The following table summarizes our updated full year 2026 guidance.</w:t>
      </w:r>
      <w:r>
        <w:rPr>
          <w:rFonts w:ascii="Times New Roman" w:hAnsi="Times New Roman"/>
          <w:color w:val="000000"/>
          <w:sz w:val="20"/>
        </w:rPr>
        <w:t xml:space="preserve"> </w:t>
      </w:r>
    </w:p>
    <w:tbl>
      <w:tblPr>
        <w:tblW w:w="9798" w:type="dxa"/>
        <w:jc w:val="left"/>
        <w:tblInd w:w="0" w:type="dxa"/>
        <w:tblLayout w:type="fixed"/>
        <w:tblCellMar>
          <w:top w:w="28" w:type="dxa"/>
          <w:left w:w="28" w:type="dxa"/>
          <w:bottom w:w="28" w:type="dxa"/>
          <w:right w:w="28" w:type="dxa"/>
        </w:tblCellMar>
      </w:tblPr>
      <w:tblGrid>
        <w:gridCol w:w="3781"/>
        <w:gridCol w:w="2986"/>
        <w:gridCol w:w="3031"/>
      </w:tblGrid>
      <w:tr>
        <w:trPr/>
        <w:tc>
          <w:tcPr>
            <w:tcW w:w="3781"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00565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shd w:fill="005656" w:val="clear"/>
            <w:tcMar>
              <w:top w:w="0" w:type="dxa"/>
              <w:left w:w="0" w:type="dxa"/>
              <w:bottom w:w="0" w:type="dxa"/>
              <w:right w:w="0" w:type="dxa"/>
            </w:tcMar>
            <w:vAlign w:val="center"/>
          </w:tcPr>
          <w:p>
            <w:pPr>
              <w:pStyle w:val="TableContents"/>
              <w:bidi w:val="0"/>
              <w:jc w:val="center"/>
              <w:rPr>
                <w:rFonts w:ascii="Arial" w:hAnsi="Arial"/>
                <w:b/>
                <w:color w:val="FFFFFF"/>
                <w:sz w:val="22"/>
              </w:rPr>
            </w:pPr>
            <w:r>
              <w:rPr>
                <w:rFonts w:ascii="Arial" w:hAnsi="Arial"/>
                <w:b/>
                <w:color w:val="FFFFFF"/>
                <w:sz w:val="22"/>
              </w:rPr>
              <w:t>Updated Guidance</w:t>
            </w:r>
          </w:p>
          <w:p>
            <w:pPr>
              <w:pStyle w:val="TableContents"/>
              <w:bidi w:val="0"/>
              <w:spacing w:before="0" w:after="283"/>
              <w:jc w:val="center"/>
              <w:rPr>
                <w:rFonts w:ascii="Arial" w:hAnsi="Arial"/>
                <w:b/>
                <w:color w:val="FFFFFF"/>
                <w:sz w:val="22"/>
              </w:rPr>
            </w:pPr>
            <w:r>
              <w:rPr>
                <w:rFonts w:ascii="Arial" w:hAnsi="Arial"/>
                <w:b/>
                <w:color w:val="FFFFFF"/>
                <w:sz w:val="22"/>
              </w:rPr>
              <w:t>As of August 6, 2026</w:t>
            </w:r>
          </w:p>
        </w:tc>
        <w:tc>
          <w:tcPr>
            <w:tcW w:w="3031" w:type="dxa"/>
            <w:tcBorders/>
            <w:shd w:fill="005656" w:val="clear"/>
            <w:tcMar>
              <w:top w:w="0" w:type="dxa"/>
              <w:left w:w="0" w:type="dxa"/>
              <w:bottom w:w="0" w:type="dxa"/>
              <w:right w:w="0" w:type="dxa"/>
            </w:tcMar>
            <w:vAlign w:val="center"/>
          </w:tcPr>
          <w:p>
            <w:pPr>
              <w:pStyle w:val="TableContents"/>
              <w:bidi w:val="0"/>
              <w:jc w:val="center"/>
              <w:rPr>
                <w:rFonts w:ascii="Arial" w:hAnsi="Arial"/>
                <w:b/>
                <w:color w:val="FFFFFF"/>
                <w:sz w:val="22"/>
              </w:rPr>
            </w:pPr>
            <w:r>
              <w:rPr>
                <w:rFonts w:ascii="Arial" w:hAnsi="Arial"/>
                <w:b/>
                <w:color w:val="FFFFFF"/>
                <w:sz w:val="22"/>
              </w:rPr>
              <w:t>Prior Guidance</w:t>
            </w:r>
          </w:p>
          <w:p>
            <w:pPr>
              <w:pStyle w:val="TableContents"/>
              <w:bidi w:val="0"/>
              <w:spacing w:before="0" w:after="283"/>
              <w:jc w:val="center"/>
              <w:rPr>
                <w:rFonts w:ascii="Arial" w:hAnsi="Arial"/>
                <w:b/>
                <w:color w:val="FFFFFF"/>
                <w:sz w:val="22"/>
              </w:rPr>
            </w:pPr>
            <w:r>
              <w:rPr>
                <w:rFonts w:ascii="Arial" w:hAnsi="Arial"/>
                <w:b/>
                <w:color w:val="FFFFFF"/>
                <w:sz w:val="22"/>
              </w:rPr>
              <w:t>As of May 7, 2026</w:t>
            </w:r>
          </w:p>
        </w:tc>
      </w:tr>
      <w:tr>
        <w:trPr/>
        <w:tc>
          <w:tcPr>
            <w:tcW w:w="3781" w:type="dxa"/>
            <w:tcBorders/>
            <w:shd w:fill="D0CFCD"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Revenues</w:t>
            </w:r>
          </w:p>
        </w:tc>
        <w:tc>
          <w:tcPr>
            <w:tcW w:w="2986" w:type="dxa"/>
            <w:tcBorders/>
            <w:shd w:fill="D0CFCD"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2"/>
              </w:rPr>
            </w:pPr>
            <w:r>
              <w:rPr>
                <w:rFonts w:ascii="Arial" w:hAnsi="Arial"/>
                <w:color w:val="000000"/>
                <w:sz w:val="22"/>
              </w:rPr>
              <w:t>$1,670 million – $1,710 million</w:t>
            </w:r>
          </w:p>
        </w:tc>
        <w:tc>
          <w:tcPr>
            <w:tcW w:w="3031" w:type="dxa"/>
            <w:tcBorders/>
            <w:shd w:fill="D0CFCD"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2"/>
              </w:rPr>
            </w:pPr>
            <w:r>
              <w:rPr>
                <w:rFonts w:ascii="Arial" w:hAnsi="Arial"/>
                <w:color w:val="000000"/>
                <w:sz w:val="22"/>
              </w:rPr>
              <w:t>$1,625 million – $1,700 million</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Arial" w:hAnsi="Arial"/>
                <w:color w:val="000000"/>
                <w:sz w:val="22"/>
              </w:rPr>
              <w:t>Adjusted EBITDA</w:t>
            </w:r>
            <w:r>
              <w:rPr>
                <w:rFonts w:ascii="Arial" w:hAnsi="Arial"/>
                <w:color w:val="000000"/>
                <w:sz w:val="15"/>
              </w:rPr>
              <w:t>2</w:t>
            </w:r>
          </w:p>
        </w:tc>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2"/>
              </w:rPr>
            </w:pPr>
            <w:r>
              <w:rPr>
                <w:rFonts w:ascii="Arial" w:hAnsi="Arial"/>
                <w:color w:val="000000"/>
                <w:sz w:val="22"/>
              </w:rPr>
              <w:t>$472 million – $486 million</w:t>
            </w:r>
          </w:p>
        </w:tc>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2"/>
              </w:rPr>
            </w:pPr>
            <w:r>
              <w:rPr>
                <w:rFonts w:ascii="Arial" w:hAnsi="Arial"/>
                <w:color w:val="000000"/>
                <w:sz w:val="22"/>
              </w:rPr>
              <w:t>$460 million – $485 million</w:t>
            </w:r>
          </w:p>
        </w:tc>
      </w:tr>
      <w:tr>
        <w:trPr/>
        <w:tc>
          <w:tcPr>
            <w:tcW w:w="3781" w:type="dxa"/>
            <w:tcBorders/>
            <w:shd w:fill="D0CFCD"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Arial" w:hAnsi="Arial"/>
                <w:color w:val="000000"/>
                <w:sz w:val="22"/>
              </w:rPr>
              <w:t>Adjusted Net Income</w:t>
            </w:r>
            <w:r>
              <w:rPr>
                <w:rFonts w:ascii="Arial" w:hAnsi="Arial"/>
                <w:color w:val="000000"/>
                <w:sz w:val="15"/>
              </w:rPr>
              <w:t>2</w:t>
            </w:r>
          </w:p>
        </w:tc>
        <w:tc>
          <w:tcPr>
            <w:tcW w:w="2986" w:type="dxa"/>
            <w:tcBorders/>
            <w:shd w:fill="D0CFCD"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2"/>
              </w:rPr>
            </w:pPr>
            <w:r>
              <w:rPr>
                <w:rFonts w:ascii="Arial" w:hAnsi="Arial"/>
                <w:color w:val="000000"/>
                <w:sz w:val="22"/>
              </w:rPr>
              <w:t>$214 million – $225 million</w:t>
            </w:r>
          </w:p>
        </w:tc>
        <w:tc>
          <w:tcPr>
            <w:tcW w:w="3031" w:type="dxa"/>
            <w:tcBorders/>
            <w:shd w:fill="D0CFCD"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2"/>
              </w:rPr>
            </w:pPr>
            <w:r>
              <w:rPr>
                <w:rFonts w:ascii="Arial" w:hAnsi="Arial"/>
                <w:color w:val="000000"/>
                <w:sz w:val="22"/>
              </w:rPr>
              <w:t>$200 million – $220 million</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Arial" w:hAnsi="Arial"/>
                <w:color w:val="000000"/>
                <w:sz w:val="22"/>
              </w:rPr>
              <w:t>Adjusted Diluted Earnings Per Share</w:t>
            </w:r>
            <w:r>
              <w:rPr>
                <w:rFonts w:ascii="Arial" w:hAnsi="Arial"/>
                <w:color w:val="000000"/>
                <w:sz w:val="15"/>
              </w:rPr>
              <w:t>2</w:t>
            </w:r>
          </w:p>
        </w:tc>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2"/>
              </w:rPr>
            </w:pPr>
            <w:r>
              <w:rPr>
                <w:rFonts w:ascii="Arial" w:hAnsi="Arial"/>
                <w:color w:val="000000"/>
                <w:sz w:val="22"/>
              </w:rPr>
              <w:t>$1.23 – $1.29</w:t>
            </w:r>
          </w:p>
        </w:tc>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2"/>
              </w:rPr>
            </w:pPr>
            <w:r>
              <w:rPr>
                <w:rFonts w:ascii="Arial" w:hAnsi="Arial"/>
                <w:color w:val="000000"/>
                <w:sz w:val="22"/>
              </w:rPr>
              <w:t>$1.15 – $1.25</w:t>
            </w:r>
          </w:p>
        </w:tc>
      </w:tr>
    </w:tbl>
    <w:p>
      <w:pPr>
        <w:pStyle w:val="TextBody"/>
        <w:bidi w:val="0"/>
        <w:spacing w:before="120" w:after="200"/>
        <w:jc w:val="both"/>
        <w:rPr>
          <w:rFonts w:ascii="Times New Roman" w:hAnsi="Times New Roman"/>
          <w:sz w:val="20"/>
        </w:rPr>
      </w:pPr>
      <w:r>
        <w:rPr>
          <w:rFonts w:ascii="Arial" w:hAnsi="Arial"/>
          <w:color w:val="000000"/>
          <w:sz w:val="9"/>
        </w:rPr>
        <w:t>2</w:t>
      </w:r>
      <w:r>
        <w:rPr>
          <w:rFonts w:ascii="Times New Roman" w:hAnsi="Times New Roman"/>
          <w:color w:val="000000"/>
          <w:sz w:val="20"/>
        </w:rPr>
        <w:t xml:space="preserve"> </w:t>
      </w:r>
      <w:r>
        <w:rPr>
          <w:rFonts w:ascii="Arial" w:hAnsi="Arial"/>
          <w:color w:val="000000"/>
          <w:sz w:val="13"/>
        </w:rPr>
        <w:t>A reconciliation of the foregoing guidance for the non-GAAP metrics of Adjusted EBITDA and Adjusted Net Income to GAAP net income and Adjusted Diluted Earnings Per Share to GAAP diluted net income per share cannot be provided without unreasonable effort because of the inherent difficulty of accurately forecasting the occurrence and financial impact of the various adjusting items necessary for such reconciliation that have not yet occurred, are out of our control, or cannot be reasonably predicted. For the same reasons, the Company is unable to assess the probable significance of the unavailable information, which could have a material impact on its future GAAP financial results.</w:t>
      </w:r>
    </w:p>
    <w:p>
      <w:pPr>
        <w:pStyle w:val="TextBody"/>
        <w:bidi w:val="0"/>
        <w:spacing w:before="0" w:after="200"/>
        <w:jc w:val="both"/>
        <w:rPr>
          <w:rFonts w:ascii="Arial" w:hAnsi="Arial"/>
          <w:color w:val="000000"/>
          <w:sz w:val="22"/>
        </w:rPr>
      </w:pPr>
      <w:r>
        <w:rPr>
          <w:rFonts w:ascii="Arial" w:hAnsi="Arial"/>
          <w:color w:val="000000"/>
          <w:sz w:val="22"/>
        </w:rPr>
        <w:t>Actual results may differ materially from First Advantage’s full year 2026 guidance as a result of, among other things, the factors described under “Forward-Looking Statements” below.</w:t>
      </w:r>
    </w:p>
    <w:p>
      <w:pPr>
        <w:pStyle w:val="TextBody"/>
        <w:bidi w:val="0"/>
        <w:spacing w:before="0" w:after="200"/>
        <w:jc w:val="both"/>
        <w:rPr>
          <w:rFonts w:ascii="Arial" w:hAnsi="Arial"/>
          <w:b/>
          <w:color w:val="000000"/>
          <w:sz w:val="22"/>
        </w:rPr>
      </w:pPr>
      <w:r>
        <w:rPr>
          <w:rFonts w:ascii="Arial" w:hAnsi="Arial"/>
          <w:b/>
          <w:color w:val="000000"/>
          <w:sz w:val="22"/>
        </w:rPr>
        <w:t>Conference Call and Webcast Information</w:t>
      </w:r>
    </w:p>
    <w:p>
      <w:pPr>
        <w:pStyle w:val="TextBody"/>
        <w:bidi w:val="0"/>
        <w:spacing w:before="0" w:after="200"/>
        <w:jc w:val="both"/>
        <w:rPr>
          <w:rFonts w:ascii="Arial" w:hAnsi="Arial"/>
          <w:color w:val="000000"/>
          <w:sz w:val="22"/>
        </w:rPr>
      </w:pPr>
      <w:r>
        <w:rPr>
          <w:rFonts w:ascii="Arial" w:hAnsi="Arial"/>
          <w:color w:val="000000"/>
          <w:sz w:val="22"/>
        </w:rPr>
        <w:t>First Advantage will host a conference call to review its second quarter 2026 results today, August 6, 2026, at 8:30 a.m. ET.</w:t>
      </w:r>
    </w:p>
    <w:p>
      <w:pPr>
        <w:pStyle w:val="TextBody"/>
        <w:bidi w:val="0"/>
        <w:spacing w:before="0" w:after="200"/>
        <w:jc w:val="both"/>
        <w:rPr>
          <w:rFonts w:ascii="Arial" w:hAnsi="Arial"/>
          <w:color w:val="000000"/>
          <w:sz w:val="22"/>
        </w:rPr>
      </w:pPr>
      <w:r>
        <w:rPr>
          <w:rFonts w:ascii="Arial" w:hAnsi="Arial"/>
          <w:color w:val="000000"/>
          <w:sz w:val="22"/>
        </w:rPr>
        <w:t>To participate in the conference call, please dial 800-274-8461 (domestic) or 203-518-9814 (international) approximately ten minutes before the 8:30 a.m. ET start. Please mention to the operator that you are dialing in for the First Advantage second quarter 2026 earnings call or provide the conference code FA2Q26. The call will also be webcast live on the Company’s investor relations website at https://investors.fadv.com under the “News &amp; Events” and then “Events &amp; Presentations” section, where related presentation materials will be posted prior to the conference call.</w:t>
      </w:r>
    </w:p>
    <w:p>
      <w:pPr>
        <w:pStyle w:val="TextBody"/>
        <w:bidi w:val="0"/>
        <w:spacing w:before="0" w:after="200"/>
        <w:jc w:val="both"/>
        <w:rPr>
          <w:rFonts w:ascii="Times New Roman" w:hAnsi="Times New Roman"/>
          <w:sz w:val="20"/>
        </w:rPr>
      </w:pPr>
      <w:r>
        <w:rPr>
          <w:rFonts w:ascii="Arial" w:hAnsi="Arial"/>
          <w:color w:val="000000"/>
          <w:sz w:val="22"/>
        </w:rPr>
        <w:t xml:space="preserve">Following the conference call, a replay of the webcast will be available on the Company’s investor relations website, https://investors.fadv.com. Alternatively, the live webcast and subsequent replay will be available at </w:t>
      </w:r>
      <w:r>
        <w:rPr>
          <w:rFonts w:ascii="Arial" w:hAnsi="Arial"/>
          <w:sz w:val="22"/>
        </w:rPr>
        <w:t>https://event.on24.com/wcc/r/5409234/68E3AC95DE943B08FC0B97F9AA813C80</w:t>
      </w:r>
      <w:r>
        <w:rPr>
          <w:rFonts w:ascii="Arial" w:hAnsi="Arial"/>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Arial" w:hAnsi="Arial"/>
          <w:b/>
          <w:color w:val="000000"/>
          <w:sz w:val="22"/>
        </w:rPr>
        <w:t>Forward-Looking Statements</w:t>
      </w:r>
      <w:r>
        <w:rPr>
          <w:rFonts w:ascii="Times New Roman" w:hAnsi="Times New Roman"/>
          <w:color w:val="000000"/>
          <w:sz w:val="20"/>
        </w:rPr>
        <w:t xml:space="preserve"> </w:t>
      </w:r>
    </w:p>
    <w:p>
      <w:pPr>
        <w:pStyle w:val="TextBody"/>
        <w:bidi w:val="0"/>
        <w:spacing w:before="0" w:after="200"/>
        <w:jc w:val="both"/>
        <w:rPr>
          <w:rFonts w:ascii="Arial" w:hAnsi="Arial"/>
          <w:color w:val="000000"/>
          <w:sz w:val="22"/>
        </w:rPr>
      </w:pPr>
      <w:r>
        <w:rPr>
          <w:rFonts w:ascii="Arial" w:hAnsi="Arial"/>
          <w:color w:val="000000"/>
          <w:sz w:val="22"/>
        </w:rPr>
        <w:t>This press release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“target,” “guidance,” the negative version of these words, or similar terms and phrases.</w:t>
      </w:r>
    </w:p>
    <w:p>
      <w:pPr>
        <w:pStyle w:val="TextBody"/>
        <w:bidi w:val="0"/>
        <w:spacing w:before="0" w:after="200"/>
        <w:jc w:val="both"/>
        <w:rPr>
          <w:rFonts w:ascii="Arial" w:hAnsi="Arial"/>
          <w:color w:val="000000"/>
          <w:sz w:val="22"/>
        </w:rPr>
      </w:pPr>
      <w:r>
        <w:rPr>
          <w:rFonts w:ascii="Arial" w:hAnsi="Arial"/>
          <w:color w:val="000000"/>
          <w:sz w:val="22"/>
        </w:rPr>
        <w:t>These forward-looking statements are subject to various risks, uncertainties, assumptions, or changes in circumstances that are difficult to predict or quantify. Such risks and uncertainties include, but are not limited to, the following:</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the failure to realize the expected benefits of the Sterling Acquisition;</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adverse changes in external events beyond our control, including our customers’ onboarding volumes, economic drivers which are sensitive to macroeconomic cycles, such as interest rate volatility and inflation, geopolitical unrest, global trade disputes, uncertainty in financial markets, and changes in tax laws;</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our operations in a highly regulated industry and the fact that we are subject to numerous and evolving laws and regulations, including with respect to personal data, data security, and artificial intelligence ("AI");</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our inability to identify and successfully implement our growth strategies on a timely basis or at all;</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potential harm to our business, brand, and reputation as a result of security breaches, cyber-attacks, social, ethical, and legal issues relating to the use of new and evolving technologies, employee or other internal misconduct, computer viruses, or the mishandling of personal data;</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operating in a penetrated and competitive market;</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our reliance on third-party data providers;</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our sales to government entities and higher-tier contractors to governmental customers which involve unique competitive, procurement, budget, administrative and contractual risks;</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due to the sensitive and privacy-driven nature of our products and solutions, we could face liability and legal or regulatory proceedings, which could be costly and time-consuming to defend and may not be fully covered by insurance;</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our international business exposes us to a number of risks;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real or perceived errors, failures, or bugs in our products could adversely affect our business, results of operations, financial condition, and growth prospects;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our ability to identify attractive targets or successfully complete such transactions;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failure to comply with anti-corruption, economic and trade sanctions, and anti-money laundering laws and regulations;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disruptions at our Operation Centers of Excellence and other operational sites;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our contracts with our customers, which do not guarantee exclusivity or contracted volumes;</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the timing, manner and volume of repurchases of common stock pursuant to our share repurchase program;</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disruptions, outages, or other errors with our technology and network infrastructure, including our data centers, servers, and third-party cloud and internet providers and our migration to the cloud;</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the continued integration of our platforms and solutions with human resource providers such as applicant tracking systems and human capital management systems as well as our relationships with such human resource providers;</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 xml:space="preserve">risks relating to public opinion, which may be magnified by incidents or adverse publicity concerning our industry or operations; </w:t>
      </w:r>
    </w:p>
    <w:p>
      <w:pPr>
        <w:pStyle w:val="TextBody"/>
        <w:bidi w:val="0"/>
        <w:spacing w:before="0" w:after="0"/>
        <w:ind w:left="489" w:right="0" w:hanging="0"/>
        <w:jc w:val="both"/>
        <w:rPr>
          <w:color w:val="000000"/>
        </w:rPr>
      </w:pPr>
      <w:r>
        <w:rPr>
          <w:color w:val="000000"/>
        </w:rPr>
        <w:t>•</w:t>
      </w:r>
    </w:p>
    <w:p>
      <w:pPr>
        <w:pStyle w:val="TextBody"/>
        <w:bidi w:val="0"/>
        <w:jc w:val="both"/>
        <w:rPr>
          <w:rFonts w:ascii="Arial" w:hAnsi="Arial"/>
          <w:color w:val="000000"/>
          <w:sz w:val="22"/>
        </w:rPr>
      </w:pPr>
      <w:r>
        <w:rPr>
          <w:rFonts w:ascii="Arial" w:hAnsi="Arial"/>
          <w:color w:val="000000"/>
          <w:sz w:val="22"/>
        </w:rPr>
        <w:t>our reliance on third-party vendors to carry out certain portions of our operations;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our dependence on the service of our key executives and other employees, and our ability to find and retain qualified employees;</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our ability to obtain, maintain, protect and enforce our intellectual property and other proprietary information;</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 xml:space="preserve">our ability to maintain, protect, and enforce the confidentiality of our trade secrets; </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the use of open-source software in our applications;</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seasonality in our operations from quarter to quarter;</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 xml:space="preserve">our indebtedness could adversely affect our ability to raise additional capital to fund our operations, limit our ability to react to changes in the economy or our industry, and prevent us from meeting our obligations; </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Silver Lake’s control of us and the potential conflict of its interest with ours or those of our stockholders; and</w:t>
      </w:r>
    </w:p>
    <w:p>
      <w:pPr>
        <w:pStyle w:val="TextBody"/>
        <w:bidi w:val="0"/>
        <w:spacing w:before="0" w:after="0"/>
        <w:ind w:left="489" w:right="0" w:hanging="0"/>
        <w:jc w:val="both"/>
        <w:rPr>
          <w:color w:val="000000"/>
        </w:rPr>
      </w:pPr>
      <w:r>
        <w:rPr>
          <w:color w:val="000000"/>
        </w:rPr>
        <w:t>•</w:t>
      </w:r>
    </w:p>
    <w:p>
      <w:pPr>
        <w:pStyle w:val="TextBody"/>
        <w:bidi w:val="0"/>
        <w:jc w:val="both"/>
        <w:rPr>
          <w:rFonts w:ascii="Arial" w:hAnsi="Arial"/>
          <w:color w:val="000000"/>
          <w:sz w:val="22"/>
        </w:rPr>
      </w:pPr>
      <w:r>
        <w:rPr>
          <w:rFonts w:ascii="Arial" w:hAnsi="Arial"/>
          <w:color w:val="000000"/>
          <w:sz w:val="22"/>
        </w:rPr>
        <w:t>changing interpretations of tax laws.</w:t>
      </w:r>
    </w:p>
    <w:p>
      <w:pPr>
        <w:pStyle w:val="TextBody"/>
        <w:bidi w:val="0"/>
        <w:spacing w:before="200" w:after="200"/>
        <w:jc w:val="both"/>
        <w:rPr>
          <w:rFonts w:ascii="Arial" w:hAnsi="Arial"/>
          <w:color w:val="000000"/>
          <w:sz w:val="22"/>
        </w:rPr>
      </w:pPr>
      <w:r>
        <w:rPr>
          <w:rFonts w:ascii="Arial" w:hAnsi="Arial"/>
          <w:color w:val="000000"/>
          <w:sz w:val="22"/>
        </w:rPr>
        <w:t>For additional information on these and other factors that could cause First Advantage’s actual results to differ materially from expected results, please see our Annual Report on Form 10-K for the year ended December 31, 2025, filed with the Securities and Exchange Commission (the “SEC”), as such factors may be updated from time to time in our filings with the SEC, which are or will be accessible on the SEC’s website at www.sec.gov. The forward-looking statements included in this press release are made only as of the date of this press release, and we undertake no obligation to publicly update or review any forward-looking statement, whether as a result of new information, future developments, or otherwise, except as required by law.</w:t>
      </w:r>
    </w:p>
    <w:p>
      <w:pPr>
        <w:pStyle w:val="TextBody"/>
        <w:bidi w:val="0"/>
        <w:spacing w:before="0" w:after="200"/>
        <w:jc w:val="both"/>
        <w:rPr>
          <w:rFonts w:ascii="Times New Roman" w:hAnsi="Times New Roman"/>
          <w:sz w:val="20"/>
        </w:rPr>
      </w:pPr>
      <w:r>
        <w:rPr>
          <w:rFonts w:ascii="Arial" w:hAnsi="Arial"/>
          <w:b/>
          <w:color w:val="000000"/>
          <w:sz w:val="22"/>
        </w:rPr>
        <w:t>Non-GAAP Financial Information</w:t>
      </w:r>
      <w:r>
        <w:rPr>
          <w:rFonts w:ascii="Times New Roman" w:hAnsi="Times New Roman"/>
          <w:color w:val="000000"/>
          <w:sz w:val="20"/>
        </w:rPr>
        <w:t xml:space="preserve"> </w:t>
      </w:r>
    </w:p>
    <w:p>
      <w:pPr>
        <w:pStyle w:val="TextBody"/>
        <w:bidi w:val="0"/>
        <w:spacing w:before="0" w:after="200"/>
        <w:jc w:val="both"/>
        <w:rPr>
          <w:rFonts w:ascii="Arial" w:hAnsi="Arial"/>
          <w:color w:val="000000"/>
          <w:sz w:val="22"/>
        </w:rPr>
      </w:pPr>
      <w:r>
        <w:rPr>
          <w:rFonts w:ascii="Arial" w:hAnsi="Arial"/>
          <w:color w:val="000000"/>
          <w:sz w:val="22"/>
        </w:rPr>
        <w:t>This press release contains “non-GAAP financial measures” that are financial measures that either exclude or include amounts that are not excluded or included in the most directly comparable measures calculated and presented in accordance with accounting principles generally accepted in the United States (“GAAP”). Specifically, we make use of the non-GAAP financial measures “Adjusted EBITDA,” “Adjusted EBITDA Margin,” “Adjusted Net Income,” and “Adjusted Diluted Earnings Per Share.”</w:t>
      </w:r>
    </w:p>
    <w:p>
      <w:pPr>
        <w:pStyle w:val="TextBody"/>
        <w:bidi w:val="0"/>
        <w:spacing w:before="0" w:after="200"/>
        <w:jc w:val="both"/>
        <w:rPr>
          <w:rFonts w:ascii="Arial" w:hAnsi="Arial"/>
          <w:color w:val="000000"/>
          <w:sz w:val="22"/>
        </w:rPr>
      </w:pPr>
      <w:r>
        <w:rPr>
          <w:rFonts w:ascii="Arial" w:hAnsi="Arial"/>
          <w:color w:val="000000"/>
          <w:sz w:val="22"/>
        </w:rPr>
        <w:t>Adjusted EBITDA, Adjusted EBITDA Margin, Adjusted Net Income, and Adjusted Diluted Earnings Per Share have been presented in this press release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and Adjusted Diluted Earnings Per Share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pStyle w:val="TextBody"/>
        <w:bidi w:val="0"/>
        <w:spacing w:before="0" w:after="200"/>
        <w:jc w:val="both"/>
        <w:rPr>
          <w:rFonts w:ascii="Times New Roman" w:hAnsi="Times New Roman"/>
          <w:sz w:val="20"/>
        </w:rPr>
      </w:pPr>
      <w:r>
        <w:rPr>
          <w:rFonts w:ascii="Arial" w:hAnsi="Arial"/>
          <w:color w:val="000000"/>
          <w:sz w:val="22"/>
        </w:rPr>
        <w:t>Adjusted EBITDA, Adjusted EBITDA Margin, Adjusted Net Income, and Adjusted Diluted Earnings Per Share are not recognized terms under GAAP and should not be considered as an alternative to net income as a measure of financial performance or cash provided by operating activities as a measure of liquidity, or any other performance measure derived in accordance with GAAP.</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Arial" w:hAnsi="Arial"/>
          <w:color w:val="000000"/>
          <w:sz w:val="22"/>
        </w:rPr>
        <w:t>We define Adjusted EBITDA as net income (loss) before interest, taxes, depreciation, and amortization, and as further adjusted for loss on extinguishment of debt, share-based compensation, transaction and acquisition-related charges, integration and restructuring charges, and other non-cash charges. We define Adjusted EBITDA Margin as Adjusted EBITDA divided by total revenues. We define Adjusted Net Income for a particular period as net income before taxes adjusted for debt-related costs, acquisition-related depreciation and amortization, share-based compensation, transaction and acquisition-related charges, integration and restructuring charges, and other non-cash charges, to which we then apply the related effective tax rate. We define Adjusted Diluted Earnings Per Share as Adjusted Net Income divided by adjusted weighted average number of shares outstanding—diluted.</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Arial" w:hAnsi="Arial"/>
          <w:color w:val="000000"/>
          <w:sz w:val="22"/>
        </w:rPr>
        <w:t>For reconciliations of these non-GAAP financial measures to the most directly comparable GAAP measures, see the reconciliations included at the end of this press release.</w:t>
      </w:r>
      <w:r>
        <w:rPr>
          <w:rFonts w:ascii="Times New Roman" w:hAnsi="Times New Roman"/>
          <w:color w:val="000000"/>
          <w:sz w:val="20"/>
        </w:rPr>
        <w:t xml:space="preserve"> </w:t>
      </w:r>
    </w:p>
    <w:p>
      <w:pPr>
        <w:pStyle w:val="TextBody"/>
        <w:bidi w:val="0"/>
        <w:spacing w:before="0" w:after="200"/>
        <w:jc w:val="both"/>
        <w:rPr>
          <w:rFonts w:ascii="Arial" w:hAnsi="Arial"/>
          <w:color w:val="000000"/>
          <w:sz w:val="22"/>
        </w:rPr>
      </w:pPr>
      <w:r>
        <w:rPr>
          <w:rFonts w:ascii="Arial" w:hAnsi="Arial"/>
          <w:color w:val="000000"/>
          <w:sz w:val="22"/>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pStyle w:val="TextBody"/>
        <w:bidi w:val="0"/>
        <w:spacing w:before="0" w:after="200"/>
        <w:jc w:val="both"/>
        <w:rPr>
          <w:rFonts w:ascii="Arial" w:hAnsi="Arial"/>
          <w:color w:val="000000"/>
          <w:sz w:val="22"/>
        </w:rPr>
      </w:pPr>
      <w:r>
        <w:rPr>
          <w:rFonts w:ascii="Arial" w:hAnsi="Arial"/>
          <w:color w:val="000000"/>
          <w:sz w:val="22"/>
        </w:rPr>
        <w:t>Certain monetary amounts, percentages, and other figures have been subject to rounding adjustments. Percentage amounts have not in all cases been calculated on the basis of such rounded figures, but on the basis of such amounts prior to rounding. For this reason, percentage amounts may vary from those obtained by performing the same calculations using the figures in our press release. Certain other amounts that appear in this press release may not sum due to rounding.</w:t>
      </w:r>
    </w:p>
    <w:p>
      <w:pPr>
        <w:pStyle w:val="TextBody"/>
        <w:bidi w:val="0"/>
        <w:spacing w:before="0" w:after="200"/>
        <w:jc w:val="both"/>
        <w:rPr>
          <w:rFonts w:ascii="Arial" w:hAnsi="Arial"/>
          <w:b/>
          <w:color w:val="000000"/>
          <w:sz w:val="22"/>
        </w:rPr>
      </w:pPr>
      <w:r>
        <w:rPr>
          <w:rFonts w:ascii="Arial" w:hAnsi="Arial"/>
          <w:b/>
          <w:color w:val="000000"/>
          <w:sz w:val="22"/>
        </w:rPr>
        <w:t>About First Advantage</w:t>
      </w:r>
    </w:p>
    <w:p>
      <w:pPr>
        <w:pStyle w:val="TextBody"/>
        <w:bidi w:val="0"/>
        <w:spacing w:before="0" w:after="200"/>
        <w:jc w:val="both"/>
        <w:rPr>
          <w:rFonts w:ascii="Arial" w:hAnsi="Arial"/>
          <w:color w:val="000000"/>
          <w:sz w:val="22"/>
        </w:rPr>
      </w:pPr>
      <w:r>
        <w:rPr>
          <w:rFonts w:ascii="Arial" w:hAnsi="Arial"/>
          <w:color w:val="000000"/>
          <w:sz w:val="22"/>
        </w:rPr>
        <w:t>First Advantage (NASDAQ: FA) is a global software and data company. We provide comprehensive, end-to-end identity solutions, criminal background screening, credential verifications, drug and health screening, and continuous risk monitoring. Combining AI-powered proprietary technology platforms with proprietary data, primary source data, and third-party data, we help organizations hire with confidence and manage risk across the entire employee lifecycle. With over 80,000 customers worldwide – including approximately two-thirds of the Fortune 100 – we deliver fast, comprehensive, and reliable solutions for employers, their candidates, and their employees. We conduct more than 200 million screens annually across over 200 countries and territories, supported by our verticalized go-to-market strategy, decades of experience, and proprietary databases containing over 1 billion records. For more information, please visit our website at https://fadv.com/.</w:t>
      </w:r>
    </w:p>
    <w:p>
      <w:pPr>
        <w:pStyle w:val="TextBody"/>
        <w:bidi w:val="0"/>
        <w:spacing w:before="0" w:after="200"/>
        <w:jc w:val="both"/>
        <w:rPr>
          <w:rFonts w:ascii="Arial" w:hAnsi="Arial"/>
          <w:b/>
          <w:color w:val="000000"/>
          <w:sz w:val="22"/>
        </w:rPr>
      </w:pPr>
      <w:r>
        <w:rPr>
          <w:rFonts w:ascii="Arial" w:hAnsi="Arial"/>
          <w:b/>
          <w:color w:val="000000"/>
          <w:sz w:val="22"/>
        </w:rPr>
        <w:t>Investor Contact</w:t>
      </w:r>
    </w:p>
    <w:p>
      <w:pPr>
        <w:pStyle w:val="TextBody"/>
        <w:bidi w:val="0"/>
        <w:jc w:val="both"/>
        <w:rPr>
          <w:rFonts w:ascii="Times New Roman" w:hAnsi="Times New Roman"/>
          <w:sz w:val="20"/>
        </w:rPr>
      </w:pPr>
      <w:r>
        <w:rPr>
          <w:rFonts w:ascii="Arial" w:hAnsi="Arial"/>
          <w:color w:val="000000"/>
          <w:sz w:val="22"/>
        </w:rPr>
        <w:t>Stephanie Gorman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2"/>
        </w:rPr>
        <w:t>Vice President, Investor Relations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2"/>
        </w:rPr>
        <w:t>Investors@fadv.com</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2"/>
        </w:rPr>
        <w:t>(678) 868-4151</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Condensed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sz w:val="20"/>
        </w:rPr>
      </w:pPr>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spacing w:before="0" w:after="180"/>
        <w:jc w:val="center"/>
        <w:rPr>
          <w:rFonts w:ascii="Times New Roman" w:hAnsi="Times New Roman"/>
          <w:i/>
          <w:color w:val="000000"/>
          <w:sz w:val="20"/>
        </w:rPr>
      </w:pPr>
      <w:r>
        <w:rPr>
          <w:rFonts w:ascii="Times New Roman" w:hAnsi="Times New Roman"/>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716"/>
        <w:gridCol w:w="146"/>
        <w:gridCol w:w="211"/>
        <w:gridCol w:w="931"/>
        <w:gridCol w:w="166"/>
        <w:gridCol w:w="146"/>
        <w:gridCol w:w="235"/>
        <w:gridCol w:w="1041"/>
        <w:gridCol w:w="613"/>
      </w:tblGrid>
      <w:tr>
        <w:trPr/>
        <w:tc>
          <w:tcPr>
            <w:tcW w:w="6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par value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239,998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 of allowance for doubtful accounts of $7,792 and $8,084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297,281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561,698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250,865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2,143,604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857,111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tax asset,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3,747,246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3,833,802</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109,888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60,537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230,459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 (net of deferred financing costs of $30,756 and $34,498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2,080,039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tax liability,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190,255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2,520,250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 $0.001 par value; 1,000,000,000 shares authorized, 171,571,364 and 174,190,461 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1,528,315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(194,632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1,293,954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1,313,552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3,747,246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3,833,802</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sz w:val="20"/>
        </w:rPr>
      </w:pPr>
      <w:r>
        <w:rPr>
          <w:rFonts w:ascii="Times New Roman" w:hAnsi="Times New Roman"/>
          <w:b/>
          <w:color w:val="000000"/>
          <w:sz w:val="20"/>
        </w:rPr>
        <w:t>Condensed Consolidated Statements of Operations and Comprehensive Income</w:t>
      </w:r>
      <w:r>
        <w:rPr>
          <w:rFonts w:ascii="Times New Roman" w:hAnsi="Times New Roman"/>
          <w:color w:val="000000"/>
          <w:sz w:val="20"/>
        </w:rPr>
        <w:t xml:space="preserve"> </w:t>
      </w:r>
    </w:p>
    <w:p>
      <w:pPr>
        <w:pStyle w:val="TextBody"/>
        <w:bidi w:val="0"/>
        <w:spacing w:before="0" w:after="180"/>
        <w:jc w:val="center"/>
        <w:rPr>
          <w:rFonts w:ascii="Times New Roman" w:hAnsi="Times New Roman"/>
          <w:i/>
          <w:color w:val="000000"/>
          <w:sz w:val="20"/>
        </w:rPr>
      </w:pPr>
      <w:r>
        <w:rPr>
          <w:rFonts w:ascii="Times New Roman" w:hAnsi="Times New Roman"/>
          <w:i/>
          <w:color w:val="000000"/>
          <w:sz w:val="20"/>
        </w:rPr>
        <w:t>(Unaudited)</w:t>
      </w:r>
    </w:p>
    <w:tbl>
      <w:tblPr>
        <w:tblW w:w="9534" w:type="dxa"/>
        <w:jc w:val="left"/>
        <w:tblInd w:w="0" w:type="dxa"/>
        <w:tblLayout w:type="fixed"/>
        <w:tblCellMar>
          <w:top w:w="28" w:type="dxa"/>
          <w:left w:w="28" w:type="dxa"/>
          <w:bottom w:w="28" w:type="dxa"/>
          <w:right w:w="28" w:type="dxa"/>
        </w:tblCellMar>
      </w:tblPr>
      <w:tblGrid>
        <w:gridCol w:w="5781"/>
        <w:gridCol w:w="146"/>
        <w:gridCol w:w="211"/>
        <w:gridCol w:w="1141"/>
        <w:gridCol w:w="166"/>
        <w:gridCol w:w="146"/>
        <w:gridCol w:w="211"/>
        <w:gridCol w:w="1141"/>
        <w:gridCol w:w="591"/>
      </w:tblGrid>
      <w:tr>
        <w:trPr/>
        <w:tc>
          <w:tcPr>
            <w:tcW w:w="5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390,633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services (exclusive of depreciation and amortization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and technology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37,737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171,747,641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173,288,662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173,225,170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175,069,451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spacing w:before="0" w:after="180"/>
        <w:jc w:val="center"/>
        <w:rPr>
          <w:rFonts w:ascii="Times New Roman" w:hAnsi="Times New Roman"/>
          <w:i/>
          <w:color w:val="000000"/>
          <w:sz w:val="20"/>
        </w:rPr>
      </w:pPr>
      <w:r>
        <w:rPr>
          <w:rFonts w:ascii="Times New Roman" w:hAnsi="Times New Roman"/>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152"/>
        <w:gridCol w:w="146"/>
        <w:gridCol w:w="211"/>
        <w:gridCol w:w="781"/>
        <w:gridCol w:w="166"/>
        <w:gridCol w:w="146"/>
        <w:gridCol w:w="211"/>
        <w:gridCol w:w="781"/>
        <w:gridCol w:w="611"/>
      </w:tblGrid>
      <w:tr>
        <w:trPr/>
        <w:tc>
          <w:tcPr>
            <w:tcW w:w="7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Bad debt expense (recovery)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disposal and impairment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taxes receivable and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Repayments of First Lien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settlement of share-based compensation plan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(85,242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(21,107</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184,345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 net of refunds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84,140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acquired on account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Excise taxes on share repurchases incurred but not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sz w:val="20"/>
        </w:rPr>
      </w:pPr>
      <w:r>
        <w:rPr>
          <w:rFonts w:ascii="Times New Roman" w:hAnsi="Times New Roman"/>
          <w:b/>
          <w:color w:val="000000"/>
          <w:sz w:val="22"/>
        </w:rPr>
        <w:t>Reconciliation of Consolidated Non-GAAP Financial Measures</w:t>
      </w:r>
      <w:r>
        <w:rPr>
          <w:rFonts w:ascii="Times New Roman" w:hAnsi="Times New Roman"/>
          <w:color w:val="000000"/>
          <w:sz w:val="20"/>
        </w:rPr>
        <w:t xml:space="preserve"> </w:t>
      </w:r>
    </w:p>
    <w:tbl>
      <w:tblPr>
        <w:tblW w:w="6749" w:type="dxa"/>
        <w:jc w:val="left"/>
        <w:tblInd w:w="0" w:type="dxa"/>
        <w:tblLayout w:type="fixed"/>
        <w:tblCellMar>
          <w:top w:w="28" w:type="dxa"/>
          <w:left w:w="28" w:type="dxa"/>
          <w:bottom w:w="28" w:type="dxa"/>
          <w:right w:w="28" w:type="dxa"/>
        </w:tblCellMar>
      </w:tblPr>
      <w:tblGrid>
        <w:gridCol w:w="3826"/>
        <w:gridCol w:w="146"/>
        <w:gridCol w:w="211"/>
        <w:gridCol w:w="781"/>
        <w:gridCol w:w="301"/>
        <w:gridCol w:w="146"/>
        <w:gridCol w:w="211"/>
        <w:gridCol w:w="781"/>
        <w:gridCol w:w="346"/>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compensation</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Transaction and acquisition-related charges</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Integration, restructuring, and other charges</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128,521</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113,946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448,763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390,633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Share-based compensation for the three months ended June 30, 2026 and 2025, includes approximately $0.1 million and $1.8 million, respectively, of incrementally recognized expense associated with the May 2023 modification of the vesting terms of outstanding unvested and unearned performance-based options, restricted stock units, and restricted stock awards.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Represents charges incurred related to acquisitions and similar transactions, primarily consisting of change in control-related costs, professional service fees, and other third-party costs. Transaction and acquisition related charges for the three months ended June 30, 2026 and 2025, include approximately $0.3 million and $2.3 million, respectively, of expense associated with the Sterling Acquisition.</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(c)</w:t>
      </w:r>
    </w:p>
    <w:p>
      <w:pPr>
        <w:pStyle w:val="TextBody"/>
        <w:bidi w:val="0"/>
        <w:jc w:val="both"/>
        <w:rPr>
          <w:rFonts w:ascii="Times New Roman" w:hAnsi="Times New Roman"/>
          <w:color w:val="000000"/>
          <w:sz w:val="16"/>
        </w:rPr>
      </w:pPr>
      <w:r>
        <w:rPr>
          <w:rFonts w:ascii="Times New Roman" w:hAnsi="Times New Roman"/>
          <w:color w:val="000000"/>
          <w:sz w:val="16"/>
        </w:rPr>
        <w:t>Represents charges from organizational restructuring and integration activities, non-cash, and other charges primarily related to nonrecurring legal exposures, foreign currency (gains) losses, (gains) losses on the sale of assets, and other non-recurring items. Integration, restructuring, and other charges for the three months ended June 30, 2026 and 2025, include approximately $2.2 million and $3.7 million, respectively, of expense associated with the integration of Sterling.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2"/>
        </w:rPr>
        <w:t>Reconciliation of Consolidated Non-GAAP Financial Measures (continued)</w:t>
      </w:r>
      <w:r>
        <w:rPr>
          <w:rFonts w:ascii="Times New Roman" w:hAnsi="Times New Roman"/>
          <w:color w:val="000000"/>
          <w:sz w:val="20"/>
        </w:rPr>
        <w:t xml:space="preserve"> </w:t>
      </w:r>
    </w:p>
    <w:tbl>
      <w:tblPr>
        <w:tblW w:w="6972" w:type="dxa"/>
        <w:jc w:val="left"/>
        <w:tblInd w:w="0" w:type="dxa"/>
        <w:tblLayout w:type="fixed"/>
        <w:tblCellMar>
          <w:top w:w="28" w:type="dxa"/>
          <w:left w:w="28" w:type="dxa"/>
          <w:bottom w:w="28" w:type="dxa"/>
          <w:right w:w="28" w:type="dxa"/>
        </w:tblCellMar>
      </w:tblPr>
      <w:tblGrid>
        <w:gridCol w:w="4351"/>
        <w:gridCol w:w="146"/>
        <w:gridCol w:w="229"/>
        <w:gridCol w:w="734"/>
        <w:gridCol w:w="180"/>
        <w:gridCol w:w="158"/>
        <w:gridCol w:w="229"/>
        <w:gridCol w:w="734"/>
        <w:gridCol w:w="2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Debt-related charges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Acquisition-related depreciation and amortization</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compensation</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Transaction and acquisition-related charges</w:t>
            </w:r>
            <w:r>
              <w:rPr>
                <w:rFonts w:ascii="Times New Roman" w:hAnsi="Times New Roman"/>
                <w:color w:val="000000"/>
                <w:sz w:val="13"/>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Integration, restructuring, and other charges</w:t>
            </w:r>
            <w:r>
              <w:rPr>
                <w:rFonts w:ascii="Times New Roman" w:hAnsi="Times New Roman"/>
                <w:color w:val="000000"/>
                <w:sz w:val="13"/>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before income tax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82,906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Less: Adjusted income taxes</w:t>
            </w:r>
            <w:r>
              <w:rPr>
                <w:rFonts w:ascii="Times New Roman" w:hAnsi="Times New Roman"/>
                <w:color w:val="000000"/>
                <w:sz w:val="13"/>
              </w:rP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61,426</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32"/>
        <w:gridCol w:w="146"/>
        <w:gridCol w:w="211"/>
        <w:gridCol w:w="1141"/>
        <w:gridCol w:w="166"/>
        <w:gridCol w:w="146"/>
        <w:gridCol w:w="211"/>
        <w:gridCol w:w="1141"/>
        <w:gridCol w:w="611"/>
      </w:tblGrid>
      <w:tr>
        <w:trPr/>
        <w:tc>
          <w:tcPr>
            <w:tcW w:w="6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Adjusted Net Income adjustments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Debt-related charges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Acquisition-related depreciation and amortization</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Share-based compensation</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Transaction and acquisition related charges</w:t>
            </w:r>
            <w:r>
              <w:rPr>
                <w:rFonts w:ascii="Times New Roman" w:hAnsi="Times New Roman"/>
                <w:color w:val="000000"/>
                <w:sz w:val="13"/>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Integration, restructuring, and other charges</w:t>
            </w:r>
            <w:r>
              <w:rPr>
                <w:rFonts w:ascii="Times New Roman" w:hAnsi="Times New Roman"/>
                <w:color w:val="000000"/>
                <w:sz w:val="13"/>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Adjusted income taxes</w:t>
            </w:r>
            <w:r>
              <w:rPr>
                <w:rFonts w:ascii="Times New Roman" w:hAnsi="Times New Roman"/>
                <w:color w:val="000000"/>
                <w:sz w:val="13"/>
              </w:rPr>
              <w:t>(f)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Adjusted Diluted Earnings Per Share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used in computation of Adjusted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number of shares outstanding—diluted (GAAP and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173,225,170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175,069,451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Represents the loss on extinguishment and non-cash interest expense associated with the amortization of debt issuance costs related to the refinancing of the Company’s First Lien Credit Facility. This adjustment also includes the impact of changes in fair value of interest rate swaps, which represents the difference between unrealized fair value gains or losses and actual cash payments and receipts on the interest rate swaps.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w:t>
      </w:r>
    </w:p>
    <w:p>
      <w:pPr>
        <w:pStyle w:val="TextBody"/>
        <w:bidi w:val="0"/>
        <w:spacing w:before="0" w:after="0"/>
        <w:jc w:val="both"/>
        <w:rPr/>
      </w:pPr>
      <w:r>
        <w:rPr>
          <w:rFonts w:ascii="Times New Roman" w:hAnsi="Times New Roman"/>
          <w:color w:val="000000"/>
          <w:sz w:val="16"/>
        </w:rPr>
        <w:t xml:space="preserve">Represents the depreciation and amortization expense related to incremental intangible and developed technology assets recorded due to the application of ASC 805, </w:t>
      </w:r>
      <w:r>
        <w:rPr>
          <w:rFonts w:ascii="Times New Roman" w:hAnsi="Times New Roman"/>
          <w:i/>
          <w:color w:val="000000"/>
          <w:sz w:val="16"/>
        </w:rPr>
        <w:t>Business Combinations</w:t>
      </w:r>
      <w:r>
        <w:rPr>
          <w:rFonts w:ascii="Times New Roman" w:hAnsi="Times New Roman"/>
          <w:color w:val="000000"/>
          <w:sz w:val="16"/>
        </w:rPr>
        <w:t>. As a result, the purchase accounting related depreciation and amortization expense will recur in future periods until the related assets are fully depreciated or amortized, and the related purchase accounting assets may contribute to revenue generation.</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(c)</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Share-based compensation for the three months ended June 30, 2026 and 2025, includes approximately $0.1 million and $1.8 million, respectively, of incrementally recognized expense associated with the May 2023 modification of the vesting terms of outstanding unvested and unearned performance-based options, restricted stock units, and restricted stock awards.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(d)</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Represents charges incurred related to acquisitions and similar transactions, primarily consisting of change in control-related costs, professional service fees, and other third-party costs. Transaction and acquisition related charges for the three months ended June 30, 2026 and 2025, include approximately $0.3 million and $2.3 million, respectively, of expense associated with the Sterling Acquisition.</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Represents charges from organizational restructuring and integration activities, non-cash, and other charges primarily related to nonrecurring legal exposures, foreign currency (gains) losses, (gains) losses on the sale of assets, and other non-recurring items. Integration, restructuring, and other charges for the three months ended June 30, 2026 and 2025, include approximately $2.2 million and $3.7 million, respectively, of expense associated with the integration of Sterling.</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(f)</w:t>
      </w:r>
    </w:p>
    <w:p>
      <w:pPr>
        <w:pStyle w:val="TextBody"/>
        <w:bidi w:val="0"/>
        <w:jc w:val="both"/>
        <w:rPr>
          <w:rFonts w:ascii="Times New Roman" w:hAnsi="Times New Roman"/>
          <w:color w:val="000000"/>
          <w:sz w:val="16"/>
        </w:rPr>
      </w:pPr>
      <w:r>
        <w:rPr>
          <w:rFonts w:ascii="Times New Roman" w:hAnsi="Times New Roman"/>
          <w:color w:val="000000"/>
          <w:sz w:val="16"/>
        </w:rPr>
        <w:t xml:space="preserve">Effective tax rates of approximately 25.9% and 25.6% have been used to compute Adjusted Net Income and Adjusted Diluted Earnings Per Share for the three months ended June 30, 2026 and 2025, respectively.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4998</Words>
  <Characters>29167</Characters>
  <CharactersWithSpaces>34355</CharactersWithSpaces>
  <Paragraphs>1678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