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620" w:hanging="3859"/>
        <w:spacing w:after="0" w:line="352"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First Advantage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10"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7"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84-3884690</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 w:lineRule="exact"/>
        <w:rPr>
          <w:sz w:val="24"/>
          <w:szCs w:val="24"/>
          <w:color w:val="auto"/>
        </w:rPr>
      </w:pPr>
    </w:p>
    <w:p>
      <w:pPr>
        <w:sectPr>
          <w:pgSz w:w="11900" w:h="16838" w:orient="portrait"/>
          <w:cols w:equalWidth="0" w:num="2">
            <w:col w:w="7220" w:space="720"/>
            <w:col w:w="3300"/>
          </w:cols>
          <w:pgMar w:left="320" w:top="868" w:right="339" w:bottom="1440" w:gutter="0" w:footer="0" w:header="0"/>
          <w:type w:val="continuous"/>
        </w:sectPr>
      </w:pPr>
    </w:p>
    <w:tbl>
      <w:tblPr>
        <w:tblLayout w:type="fixed"/>
        <w:tblInd w:w="1420" w:type="dxa"/>
        <w:tblCellMar>
          <w:top w:w="0" w:type="dxa"/>
          <w:left w:w="0" w:type="dxa"/>
          <w:bottom w:w="0" w:type="dxa"/>
          <w:right w:w="0" w:type="dxa"/>
        </w:tblCellMar>
      </w:tblPr>
      <w:tr>
        <w:trPr>
          <w:trHeight w:val="207"/>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 Concourse Parkway NE, Suite 200</w:t>
            </w:r>
          </w:p>
        </w:tc>
        <w:tc>
          <w:tcPr>
            <w:tcW w:w="2540" w:type="dxa"/>
            <w:vAlign w:val="bottom"/>
          </w:tcPr>
          <w:p>
            <w:pPr>
              <w:spacing w:after="0"/>
              <w:rPr>
                <w:sz w:val="18"/>
                <w:szCs w:val="18"/>
                <w:color w:val="auto"/>
              </w:rPr>
            </w:pPr>
          </w:p>
        </w:tc>
      </w:tr>
      <w:tr>
        <w:trPr>
          <w:trHeight w:val="216"/>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5"/>
              </w:rPr>
              <w:t>Atlanta, GA</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30328</w:t>
            </w:r>
          </w:p>
        </w:tc>
      </w:tr>
      <w:tr>
        <w:trPr>
          <w:trHeight w:val="164"/>
        </w:trPr>
        <w:tc>
          <w:tcPr>
            <w:tcW w:w="476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40" w:type="dxa"/>
            <w:vAlign w:val="bottom"/>
          </w:tcPr>
          <w:p>
            <w:pPr>
              <w:jc w:val="center"/>
              <w:ind w:left="1884"/>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6"/>
        </w:trPr>
        <w:tc>
          <w:tcPr>
            <w:tcW w:w="2020" w:type="dxa"/>
            <w:vAlign w:val="bottom"/>
          </w:tcPr>
          <w:p>
            <w:pPr>
              <w:spacing w:after="0" w:line="175" w:lineRule="exact"/>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line="175" w:lineRule="exact"/>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41"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2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 2022, the registrant had 153,236,293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44"/>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20" w:type="dxa"/>
            <w:vAlign w:val="bottom"/>
            <w:tcBorders>
              <w:top w:val="single" w:sz="8" w:color="0563C1"/>
            </w:tcBorders>
            <w:gridSpan w:val="10"/>
          </w:tcPr>
          <w:p>
            <w:pPr>
              <w:spacing w:after="0" w:line="169" w:lineRule="exact"/>
              <w:rPr>
                <w:rFonts w:ascii="Arial" w:cs="Arial" w:eastAsia="Arial" w:hAnsi="Arial"/>
                <w:sz w:val="18"/>
                <w:szCs w:val="18"/>
                <w:color w:val="0563C1"/>
                <w:w w:val="88"/>
              </w:rPr>
            </w:pPr>
            <w:hyperlink w:anchor="page3">
              <w:r>
                <w:rPr>
                  <w:rFonts w:ascii="Arial" w:cs="Arial" w:eastAsia="Arial" w:hAnsi="Arial"/>
                  <w:sz w:val="18"/>
                  <w:szCs w:val="18"/>
                  <w:color w:val="0563C1"/>
                  <w:w w:val="88"/>
                </w:rPr>
                <w:t>Condensed Consolidated Balance</w:t>
              </w:r>
            </w:hyperlink>
          </w:p>
        </w:tc>
        <w:tc>
          <w:tcPr>
            <w:tcW w:w="6880" w:type="dxa"/>
            <w:vAlign w:val="bottom"/>
            <w:gridSpan w:val="9"/>
          </w:tcPr>
          <w:p>
            <w:pPr>
              <w:ind w:left="60"/>
              <w:spacing w:after="0" w:line="169" w:lineRule="exact"/>
              <w:rPr>
                <w:rFonts w:ascii="Arial" w:cs="Arial" w:eastAsia="Arial" w:hAnsi="Arial"/>
                <w:sz w:val="18"/>
                <w:szCs w:val="18"/>
                <w:color w:val="0563C1"/>
              </w:rPr>
            </w:pPr>
            <w:hyperlink w:anchor="page3">
              <w:r>
                <w:rPr>
                  <w:rFonts w:ascii="Arial" w:cs="Arial" w:eastAsia="Arial" w:hAnsi="Arial"/>
                  <w:sz w:val="18"/>
                  <w:szCs w:val="18"/>
                  <w:color w:val="0563C1"/>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563C1"/>
            </w:tcBorders>
            <w:gridSpan w:val="11"/>
          </w:tcPr>
          <w:p>
            <w:pPr>
              <w:spacing w:after="0" w:line="169" w:lineRule="exact"/>
              <w:rPr>
                <w:rFonts w:ascii="Arial" w:cs="Arial" w:eastAsia="Arial" w:hAnsi="Arial"/>
                <w:sz w:val="18"/>
                <w:szCs w:val="18"/>
                <w:color w:val="0563C1"/>
                <w:w w:val="91"/>
              </w:rPr>
            </w:pPr>
            <w:hyperlink w:anchor="page4">
              <w:r>
                <w:rPr>
                  <w:rFonts w:ascii="Arial" w:cs="Arial" w:eastAsia="Arial" w:hAnsi="Arial"/>
                  <w:sz w:val="18"/>
                  <w:szCs w:val="18"/>
                  <w:color w:val="0563C1"/>
                  <w:w w:val="91"/>
                </w:rPr>
                <w:t>Condensed Consolidated Statements of</w:t>
              </w:r>
            </w:hyperlink>
          </w:p>
        </w:tc>
        <w:tc>
          <w:tcPr>
            <w:tcW w:w="6360" w:type="dxa"/>
            <w:vAlign w:val="bottom"/>
            <w:gridSpan w:val="8"/>
          </w:tcPr>
          <w:p>
            <w:pPr>
              <w:spacing w:after="0" w:line="169" w:lineRule="exact"/>
              <w:rPr>
                <w:rFonts w:ascii="Arial" w:cs="Arial" w:eastAsia="Arial" w:hAnsi="Arial"/>
                <w:sz w:val="18"/>
                <w:szCs w:val="18"/>
                <w:color w:val="0563C1"/>
              </w:rPr>
            </w:pPr>
            <w:hyperlink w:anchor="page4">
              <w:r>
                <w:rPr>
                  <w:rFonts w:ascii="Arial" w:cs="Arial" w:eastAsia="Arial" w:hAnsi="Arial"/>
                  <w:sz w:val="18"/>
                  <w:szCs w:val="18"/>
                  <w:color w:val="0563C1"/>
                </w:rPr>
                <w:t xml:space="preserve">Operations </w:t>
              </w:r>
            </w:hyperlink>
            <w:r>
              <w:rPr>
                <w:rFonts w:ascii="Arial" w:cs="Arial" w:eastAsia="Arial" w:hAnsi="Arial"/>
                <w:sz w:val="18"/>
                <w:szCs w:val="18"/>
                <w:color w:val="0563C1"/>
              </w:rPr>
              <w:t>and Comprehensive Income (Loss)</w:t>
            </w: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tcBorders>
              <w:top w:val="single" w:sz="8" w:color="0563C1"/>
              <w:bottom w:val="single" w:sz="8" w:color="0563C1"/>
            </w:tcBorders>
            <w:gridSpan w:val="12"/>
          </w:tcPr>
          <w:p>
            <w:pPr>
              <w:spacing w:after="0" w:line="169" w:lineRule="exact"/>
              <w:rPr>
                <w:rFonts w:ascii="Arial" w:cs="Arial" w:eastAsia="Arial" w:hAnsi="Arial"/>
                <w:sz w:val="18"/>
                <w:szCs w:val="18"/>
                <w:color w:val="0563C1"/>
                <w:w w:val="88"/>
              </w:rPr>
            </w:pPr>
            <w:hyperlink w:anchor="page5">
              <w:r>
                <w:rPr>
                  <w:rFonts w:ascii="Arial" w:cs="Arial" w:eastAsia="Arial" w:hAnsi="Arial"/>
                  <w:sz w:val="18"/>
                  <w:szCs w:val="18"/>
                  <w:color w:val="0563C1"/>
                  <w:w w:val="88"/>
                </w:rPr>
                <w:t>Condensed Consolidated Statements of Cash Flows</w:t>
              </w:r>
            </w:hyperlink>
          </w:p>
        </w:tc>
        <w:tc>
          <w:tcPr>
            <w:tcW w:w="64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420" w:type="dxa"/>
            <w:vAlign w:val="bottom"/>
            <w:tcBorders>
              <w:top w:val="single" w:sz="8" w:color="0563C1"/>
            </w:tcBorders>
          </w:tcPr>
          <w:p>
            <w:pPr>
              <w:spacing w:after="0"/>
              <w:rPr>
                <w:sz w:val="14"/>
                <w:szCs w:val="14"/>
                <w:color w:val="auto"/>
              </w:rPr>
            </w:pPr>
          </w:p>
        </w:tc>
        <w:tc>
          <w:tcPr>
            <w:tcW w:w="460" w:type="dxa"/>
            <w:vAlign w:val="bottom"/>
            <w:tcBorders>
              <w:top w:val="single" w:sz="8" w:color="0563C1"/>
            </w:tcBorders>
          </w:tcPr>
          <w:p>
            <w:pPr>
              <w:spacing w:after="0"/>
              <w:rPr>
                <w:sz w:val="14"/>
                <w:szCs w:val="14"/>
                <w:color w:val="auto"/>
              </w:rPr>
            </w:pPr>
          </w:p>
        </w:tc>
        <w:tc>
          <w:tcPr>
            <w:tcW w:w="980" w:type="dxa"/>
            <w:vAlign w:val="bottom"/>
            <w:tcBorders>
              <w:top w:val="single" w:sz="8" w:color="0563C1"/>
            </w:tcBorders>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20" w:type="dxa"/>
            <w:vAlign w:val="bottom"/>
            <w:gridSpan w:val="12"/>
          </w:tcPr>
          <w:p>
            <w:pPr>
              <w:spacing w:after="0" w:line="169" w:lineRule="exact"/>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Changes in</w:t>
              </w:r>
            </w:hyperlink>
          </w:p>
        </w:tc>
        <w:tc>
          <w:tcPr>
            <w:tcW w:w="5580" w:type="dxa"/>
            <w:vAlign w:val="bottom"/>
            <w:gridSpan w:val="7"/>
          </w:tcPr>
          <w:p>
            <w:pPr>
              <w:spacing w:after="0" w:line="169" w:lineRule="exact"/>
              <w:rPr>
                <w:rFonts w:ascii="Arial" w:cs="Arial" w:eastAsia="Arial" w:hAnsi="Arial"/>
                <w:sz w:val="18"/>
                <w:szCs w:val="18"/>
                <w:color w:val="0563C1"/>
              </w:rPr>
            </w:pPr>
            <w:hyperlink w:anchor="page6">
              <w:r>
                <w:rPr>
                  <w:rFonts w:ascii="Arial" w:cs="Arial" w:eastAsia="Arial" w:hAnsi="Arial"/>
                  <w:sz w:val="18"/>
                  <w:szCs w:val="18"/>
                  <w:color w:val="0563C1"/>
                </w:rPr>
                <w:t>Stockholders’ Equity</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Borders>
              <w:top w:val="single" w:sz="8" w:color="0563C1"/>
              <w:bottom w:val="single" w:sz="8" w:color="0563C1"/>
            </w:tcBorders>
            <w:gridSpan w:val="15"/>
          </w:tcPr>
          <w:p>
            <w:pPr>
              <w:spacing w:after="0" w:line="169" w:lineRule="exact"/>
              <w:rPr>
                <w:rFonts w:ascii="Arial" w:cs="Arial" w:eastAsia="Arial" w:hAnsi="Arial"/>
                <w:sz w:val="18"/>
                <w:szCs w:val="18"/>
                <w:color w:val="0563C1"/>
                <w:w w:val="89"/>
              </w:rPr>
            </w:pPr>
            <w:hyperlink w:anchor="page7">
              <w:r>
                <w:rPr>
                  <w:rFonts w:ascii="Arial" w:cs="Arial" w:eastAsia="Arial" w:hAnsi="Arial"/>
                  <w:sz w:val="18"/>
                  <w:szCs w:val="18"/>
                  <w:color w:val="0563C1"/>
                  <w:w w:val="89"/>
                </w:rPr>
                <w:t>Notes to Unaudited Condensed Consolidated Financial Statements</w:t>
              </w:r>
            </w:hyperlink>
          </w:p>
        </w:tc>
        <w:tc>
          <w:tcPr>
            <w:tcW w:w="460" w:type="dxa"/>
            <w:vAlign w:val="bottom"/>
            <w:tcBorders>
              <w:top w:val="single" w:sz="8" w:color="0563C1"/>
            </w:tcBorders>
          </w:tcPr>
          <w:p>
            <w:pPr>
              <w:spacing w:after="0"/>
              <w:rPr>
                <w:sz w:val="14"/>
                <w:szCs w:val="14"/>
                <w:color w:val="auto"/>
              </w:rPr>
            </w:pPr>
          </w:p>
        </w:tc>
        <w:tc>
          <w:tcPr>
            <w:tcW w:w="1200" w:type="dxa"/>
            <w:vAlign w:val="bottom"/>
            <w:gridSpan w:val="2"/>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line="169" w:lineRule="exact"/>
              <w:rPr>
                <w:rFonts w:ascii="Arial" w:cs="Arial" w:eastAsia="Arial" w:hAnsi="Arial"/>
                <w:sz w:val="18"/>
                <w:szCs w:val="18"/>
                <w:color w:val="0563C1"/>
              </w:rPr>
            </w:pPr>
            <w:hyperlink w:anchor="page25">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45">
              <w:r>
                <w:rPr>
                  <w:rFonts w:ascii="Arial" w:cs="Arial" w:eastAsia="Arial" w:hAnsi="Arial"/>
                  <w:sz w:val="18"/>
                  <w:szCs w:val="18"/>
                  <w:color w:val="0563C1"/>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69" w:lineRule="exact"/>
              <w:rPr>
                <w:rFonts w:ascii="Arial" w:cs="Arial" w:eastAsia="Arial" w:hAnsi="Arial"/>
                <w:sz w:val="18"/>
                <w:szCs w:val="18"/>
                <w:color w:val="0563C1"/>
                <w:w w:val="88"/>
              </w:rPr>
            </w:pPr>
            <w:hyperlink w:anchor="page45">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8"/>
          </w:tcPr>
          <w:p>
            <w:pPr>
              <w:spacing w:after="0"/>
              <w:rPr>
                <w:sz w:val="14"/>
                <w:szCs w:val="14"/>
                <w:color w:val="auto"/>
              </w:rPr>
            </w:pPr>
          </w:p>
        </w:tc>
        <w:tc>
          <w:tcPr>
            <w:tcW w:w="492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rFonts w:ascii="Arial" w:cs="Arial" w:eastAsia="Arial" w:hAnsi="Arial"/>
                <w:sz w:val="18"/>
                <w:szCs w:val="18"/>
                <w:color w:val="0563C1"/>
                <w:w w:val="96"/>
              </w:rPr>
            </w:pPr>
            <w:hyperlink w:anchor="page46">
              <w:r>
                <w:rPr>
                  <w:rFonts w:ascii="Arial" w:cs="Arial" w:eastAsia="Arial" w:hAnsi="Arial"/>
                  <w:sz w:val="18"/>
                  <w:szCs w:val="18"/>
                  <w:color w:val="0563C1"/>
                  <w:w w:val="96"/>
                </w:rPr>
                <w:t>OTHER INFORMATION</w:t>
              </w:r>
            </w:hyperlink>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563C1"/>
              </w:rPr>
            </w:pPr>
            <w:hyperlink w:anchor="page46">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46">
              <w:r>
                <w:rPr>
                  <w:rFonts w:ascii="Arial" w:cs="Arial" w:eastAsia="Arial" w:hAnsi="Arial"/>
                  <w:sz w:val="18"/>
                  <w:szCs w:val="18"/>
                  <w:color w:val="0563C1"/>
                </w:rPr>
                <w:t>Risk Factors</w:t>
              </w:r>
            </w:hyperlink>
          </w:p>
        </w:tc>
        <w:tc>
          <w:tcPr>
            <w:tcW w:w="1000" w:type="dxa"/>
            <w:vAlign w:val="bottom"/>
            <w:gridSpan w:val="5"/>
          </w:tcPr>
          <w:p>
            <w:pPr>
              <w:spacing w:after="0"/>
              <w:rPr>
                <w:sz w:val="14"/>
                <w:szCs w:val="14"/>
                <w:color w:val="auto"/>
              </w:rPr>
            </w:pPr>
          </w:p>
        </w:tc>
        <w:tc>
          <w:tcPr>
            <w:tcW w:w="2020" w:type="dxa"/>
            <w:vAlign w:val="bottom"/>
            <w:gridSpan w:val="4"/>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69" w:lineRule="exact"/>
              <w:rPr>
                <w:rFonts w:ascii="Arial" w:cs="Arial" w:eastAsia="Arial" w:hAnsi="Arial"/>
                <w:sz w:val="18"/>
                <w:szCs w:val="18"/>
                <w:color w:val="0563C1"/>
                <w:w w:val="87"/>
              </w:rPr>
            </w:pPr>
            <w:hyperlink w:anchor="page46">
              <w:r>
                <w:rPr>
                  <w:rFonts w:ascii="Arial" w:cs="Arial" w:eastAsia="Arial" w:hAnsi="Arial"/>
                  <w:sz w:val="18"/>
                  <w:szCs w:val="18"/>
                  <w:color w:val="0563C1"/>
                  <w:w w:val="87"/>
                </w:rPr>
                <w:t>Unregistered</w:t>
              </w:r>
            </w:hyperlink>
          </w:p>
        </w:tc>
        <w:tc>
          <w:tcPr>
            <w:tcW w:w="8380" w:type="dxa"/>
            <w:vAlign w:val="bottom"/>
            <w:gridSpan w:val="17"/>
          </w:tcPr>
          <w:p>
            <w:pPr>
              <w:ind w:left="60"/>
              <w:spacing w:after="0" w:line="169" w:lineRule="exact"/>
              <w:rPr>
                <w:rFonts w:ascii="Arial" w:cs="Arial" w:eastAsia="Arial" w:hAnsi="Arial"/>
                <w:sz w:val="18"/>
                <w:szCs w:val="18"/>
                <w:color w:val="0563C1"/>
              </w:rPr>
            </w:pPr>
            <w:hyperlink w:anchor="page46">
              <w:r>
                <w:rPr>
                  <w:rFonts w:ascii="Arial" w:cs="Arial" w:eastAsia="Arial" w:hAnsi="Arial"/>
                  <w:sz w:val="18"/>
                  <w:szCs w:val="18"/>
                  <w:color w:val="0563C1"/>
                </w:rPr>
                <w:t>Sales of Equity Securities and Use of Proceeds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3"/>
          </w:tcPr>
          <w:p>
            <w:pPr>
              <w:spacing w:after="0" w:line="169" w:lineRule="exact"/>
              <w:rPr>
                <w:rFonts w:ascii="Arial" w:cs="Arial" w:eastAsia="Arial" w:hAnsi="Arial"/>
                <w:sz w:val="18"/>
                <w:szCs w:val="18"/>
                <w:color w:val="0563C1"/>
              </w:rPr>
            </w:pPr>
            <w:hyperlink w:anchor="page46">
              <w:r>
                <w:rPr>
                  <w:rFonts w:ascii="Arial" w:cs="Arial" w:eastAsia="Arial" w:hAnsi="Arial"/>
                  <w:sz w:val="18"/>
                  <w:szCs w:val="18"/>
                  <w:color w:val="0563C1"/>
                </w:rPr>
                <w:t>Defaults Upon Senior Securities</w:t>
              </w:r>
            </w:hyperlink>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9"/>
          </w:tcPr>
          <w:p>
            <w:pPr>
              <w:spacing w:after="0" w:line="169" w:lineRule="exact"/>
              <w:rPr>
                <w:rFonts w:ascii="Arial" w:cs="Arial" w:eastAsia="Arial" w:hAnsi="Arial"/>
                <w:sz w:val="18"/>
                <w:szCs w:val="18"/>
                <w:color w:val="0563C1"/>
              </w:rPr>
            </w:pPr>
            <w:hyperlink w:anchor="page46">
              <w:r>
                <w:rPr>
                  <w:rFonts w:ascii="Arial" w:cs="Arial" w:eastAsia="Arial" w:hAnsi="Arial"/>
                  <w:sz w:val="18"/>
                  <w:szCs w:val="18"/>
                  <w:color w:val="0563C1"/>
                </w:rPr>
                <w:t>Mine Safety Disclosures</w:t>
              </w:r>
            </w:hyperlink>
          </w:p>
        </w:tc>
        <w:tc>
          <w:tcPr>
            <w:tcW w:w="696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46">
              <w:r>
                <w:rPr>
                  <w:rFonts w:ascii="Arial" w:cs="Arial" w:eastAsia="Arial" w:hAnsi="Arial"/>
                  <w:sz w:val="18"/>
                  <w:szCs w:val="18"/>
                  <w:color w:val="0563C1"/>
                </w:rPr>
                <w:t>Other Information</w:t>
              </w:r>
            </w:hyperlink>
          </w:p>
        </w:tc>
        <w:tc>
          <w:tcPr>
            <w:tcW w:w="7520" w:type="dxa"/>
            <w:vAlign w:val="bottom"/>
            <w:gridSpan w:val="1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69" w:lineRule="exact"/>
              <w:rPr>
                <w:rFonts w:ascii="Arial" w:cs="Arial" w:eastAsia="Arial" w:hAnsi="Arial"/>
                <w:sz w:val="18"/>
                <w:szCs w:val="18"/>
                <w:color w:val="0563C1"/>
              </w:rPr>
            </w:pPr>
            <w:hyperlink w:anchor="page47">
              <w:r>
                <w:rPr>
                  <w:rFonts w:ascii="Arial" w:cs="Arial" w:eastAsia="Arial" w:hAnsi="Arial"/>
                  <w:sz w:val="18"/>
                  <w:szCs w:val="18"/>
                  <w:color w:val="0563C1"/>
                </w:rPr>
                <w:t>Exhibits</w:t>
              </w:r>
            </w:hyperlink>
          </w:p>
        </w:tc>
        <w:tc>
          <w:tcPr>
            <w:tcW w:w="7980" w:type="dxa"/>
            <w:vAlign w:val="bottom"/>
            <w:gridSpan w:val="1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rFonts w:ascii="Arial" w:cs="Arial" w:eastAsia="Arial" w:hAnsi="Arial"/>
                <w:sz w:val="18"/>
                <w:szCs w:val="18"/>
                <w:color w:val="0563C1"/>
              </w:rPr>
            </w:pPr>
            <w:hyperlink w:anchor="page48">
              <w:r>
                <w:rPr>
                  <w:rFonts w:ascii="Arial" w:cs="Arial" w:eastAsia="Arial" w:hAnsi="Arial"/>
                  <w:sz w:val="18"/>
                  <w:szCs w:val="18"/>
                  <w:color w:val="0563C1"/>
                </w:rPr>
                <w:t>Signatures</w:t>
              </w:r>
            </w:hyperlink>
          </w:p>
        </w:tc>
        <w:tc>
          <w:tcPr>
            <w:tcW w:w="600" w:type="dxa"/>
            <w:vAlign w:val="bottom"/>
            <w:tcBorders>
              <w:top w:val="single" w:sz="8" w:color="0563C1"/>
            </w:tcBorders>
            <w:vMerge w:val="restart"/>
          </w:tcPr>
          <w:p>
            <w:pPr>
              <w:spacing w:after="0"/>
              <w:rPr>
                <w:sz w:val="14"/>
                <w:szCs w:val="14"/>
                <w:color w:val="auto"/>
              </w:rPr>
            </w:pPr>
          </w:p>
        </w:tc>
        <w:tc>
          <w:tcPr>
            <w:tcW w:w="4200" w:type="dxa"/>
            <w:vAlign w:val="bottom"/>
            <w:gridSpan w:val="14"/>
            <w:vMerge w:val="restart"/>
          </w:tcPr>
          <w:p>
            <w:pPr>
              <w:jc w:val="right"/>
              <w:ind w:right="3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563C1"/>
            </w:tcBorders>
            <w:vMerge w:val="continue"/>
          </w:tcPr>
          <w:p>
            <w:pPr>
              <w:spacing w:after="0"/>
              <w:rPr>
                <w:sz w:val="24"/>
                <w:szCs w:val="24"/>
                <w:color w:val="auto"/>
              </w:rPr>
            </w:pPr>
          </w:p>
        </w:tc>
        <w:tc>
          <w:tcPr>
            <w:tcW w:w="4200" w:type="dxa"/>
            <w:vAlign w:val="bottom"/>
            <w:gridSpan w:val="14"/>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ind w:left="5180"/>
        <w:spacing w:after="0"/>
        <w:rPr>
          <w:sz w:val="20"/>
          <w:szCs w:val="20"/>
          <w:color w:val="auto"/>
        </w:rPr>
      </w:pPr>
      <w:r>
        <w:rPr>
          <w:rFonts w:ascii="Arial" w:cs="Arial" w:eastAsia="Arial" w:hAnsi="Arial"/>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352,251</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292,642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904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4"/>
              </w:rPr>
              <w:t>Accounts receivable (net of allowance for doubtful accounts of $1,128 and $1,258 at June 30, 2022</w:t>
            </w:r>
          </w:p>
        </w:tc>
        <w:tc>
          <w:tcPr>
            <w:tcW w:w="260" w:type="dxa"/>
            <w:vAlign w:val="bottom"/>
          </w:tcPr>
          <w:p>
            <w:pPr>
              <w:spacing w:after="0"/>
              <w:rPr>
                <w:sz w:val="14"/>
                <w:szCs w:val="14"/>
                <w:color w:val="auto"/>
              </w:rPr>
            </w:pPr>
          </w:p>
        </w:tc>
        <w:tc>
          <w:tcPr>
            <w:tcW w:w="1460" w:type="dxa"/>
            <w:vAlign w:val="bottom"/>
            <w:vMerge w:val="restart"/>
          </w:tcPr>
          <w:p>
            <w:pPr>
              <w:jc w:val="right"/>
              <w:ind w:right="51"/>
              <w:spacing w:after="0"/>
              <w:rPr>
                <w:sz w:val="20"/>
                <w:szCs w:val="20"/>
                <w:color w:val="auto"/>
              </w:rPr>
            </w:pPr>
            <w:r>
              <w:rPr>
                <w:rFonts w:ascii="Arial" w:cs="Arial" w:eastAsia="Arial" w:hAnsi="Arial"/>
                <w:sz w:val="18"/>
                <w:szCs w:val="18"/>
                <w:color w:val="auto"/>
              </w:rPr>
              <w:t>144,376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ind w:right="31"/>
              <w:spacing w:after="0"/>
              <w:rPr>
                <w:sz w:val="20"/>
                <w:szCs w:val="20"/>
                <w:color w:val="auto"/>
              </w:rPr>
            </w:pPr>
            <w:r>
              <w:rPr>
                <w:rFonts w:ascii="Arial" w:cs="Arial" w:eastAsia="Arial" w:hAnsi="Arial"/>
                <w:sz w:val="18"/>
                <w:szCs w:val="18"/>
                <w:color w:val="auto"/>
              </w:rPr>
              <w:t>155,772</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and December 31, 2021, respectively)</w:t>
            </w: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23,368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14,365</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1,608</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522,736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466,160</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136,536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154,309</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796,556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793,892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Trade name, net</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75,235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79,585</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lists, net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357,697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384,766</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tax asset, net</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1,719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20,698</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1,911,177</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1,886,581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49,534</w:t>
            </w:r>
          </w:p>
        </w:tc>
        <w:tc>
          <w:tcPr>
            <w:tcW w:w="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53,977</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24,750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30,054</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17,779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operating lease liability</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6,070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2,608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697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101,438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109,306</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Long-term debt (net of deferred financing costs of $8,985 and $9,879 at June 30, 2022 and</w:t>
            </w:r>
          </w:p>
        </w:tc>
        <w:tc>
          <w:tcPr>
            <w:tcW w:w="260" w:type="dxa"/>
            <w:vAlign w:val="bottom"/>
          </w:tcPr>
          <w:p>
            <w:pPr>
              <w:spacing w:after="0"/>
              <w:rPr>
                <w:sz w:val="14"/>
                <w:szCs w:val="14"/>
                <w:color w:val="auto"/>
              </w:rPr>
            </w:pPr>
          </w:p>
        </w:tc>
        <w:tc>
          <w:tcPr>
            <w:tcW w:w="1460" w:type="dxa"/>
            <w:vAlign w:val="bottom"/>
            <w:vMerge w:val="restart"/>
          </w:tcPr>
          <w:p>
            <w:pPr>
              <w:jc w:val="right"/>
              <w:ind w:right="51"/>
              <w:spacing w:after="0"/>
              <w:rPr>
                <w:sz w:val="20"/>
                <w:szCs w:val="20"/>
                <w:color w:val="auto"/>
              </w:rPr>
            </w:pPr>
            <w:r>
              <w:rPr>
                <w:rFonts w:ascii="Arial" w:cs="Arial" w:eastAsia="Arial" w:hAnsi="Arial"/>
                <w:sz w:val="18"/>
                <w:szCs w:val="18"/>
                <w:color w:val="auto"/>
              </w:rPr>
              <w:t>555,739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vMerge w:val="restart"/>
          </w:tcPr>
          <w:p>
            <w:pPr>
              <w:jc w:val="right"/>
              <w:ind w:right="31"/>
              <w:spacing w:after="0"/>
              <w:rPr>
                <w:sz w:val="20"/>
                <w:szCs w:val="20"/>
                <w:color w:val="auto"/>
              </w:rPr>
            </w:pPr>
            <w:r>
              <w:rPr>
                <w:rFonts w:ascii="Arial" w:cs="Arial" w:eastAsia="Arial" w:hAnsi="Arial"/>
                <w:sz w:val="18"/>
                <w:szCs w:val="18"/>
                <w:color w:val="auto"/>
              </w:rPr>
              <w:t>554,845</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December 31, 2021, respectively)</w:t>
            </w: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liability, net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87,757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84,653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liability, less current portion</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11,514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3,104</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7"/>
                <w:szCs w:val="17"/>
                <w:color w:val="auto"/>
              </w:rPr>
            </w:pPr>
          </w:p>
        </w:tc>
        <w:tc>
          <w:tcPr>
            <w:tcW w:w="1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759,552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754,343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 $0.001 par value; 1,000,000,000 shares authorized, 153,125,085 and</w:t>
            </w:r>
          </w:p>
        </w:tc>
        <w:tc>
          <w:tcPr>
            <w:tcW w:w="26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152,901,040 shares issued and outstanding as of June 30, 2022 and December 31, 2021, respectively</w:t>
            </w:r>
          </w:p>
        </w:tc>
        <w:tc>
          <w:tcPr>
            <w:tcW w:w="26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7"/>
                <w:szCs w:val="17"/>
                <w:color w:val="auto"/>
              </w:rPr>
            </w:pPr>
          </w:p>
        </w:tc>
        <w:tc>
          <w:tcPr>
            <w:tcW w:w="14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1,170,137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1,165,163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(4,192 )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(31,441 )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(14,473 )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(1,637 )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1,151,625</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1,911,177</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1,886,581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-3270885</wp:posOffset>
            </wp:positionV>
            <wp:extent cx="1117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-1316355</wp:posOffset>
            </wp:positionV>
            <wp:extent cx="11176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201,561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174,826</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391,442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306,896</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0"/>
              <w:spacing w:after="0" w:line="162" w:lineRule="exact"/>
              <w:rPr>
                <w:sz w:val="20"/>
                <w:szCs w:val="20"/>
                <w:color w:val="auto"/>
              </w:rPr>
            </w:pPr>
            <w:r>
              <w:rPr>
                <w:rFonts w:ascii="Arial" w:cs="Arial" w:eastAsia="Arial" w:hAnsi="Arial"/>
                <w:sz w:val="18"/>
                <w:szCs w:val="18"/>
                <w:color w:val="auto"/>
              </w:rPr>
              <w:t>Cost of services (exclusive of depreciation and</w:t>
            </w:r>
          </w:p>
        </w:tc>
        <w:tc>
          <w:tcPr>
            <w:tcW w:w="300" w:type="dxa"/>
            <w:vAlign w:val="bottom"/>
          </w:tcPr>
          <w:p>
            <w:pPr>
              <w:spacing w:after="0"/>
              <w:rPr>
                <w:sz w:val="14"/>
                <w:szCs w:val="14"/>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100,292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8"/>
                <w:szCs w:val="18"/>
                <w:color w:val="auto"/>
              </w:rPr>
              <w:t>84,868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196,723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150,813</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amortization below)</w:t>
            </w: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and technology expense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12,946</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11,680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26,719</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22,233</w:t>
            </w:r>
          </w:p>
        </w:tc>
        <w:tc>
          <w:tcPr>
            <w:tcW w:w="0" w:type="dxa"/>
            <w:vAlign w:val="bottom"/>
          </w:tcPr>
          <w:p>
            <w:pPr>
              <w:spacing w:after="0"/>
              <w:rPr>
                <w:sz w:val="1"/>
                <w:szCs w:val="1"/>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31,136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25,075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59,681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49,053</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34,407</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35,918</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68,441</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70,681</w:t>
            </w:r>
          </w:p>
        </w:tc>
        <w:tc>
          <w:tcPr>
            <w:tcW w:w="0" w:type="dxa"/>
            <w:vAlign w:val="bottom"/>
          </w:tcPr>
          <w:p>
            <w:pPr>
              <w:spacing w:after="0"/>
              <w:rPr>
                <w:sz w:val="1"/>
                <w:szCs w:val="1"/>
                <w:color w:val="auto"/>
              </w:rPr>
            </w:pPr>
          </w:p>
        </w:tc>
      </w:tr>
      <w:tr>
        <w:trPr>
          <w:trHeight w:val="196"/>
        </w:trPr>
        <w:tc>
          <w:tcPr>
            <w:tcW w:w="490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178,781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157,541</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351,564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292,780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22,780</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17,285</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39,878</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10,452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2,262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17,169</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13,938</w:t>
            </w:r>
          </w:p>
        </w:tc>
        <w:tc>
          <w:tcPr>
            <w:tcW w:w="0" w:type="dxa"/>
            <w:vAlign w:val="bottom"/>
          </w:tcPr>
          <w:p>
            <w:pPr>
              <w:spacing w:after="0"/>
              <w:rPr>
                <w:sz w:val="1"/>
                <w:szCs w:val="1"/>
                <w:color w:val="auto"/>
              </w:rPr>
            </w:pPr>
          </w:p>
        </w:tc>
      </w:tr>
      <w:tr>
        <w:trPr>
          <w:trHeight w:val="196"/>
        </w:trPr>
        <w:tc>
          <w:tcPr>
            <w:tcW w:w="4900" w:type="dxa"/>
            <w:vAlign w:val="bottom"/>
          </w:tcPr>
          <w:p>
            <w:pPr>
              <w:ind w:left="380"/>
              <w:spacing w:after="0" w:line="196" w:lineRule="exact"/>
              <w:rPr>
                <w:sz w:val="20"/>
                <w:szCs w:val="20"/>
                <w:color w:val="auto"/>
              </w:rPr>
            </w:pPr>
            <w:r>
              <w:rPr>
                <w:rFonts w:ascii="Arial" w:cs="Arial" w:eastAsia="Arial" w:hAnsi="Arial"/>
                <w:sz w:val="18"/>
                <w:szCs w:val="18"/>
                <w:color w:val="auto"/>
              </w:rPr>
              <w:t>Total other expense (income)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3,112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10,452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2,262</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31,107</w:t>
            </w:r>
          </w:p>
        </w:tc>
        <w:tc>
          <w:tcPr>
            <w:tcW w:w="0" w:type="dxa"/>
            <w:vAlign w:val="bottom"/>
          </w:tcPr>
          <w:p>
            <w:pPr>
              <w:spacing w:after="0"/>
              <w:rPr>
                <w:sz w:val="1"/>
                <w:szCs w:val="1"/>
                <w:color w:val="auto"/>
              </w:rPr>
            </w:pPr>
          </w:p>
        </w:tc>
      </w:tr>
      <w:tr>
        <w:trPr>
          <w:trHeight w:val="156"/>
        </w:trPr>
        <w:tc>
          <w:tcPr>
            <w:tcW w:w="49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INCOME (LOSS) BEFORE PROVISION FOR INCOME</w:t>
            </w:r>
          </w:p>
        </w:tc>
        <w:tc>
          <w:tcPr>
            <w:tcW w:w="30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19,668</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6,833</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37,616</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(16,991 )</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5,432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3,063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10,367</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(1,372 )</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14,236</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3,770</w:t>
            </w: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27,249</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(15,619 )</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(loss) income</w:t>
            </w: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(11,319 )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(1,295 )</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(12,836 )</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2,917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2,475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14,413</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(14,154 )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NET INCOME (LOSS)</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14,236</w:t>
            </w:r>
          </w:p>
        </w:tc>
        <w:tc>
          <w:tcPr>
            <w:tcW w:w="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3,770</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27,249</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(15,619 )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net income (loss) per share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0.18</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150,748,211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131,507,005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150,644,034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130,757,666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152,360,350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135,368,909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152,361,788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130,757,666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-2680335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-2680335</wp:posOffset>
            </wp:positionV>
            <wp:extent cx="603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-2680335</wp:posOffset>
            </wp:positionV>
            <wp:extent cx="10287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-2406015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-2406015</wp:posOffset>
            </wp:positionV>
            <wp:extent cx="603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-2406015</wp:posOffset>
            </wp:positionV>
            <wp:extent cx="10287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-1882775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-1882775</wp:posOffset>
            </wp:positionV>
            <wp:extent cx="603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-1882775</wp:posOffset>
            </wp:positionV>
            <wp:extent cx="1028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-1234440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-1217295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-1234440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-1217295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-1234440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-1217295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-948690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-948690</wp:posOffset>
            </wp:positionV>
            <wp:extent cx="603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-948690</wp:posOffset>
            </wp:positionV>
            <wp:extent cx="1028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4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19"/>
              <w:spacing w:after="0"/>
              <w:rPr>
                <w:sz w:val="20"/>
                <w:szCs w:val="20"/>
                <w:color w:val="auto"/>
              </w:rPr>
            </w:pPr>
            <w:r>
              <w:rPr>
                <w:rFonts w:ascii="Arial" w:cs="Arial" w:eastAsia="Arial" w:hAnsi="Arial"/>
                <w:sz w:val="13"/>
                <w:szCs w:val="13"/>
                <w:b w:val="1"/>
                <w:bCs w:val="1"/>
                <w:color w:val="auto"/>
                <w:w w:val="96"/>
              </w:rPr>
              <w:t>2021</w:t>
            </w:r>
          </w:p>
        </w:tc>
        <w:tc>
          <w:tcPr>
            <w:tcW w:w="0" w:type="dxa"/>
            <w:vAlign w:val="bottom"/>
          </w:tcPr>
          <w:p>
            <w:pPr>
              <w:spacing w:after="0"/>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27,249</w:t>
            </w:r>
          </w:p>
        </w:tc>
        <w:tc>
          <w:tcPr>
            <w:tcW w:w="1040" w:type="dxa"/>
            <w:vAlign w:val="bottom"/>
            <w:gridSpan w:val="2"/>
          </w:tcPr>
          <w:p>
            <w:pPr>
              <w:jc w:val="right"/>
              <w:ind w:right="684"/>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(15,619 )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68,441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70,681</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debt</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13,938</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894</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5,059</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Bad debt (recovery)</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3,773</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(5,975 )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3,802</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Loss (gain) on foreign currency exchange rates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162</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Change in fair value of interest rate swaps</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(7,378 )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(953 )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11,199</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(16,895 )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(3,686 )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(2,748 )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compensation and accrued liabilities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(8,780 )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557</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89"/>
        </w:trPr>
        <w:tc>
          <w:tcPr>
            <w:tcW w:w="7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 receivable and payable, net</w:t>
            </w:r>
          </w:p>
        </w:tc>
        <w:tc>
          <w:tcPr>
            <w:tcW w:w="4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154</w:t>
            </w:r>
          </w:p>
        </w:tc>
        <w:tc>
          <w:tcPr>
            <w:tcW w:w="2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183"/>
        </w:trPr>
        <w:tc>
          <w:tcPr>
            <w:tcW w:w="7100" w:type="dxa"/>
            <w:vAlign w:val="bottom"/>
          </w:tcPr>
          <w:p>
            <w:pPr>
              <w:ind w:left="3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96,412</w:t>
            </w:r>
          </w:p>
        </w:tc>
        <w:tc>
          <w:tcPr>
            <w:tcW w:w="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56,098</w:t>
            </w:r>
          </w:p>
        </w:tc>
        <w:tc>
          <w:tcPr>
            <w:tcW w:w="0" w:type="dxa"/>
            <w:vAlign w:val="bottom"/>
          </w:tcPr>
          <w:p>
            <w:pPr>
              <w:spacing w:after="0"/>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Changes in short-term investments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(19,044 )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(7,588 )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(5,165 )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(3,841 )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(10,236 )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(7,482 )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Proceeds from disposal of property and equipment</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1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(34,363 )</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(19,003 )</w:t>
            </w:r>
          </w:p>
        </w:tc>
        <w:tc>
          <w:tcPr>
            <w:tcW w:w="0" w:type="dxa"/>
            <w:vAlign w:val="bottom"/>
          </w:tcPr>
          <w:p>
            <w:pPr>
              <w:spacing w:after="0"/>
              <w:rPr>
                <w:sz w:val="1"/>
                <w:szCs w:val="1"/>
                <w:color w:val="auto"/>
              </w:rPr>
            </w:pPr>
          </w:p>
        </w:tc>
      </w:tr>
      <w:tr>
        <w:trPr>
          <w:trHeight w:val="183"/>
        </w:trPr>
        <w:tc>
          <w:tcPr>
            <w:tcW w:w="71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1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7"/>
              </w:rPr>
              <w:t>Proceeds from issuance of common stock in initial public offering, net of underwriting discounts and</w:t>
            </w:r>
          </w:p>
        </w:tc>
        <w:tc>
          <w:tcPr>
            <w:tcW w:w="42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320,559</w:t>
            </w:r>
          </w:p>
        </w:tc>
        <w:tc>
          <w:tcPr>
            <w:tcW w:w="0" w:type="dxa"/>
            <w:vAlign w:val="bottom"/>
          </w:tcPr>
          <w:p>
            <w:pPr>
              <w:spacing w:after="0"/>
              <w:rPr>
                <w:sz w:val="1"/>
                <w:szCs w:val="1"/>
                <w:color w:val="auto"/>
              </w:rPr>
            </w:pPr>
          </w:p>
        </w:tc>
      </w:tr>
      <w:tr>
        <w:trPr>
          <w:trHeight w:val="19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commissions</w:t>
            </w:r>
          </w:p>
        </w:tc>
        <w:tc>
          <w:tcPr>
            <w:tcW w:w="420" w:type="dxa"/>
            <w:vAlign w:val="bottom"/>
            <w:shd w:val="clear" w:color="auto" w:fill="CFF0FC"/>
          </w:tcPr>
          <w:p>
            <w:pPr>
              <w:spacing w:after="0"/>
              <w:rPr>
                <w:sz w:val="17"/>
                <w:szCs w:val="17"/>
                <w:color w:val="auto"/>
              </w:rPr>
            </w:pPr>
          </w:p>
        </w:tc>
        <w:tc>
          <w:tcPr>
            <w:tcW w:w="13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3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Payments of initial public offering issuance costs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(1,028 )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Shareholder distribution</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Capital contributions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from Successor First Lien Credit Facility</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261,413</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Repayments of Successor First Lien Credit Facility</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(363,875 )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Successor Second Lien Credit Facility</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(146,584 )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Payments of debt issuance costs</w:t>
            </w:r>
          </w:p>
        </w:tc>
        <w:tc>
          <w:tcPr>
            <w:tcW w:w="420" w:type="dxa"/>
            <w:vAlign w:val="bottom"/>
          </w:tcPr>
          <w:p>
            <w:pPr>
              <w:spacing w:after="0"/>
              <w:rPr>
                <w:sz w:val="16"/>
                <w:szCs w:val="16"/>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(1,257 )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capital and finance lease obligations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(459 )</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(925 )</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Payments on deferred purchase agreements</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(526 )</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stock option exercises</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1,270</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100" w:type="dxa"/>
            <w:vAlign w:val="bottom"/>
          </w:tcPr>
          <w:p>
            <w:pPr>
              <w:ind w:left="200"/>
              <w:spacing w:after="0"/>
              <w:rPr>
                <w:sz w:val="20"/>
                <w:szCs w:val="20"/>
                <w:color w:val="auto"/>
              </w:rPr>
            </w:pPr>
            <w:r>
              <w:rPr>
                <w:rFonts w:ascii="Arial" w:cs="Arial" w:eastAsia="Arial" w:hAnsi="Arial"/>
                <w:sz w:val="16"/>
                <w:szCs w:val="16"/>
                <w:color w:val="auto"/>
              </w:rPr>
              <w:t>Taxes paid for net settlements of restricted stock units</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1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187</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67,869</w:t>
            </w:r>
          </w:p>
        </w:tc>
        <w:tc>
          <w:tcPr>
            <w:tcW w:w="0" w:type="dxa"/>
            <w:vAlign w:val="bottom"/>
          </w:tcPr>
          <w:p>
            <w:pPr>
              <w:spacing w:after="0"/>
              <w:rPr>
                <w:sz w:val="1"/>
                <w:szCs w:val="1"/>
                <w:color w:val="auto"/>
              </w:rPr>
            </w:pPr>
          </w:p>
        </w:tc>
      </w:tr>
      <w:tr>
        <w:trPr>
          <w:trHeight w:val="183"/>
        </w:trPr>
        <w:tc>
          <w:tcPr>
            <w:tcW w:w="710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 on cash, cash equivalents, and restricted cash</w:t>
            </w:r>
          </w:p>
        </w:tc>
        <w:tc>
          <w:tcPr>
            <w:tcW w:w="4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(2,546 )</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(656 )</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59,690</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104,308</w:t>
            </w: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292,790</w:t>
            </w: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152,970</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352,480</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257,278</w:t>
            </w:r>
          </w:p>
        </w:tc>
        <w:tc>
          <w:tcPr>
            <w:tcW w:w="0" w:type="dxa"/>
            <w:vAlign w:val="bottom"/>
          </w:tcPr>
          <w:p>
            <w:pPr>
              <w:spacing w:after="0"/>
              <w:rPr>
                <w:sz w:val="1"/>
                <w:szCs w:val="1"/>
                <w:color w:val="auto"/>
              </w:rPr>
            </w:pPr>
          </w:p>
        </w:tc>
      </w:tr>
      <w:tr>
        <w:trPr>
          <w:trHeight w:val="170"/>
        </w:trPr>
        <w:tc>
          <w:tcPr>
            <w:tcW w:w="7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 received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6,181</w:t>
            </w:r>
          </w:p>
        </w:tc>
        <w:tc>
          <w:tcPr>
            <w:tcW w:w="1040" w:type="dxa"/>
            <w:vAlign w:val="bottom"/>
            <w:gridSpan w:val="2"/>
          </w:tcPr>
          <w:p>
            <w:pPr>
              <w:jc w:val="right"/>
              <w:ind w:right="68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10,191</w:t>
            </w:r>
          </w:p>
        </w:tc>
        <w:tc>
          <w:tcPr>
            <w:tcW w:w="1040" w:type="dxa"/>
            <w:vAlign w:val="bottom"/>
            <w:gridSpan w:val="2"/>
            <w:shd w:val="clear" w:color="auto" w:fill="CFF0FC"/>
          </w:tcPr>
          <w:p>
            <w:pPr>
              <w:jc w:val="right"/>
              <w:ind w:right="68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13,721</w:t>
            </w: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Offering costs included in accounts payable and accrued liabilities</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68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206"/>
        </w:trPr>
        <w:tc>
          <w:tcPr>
            <w:tcW w:w="7100" w:type="dxa"/>
            <w:vAlign w:val="bottom"/>
          </w:tcPr>
          <w:p>
            <w:pPr>
              <w:ind w:left="20"/>
              <w:spacing w:after="0"/>
              <w:rPr>
                <w:sz w:val="20"/>
                <w:szCs w:val="20"/>
                <w:color w:val="auto"/>
              </w:rPr>
            </w:pPr>
            <w:r>
              <w:rPr>
                <w:rFonts w:ascii="Arial" w:cs="Arial" w:eastAsia="Arial" w:hAnsi="Arial"/>
                <w:sz w:val="16"/>
                <w:szCs w:val="16"/>
                <w:color w:val="auto"/>
              </w:rPr>
              <w:t>Property and equipment acquired on account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40" w:type="dxa"/>
            <w:vAlign w:val="bottom"/>
            <w:gridSpan w:val="2"/>
          </w:tcPr>
          <w:p>
            <w:pPr>
              <w:jc w:val="right"/>
              <w:ind w:right="684"/>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-4156710</wp:posOffset>
            </wp:positionV>
            <wp:extent cx="1200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-3170555</wp:posOffset>
            </wp:positionV>
            <wp:extent cx="1200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-1370330</wp:posOffset>
            </wp:positionV>
            <wp:extent cx="1200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-876300</wp:posOffset>
            </wp:positionV>
            <wp:extent cx="120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-859155</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Paid-In-Capital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 December 31, 2021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1,165,163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(31,441 )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(1,637 )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547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(1,517 )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(1,517 )</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13,013</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13,013</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 March 31, 2022</w:t>
            </w: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153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1,167,569</w:t>
            </w:r>
          </w:p>
        </w:tc>
        <w:tc>
          <w:tcPr>
            <w:tcW w:w="20" w:type="dxa"/>
            <w:vAlign w:val="bottom"/>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(18,428 )</w:t>
            </w:r>
          </w:p>
        </w:tc>
        <w:tc>
          <w:tcPr>
            <w:tcW w:w="20" w:type="dxa"/>
            <w:vAlign w:val="bottom"/>
          </w:tcPr>
          <w:p>
            <w:pPr>
              <w:spacing w:after="0"/>
              <w:rPr>
                <w:sz w:val="17"/>
                <w:szCs w:val="17"/>
                <w:color w:val="auto"/>
              </w:rPr>
            </w:pPr>
          </w:p>
        </w:tc>
        <w:tc>
          <w:tcPr>
            <w:tcW w:w="24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(3,154 )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1,146,140</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1,943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 withheld for tax obligations on</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 settlement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(11,319 )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(11,319 )</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14,236</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14,236</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 June 30, 2022</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153</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1,170,137</w:t>
            </w:r>
          </w:p>
        </w:tc>
        <w:tc>
          <w:tcPr>
            <w:tcW w:w="20" w:type="dxa"/>
            <w:vAlign w:val="bottom"/>
            <w:tcBorders>
              <w:bottom w:val="single" w:sz="8" w:color="auto"/>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(4,192 )</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(14,473 )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1,151,625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21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91"/>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6"/>
                <w:szCs w:val="16"/>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Paid-In-Capital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 December 31, 2020</w:t>
            </w:r>
          </w:p>
        </w:tc>
        <w:tc>
          <w:tcPr>
            <w:tcW w:w="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839,148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(47,492 )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2,484</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2,760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(19,389 )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(19,389 )</w:t>
            </w:r>
          </w:p>
        </w:tc>
        <w:tc>
          <w:tcPr>
            <w:tcW w:w="0" w:type="dxa"/>
            <w:vAlign w:val="bottom"/>
          </w:tcPr>
          <w:p>
            <w:pPr>
              <w:spacing w:after="0"/>
              <w:rPr>
                <w:sz w:val="1"/>
                <w:szCs w:val="1"/>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 March 31, 2021</w:t>
            </w:r>
          </w:p>
        </w:tc>
        <w:tc>
          <w:tcPr>
            <w:tcW w:w="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839,710</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(66,881 )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5,244</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778,203</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8"/>
                <w:szCs w:val="18"/>
                <w:color w:val="auto"/>
                <w:w w:val="99"/>
              </w:rPr>
              <w:t>Issuance of common stock in connection with initial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public offering, net of offering costs, underwriting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316,502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316,525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discounts and commissions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Shareholder distribution</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(1,295 )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(1,295 )</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3,770</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 June 30, 2021</w:t>
            </w: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153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1,158,804</w:t>
            </w:r>
          </w:p>
        </w:tc>
        <w:tc>
          <w:tcPr>
            <w:tcW w:w="20" w:type="dxa"/>
            <w:vAlign w:val="bottom"/>
          </w:tcPr>
          <w:p>
            <w:pPr>
              <w:spacing w:after="0"/>
              <w:rPr>
                <w:sz w:val="17"/>
                <w:szCs w:val="17"/>
                <w:color w:val="auto"/>
              </w:rPr>
            </w:pPr>
          </w:p>
        </w:tc>
        <w:tc>
          <w:tcPr>
            <w:tcW w:w="2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(63,111 )</w:t>
            </w:r>
          </w:p>
        </w:tc>
        <w:tc>
          <w:tcPr>
            <w:tcW w:w="20" w:type="dxa"/>
            <w:vAlign w:val="bottom"/>
          </w:tcPr>
          <w:p>
            <w:pPr>
              <w:spacing w:after="0"/>
              <w:rPr>
                <w:sz w:val="17"/>
                <w:szCs w:val="17"/>
                <w:color w:val="auto"/>
              </w:rPr>
            </w:pPr>
          </w:p>
        </w:tc>
        <w:tc>
          <w:tcPr>
            <w:tcW w:w="240" w:type="dxa"/>
            <w:vAlign w:val="bottom"/>
            <w:gridSpan w:val="3"/>
          </w:tcPr>
          <w:p>
            <w:pPr>
              <w:ind w:left="1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3,949</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1,099,795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-3296920</wp:posOffset>
            </wp:positionV>
            <wp:extent cx="857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-3296920</wp:posOffset>
            </wp:positionV>
            <wp:extent cx="8572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-3296920</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-3296920</wp:posOffset>
            </wp:positionV>
            <wp:extent cx="768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-2405380</wp:posOffset>
            </wp:positionV>
            <wp:extent cx="8572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-2405380</wp:posOffset>
            </wp:positionV>
            <wp:extent cx="857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-2405380</wp:posOffset>
            </wp:positionV>
            <wp:extent cx="7747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-2405380</wp:posOffset>
            </wp:positionV>
            <wp:extent cx="768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-159385</wp:posOffset>
            </wp:positionV>
            <wp:extent cx="857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-159385</wp:posOffset>
            </wp:positionV>
            <wp:extent cx="774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wp:posOffset>
            </wp:positionV>
            <wp:extent cx="7747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768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6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Fastball Intermediate, Inc., a Delaware corporation, was formed on November 15, 2019 and subsequently changed its name to First Advantage Corporation in March 2021. Hereafter, First Advantage Corporation and its subsidiaries will collectively be referred to as the “Company.”</w:t>
      </w:r>
    </w:p>
    <w:p>
      <w:pPr>
        <w:spacing w:after="0" w:line="3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w:t>
      </w:r>
    </w:p>
    <w:p>
      <w:pPr>
        <w:spacing w:after="0" w:line="9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34"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Post-onboarding services are comprised of continuous monitoring and re-screening solutions which are important tools to help keep their end customers, workforces, and other stakeholders safer, productive, and compliant. Our post-monitoring solutions include criminal records, healthcare sanctions, motor vehicle records, social media, and global sanctions screening continuously or at regular intervals selected by our customers.</w:t>
      </w:r>
    </w:p>
    <w:p>
      <w:pPr>
        <w:spacing w:after="0" w:line="110"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8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3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2021.</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September and November of each year, driven by many customers’ pre-holiday season hiring initiatives.</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businesses for which separate financial information is available and evaluated regularly by our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maker (“CODM”) in deciding how to allocate resources and assess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2022, the Company made organizational changes and modified information provided to its CODM to better align with how its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CODM assesses performance and allocates resources. As a result, the Company now has two reportable segments, Americas and International:</w:t>
      </w:r>
    </w:p>
    <w:p>
      <w:pPr>
        <w:spacing w:after="0" w:line="153" w:lineRule="exact"/>
        <w:rPr>
          <w:sz w:val="20"/>
          <w:szCs w:val="20"/>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provides technology solutions for screening, verifications, safety, and compliance in the United States, Canada, and Latin America markets;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provides technology solutions for screening, verifications, safety, and compliance outside of the Americas.</w:t>
      </w:r>
    </w:p>
    <w:p>
      <w:pPr>
        <w:spacing w:after="0" w:line="10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Accordingly, prior period results have been recast to conform to the current presentation of segments. These changes do not impact the Company’s consolidated results.</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Company’s segment disclosure is intended to provide the users of its consolidated financial statements with a view of the business that is consistent with management of the Company. Details of segment results are discussed in Note 16, “Reportable Segments.”</w:t>
      </w: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ind w:right="80"/>
        <w:spacing w:after="0" w:line="264"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condensed consolidated financial statements in accordance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the impairment of long-lived assets, goodwill impairment, collectability of receivables,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Certain financial assets and liabilities are reported at fair value in the accompanying consolidated balance sheets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Financial Accounting Standards Board (“FASB”)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04"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63" w:lineRule="exact"/>
        <w:rPr>
          <w:sz w:val="20"/>
          <w:szCs w:val="20"/>
          <w:color w:val="auto"/>
        </w:rPr>
      </w:pPr>
    </w:p>
    <w:p>
      <w:pPr>
        <w:ind w:left="520" w:right="240"/>
        <w:spacing w:after="0" w:line="26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1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34"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2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June 30, 2022 (in thousands):</w:t>
      </w:r>
    </w:p>
    <w:p>
      <w:pPr>
        <w:spacing w:after="0" w:line="12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8,036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5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8" w:name="page9"/>
    <w:bookmarkEnd w:id="8"/>
    <w:p>
      <w:pPr>
        <w:ind w:right="180"/>
        <w:spacing w:after="0" w:line="280"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Goodwill, Trade Name, and Customer Lists </w:t>
      </w:r>
      <w:r>
        <w:rPr>
          <w:rFonts w:ascii="Arial" w:cs="Arial" w:eastAsia="Arial" w:hAnsi="Arial"/>
          <w:sz w:val="18"/>
          <w:szCs w:val="18"/>
          <w:color w:val="auto"/>
        </w:rPr>
        <w:t>— The Company tests goodwill for impairment annually as of December 31 or more frequently if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At December 31, 2021, the Company had two reporting units comprised of the Americas and International.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 charges have been required.</w:t>
      </w:r>
    </w:p>
    <w:p>
      <w:pPr>
        <w:spacing w:after="0" w:line="141"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Company’s trade name is amortized on an accelerated basis over its expected useful life of twenty years. The Company recorded $1.9 million and $2.0 million of amortization expense related to the trade name for the three months ended June 30, 2022 and 2021, respectively. Amortization expense related to the trade name was $3.8 million and $4.0 million for the six months ended June 30, 2022 and 2021, respectively.</w:t>
      </w:r>
    </w:p>
    <w:p>
      <w:pPr>
        <w:spacing w:after="0" w:line="1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Customer lists are amortized on an accelerated basis based upon their estimated useful life of thirteen to fourteen years. The Company recorded $15.2 million and $16.4 million of amortization expense related to customer lists for the three months ended June 30, 2022 and 2021, respectively. Amortization expense related to customer lists was $30.5 million and $32.7 million for the six months ended June 30, 2022 and 2021, respectively.</w:t>
      </w:r>
    </w:p>
    <w:p>
      <w:pPr>
        <w:spacing w:after="0" w:line="110" w:lineRule="exact"/>
        <w:rPr>
          <w:sz w:val="20"/>
          <w:szCs w:val="20"/>
          <w:color w:val="auto"/>
        </w:rPr>
      </w:pPr>
    </w:p>
    <w:p>
      <w:pPr>
        <w:ind w:right="460"/>
        <w:spacing w:after="0" w:line="248" w:lineRule="auto"/>
        <w:rPr>
          <w:sz w:val="20"/>
          <w:szCs w:val="20"/>
          <w:color w:val="auto"/>
        </w:rPr>
      </w:pPr>
      <w:r>
        <w:rPr>
          <w:rFonts w:ascii="Arial" w:cs="Arial" w:eastAsia="Arial" w:hAnsi="Arial"/>
          <w:sz w:val="18"/>
          <w:szCs w:val="18"/>
          <w:color w:val="auto"/>
        </w:rPr>
        <w:t>The Company regularly evaluates the amortization period assigned to each intangible asset to determine whether there have been any events or circumstances that warrant revised estimates of useful lives. In December 2021, and since that time, the Company determined that there have been no triggering events that would require impairment of trade names or customer lists.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93" w:lineRule="exact"/>
        <w:rPr>
          <w:sz w:val="20"/>
          <w:szCs w:val="20"/>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80"/>
        <w:spacing w:after="0" w:line="253" w:lineRule="auto"/>
        <w:rPr>
          <w:sz w:val="20"/>
          <w:szCs w:val="20"/>
          <w:color w:val="auto"/>
        </w:rPr>
      </w:pPr>
      <w:r>
        <w:rPr>
          <w:rFonts w:ascii="Arial" w:cs="Arial" w:eastAsia="Arial" w:hAnsi="Arial"/>
          <w:sz w:val="17"/>
          <w:szCs w:val="17"/>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or related businesses.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10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9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Contract balances are generated when the revenues recognized in a given period varies from billing. A contract asset is created when the Company performs a service for a customer and recognizes more revenues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Contract liabilities are included in deferred revenues in the accompanying condensed consolidated balance sheets.</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 The functional currency of all of the Company’s foreign subsidiaries is the applicable local currency. The translation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income (loss) was approximately $(11.3) million and $(1.3) million for the three months ended June 30, 2022 and 2021, respectively. Currency translation (loss) income included in accumulated other comprehensive income (loss) was approximately $(12.8) million and $1.5 million for the six months ended June 30, 2022 and 2021, respectively.</w:t>
      </w:r>
    </w:p>
    <w:p>
      <w:pPr>
        <w:spacing w:after="0" w:line="97"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income (loss). Currency transaction income included in the accompanying condensed consolidated statements of operations and comprehensive income (loss) was approximately $0.3 million and $0.2 million for the three months ended June 30, 2022 and 2021, respectively. Currency transaction income included in the accompanying condensed consolidated statements of operations and comprehensive income (loss) was approximately $1.3 million and $0.3 million for the six months ended June 30, 2022 and 2021, respectively.</w:t>
      </w:r>
    </w:p>
    <w:p>
      <w:pPr>
        <w:spacing w:after="0" w:line="9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The Company qualifies as an emerging growth company under the Jumpstart Our Business Startups (“JOBS”)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There were no accounting pronouncements issued during the six months ended June 30, 2022 that are expected to have a material impact on the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February 2016, the FASB issued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and subsequently issued additional ASUs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amending this ASU (collectively ASC 842, </w:t>
      </w:r>
      <w:r>
        <w:rPr>
          <w:rFonts w:ascii="Arial" w:cs="Arial" w:eastAsia="Arial" w:hAnsi="Arial"/>
          <w:sz w:val="16"/>
          <w:szCs w:val="16"/>
          <w:i w:val="1"/>
          <w:iCs w:val="1"/>
          <w:color w:val="auto"/>
        </w:rPr>
        <w:t>Leases</w:t>
      </w:r>
      <w:r>
        <w:rPr>
          <w:rFonts w:ascii="Arial" w:cs="Arial" w:eastAsia="Arial" w:hAnsi="Arial"/>
          <w:sz w:val="16"/>
          <w:szCs w:val="16"/>
          <w:color w:val="auto"/>
        </w:rPr>
        <w:t>). ASC 842 was issued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1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The adoption of ASC 842 had a material impact on the Company’s condensed consolidated balance sheets but did not have a material impact on our condensed consolidated statements of operations or cash flow. The most significant impact was the recognition of ROU assets of $12.7 million and lease liabilities for operating leases of $15.0 million based on the present value of the future minimum rental payments for existing operating leases. The difference in the balances is due to deferred rent, tenant incentive allowances, and prepaid amounts taken into account for adoption. Our accounting for finance leases, described in Note 13, remained unchanged.</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removes specific exceptions to the general principles in Topic 740. Among other things it eliminates the need for an organization to analyze whether the following apply in a given period: exception to the incremental approach for intra-period tax allocation; exceptions to accounting for basis differences when there are ownership changes in foreign investments; and exception in interim period income tax accounting for year-to-date losses that exceed anticipated losses. This amendment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Adoption of this standard on January 1, 2022 did not have a material impact on the condensed consolidated financial statements.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March 31, 2021, the Company completed its acquisition of selected assets and specified liabilities comprising the United Kingdom background screening business unit of a United Kingdom based company for cash consideration of $7.6 million. The Company recognized $3.1 million of goodwill and $3.0 million of intangible assets subject to amortization. Goodwill recognized is primarily attributable to assembled workforce and the expected growth of the Company and is not deductible for tax purposes. Results of operations have been included in the condensed consolidated financial statements of the Company’s International segment since the closing date.</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November 30, 2021, the Company completed its acquisition of a background screening and verification provider based in Mexico. Goodwill recognized as result of this acquisition was not deductible for tax purposes. Results of operations have been included in the condensed consolidated financial statements of the Company’s Americas segment since the closing date.</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November 30, 2021, the Company, through one of its wholly-owned subsidiaries in the United States, entered into an agreement to acquire 100% of the outstanding equity of Corporate Screening Services, LLC (“Corporate Screening”), a U.S.-based screening and compliance solutions provider which strengthened the Company’s healthcare and higher education solutions by adding technology and expertise tailored to those customers, for cash consideration of $39.4 million. The acquisition was considered an acquisition of assets for tax purposes and, accordingly, a significant portion of the $22.2 million of goodwill recognized was deductible for tax purposes. Identifiable intangible assets related to this acquisition totaled $15.5 million, of which $11.8 million was attributable to a customer related intangible asset, with an estimated useful life of fourteen years and $3.6 million was attributable to developed technology with a useful life of five years. In addition, the Company acquired current assets of $2.9 million and assumed liabilities of $1.6 million. The allocation was finalized as of June 30, 2022. Results of operations have been included in the condensed consolidated financial statements of the Company’s Americas segment since the closing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completed its asset purchase of Form I-9 Compliance, a U.S.-based technology solution and consulting service provider for I-9 and E-Verify compliance, for cash consideration of approximately $19.8 million. The transfer of ownership became effective as of January 1, 2022 and strategically expands the Company’s product suite offerings through the addition of new I-9 and employment eligibility solutions. The acquired assets were determined to constitute a business and the Company was deemed to be the acquirer under ASC 805. The Company recorded a preliminary allocation of the purchase price to assets acquired and liabilities assumed based on their estimated fair values as of January 1, 2022.</w:t>
      </w:r>
    </w:p>
    <w:p>
      <w:pPr>
        <w:spacing w:after="0" w:line="12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As of the date these condensed consolidated financial statements were issued, the purchase accounting related to the acquisition of Form I-9 Compliance was incomplete as the valuations of deferred taxes and purchase price were still in the process of being finalized, and certain customary transaction adjustments were not yet finalized. The Company has reflected the provisional amounts for goodwill and deferred taxes in these condensed consolidated financial statements. As such, the above balances may be adjusted in a future period as the valuation is finalized and these adjustments may be material to the consolidated financial statements.</w:t>
      </w:r>
    </w:p>
    <w:p>
      <w:pPr>
        <w:spacing w:after="0" w:line="135"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Cash, net of cash acquired</w:t>
            </w:r>
          </w:p>
        </w:tc>
        <w:tc>
          <w:tcPr>
            <w:tcW w:w="6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19,087</w:t>
            </w:r>
          </w:p>
        </w:tc>
      </w:tr>
      <w:tr>
        <w:trPr>
          <w:trHeight w:val="196"/>
        </w:trPr>
        <w:tc>
          <w:tcPr>
            <w:tcW w:w="8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fair value of consideration transferred</w:t>
            </w: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19,087</w:t>
            </w:r>
          </w:p>
        </w:tc>
      </w:tr>
      <w:tr>
        <w:trPr>
          <w:trHeight w:val="196"/>
        </w:trPr>
        <w:tc>
          <w:tcPr>
            <w:tcW w:w="8280" w:type="dxa"/>
            <w:vAlign w:val="bottom"/>
          </w:tcPr>
          <w:p>
            <w:pPr>
              <w:spacing w:after="0" w:line="196" w:lineRule="exact"/>
              <w:rPr>
                <w:sz w:val="20"/>
                <w:szCs w:val="20"/>
                <w:color w:val="auto"/>
              </w:rPr>
            </w:pPr>
            <w:r>
              <w:rPr>
                <w:rFonts w:ascii="Arial" w:cs="Arial" w:eastAsia="Arial" w:hAnsi="Arial"/>
                <w:sz w:val="18"/>
                <w:szCs w:val="18"/>
                <w:color w:val="auto"/>
              </w:rPr>
              <w:t>Current assets</w:t>
            </w:r>
          </w:p>
        </w:tc>
        <w:tc>
          <w:tcPr>
            <w:tcW w:w="66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1,151</w:t>
            </w: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including software developed for internal use</w:t>
            </w:r>
          </w:p>
        </w:tc>
        <w:tc>
          <w:tcPr>
            <w:tcW w:w="6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3,045</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660" w:type="dxa"/>
            <w:vAlign w:val="bottom"/>
          </w:tcPr>
          <w:p>
            <w:pPr>
              <w:spacing w:after="0"/>
              <w:rPr>
                <w:sz w:val="17"/>
                <w:szCs w:val="17"/>
                <w:color w:val="auto"/>
              </w:rPr>
            </w:pP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6,100</w:t>
            </w:r>
          </w:p>
        </w:tc>
      </w:tr>
      <w:tr>
        <w:trPr>
          <w:trHeight w:val="203"/>
        </w:trPr>
        <w:tc>
          <w:tcPr>
            <w:tcW w:w="8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(325 )</w:t>
            </w:r>
          </w:p>
        </w:tc>
      </w:tr>
      <w:tr>
        <w:trPr>
          <w:trHeight w:val="196"/>
        </w:trPr>
        <w:tc>
          <w:tcPr>
            <w:tcW w:w="8280" w:type="dxa"/>
            <w:vAlign w:val="bottom"/>
          </w:tcPr>
          <w:p>
            <w:pPr>
              <w:spacing w:after="0" w:line="196" w:lineRule="exact"/>
              <w:rPr>
                <w:sz w:val="20"/>
                <w:szCs w:val="20"/>
                <w:color w:val="auto"/>
              </w:rPr>
            </w:pPr>
            <w:r>
              <w:rPr>
                <w:rFonts w:ascii="Arial" w:cs="Arial" w:eastAsia="Arial" w:hAnsi="Arial"/>
                <w:sz w:val="18"/>
                <w:szCs w:val="18"/>
                <w:b w:val="1"/>
                <w:bCs w:val="1"/>
                <w:color w:val="auto"/>
              </w:rPr>
              <w:t>Total identifiable net assets</w:t>
            </w: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9,971</w:t>
            </w:r>
          </w:p>
        </w:tc>
      </w:tr>
      <w:tr>
        <w:trPr>
          <w:trHeight w:val="236"/>
        </w:trPr>
        <w:tc>
          <w:tcPr>
            <w:tcW w:w="8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9,116</w:t>
            </w:r>
          </w:p>
        </w:tc>
      </w:tr>
    </w:tbl>
    <w:p>
      <w:pPr>
        <w:spacing w:after="0" w:line="14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Goodwill recognized in the acquisition of Form I-9 Compliance is deductible for tax purposes. Results of operations have been included in the condensed consolidated financial statements of the Company’s Americas segment since the effective date of the acquisition.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June 30, 2022 and December 31, 2021 consisted of the following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6"/>
              </w:rPr>
              <w:t>June 30,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equipment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23,450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20,462</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Capitalized software for internal use, acquired by business combination</w:t>
            </w:r>
          </w:p>
        </w:tc>
        <w:tc>
          <w:tcPr>
            <w:tcW w:w="180" w:type="dxa"/>
            <w:vAlign w:val="bottom"/>
          </w:tcPr>
          <w:p>
            <w:pPr>
              <w:spacing w:after="0"/>
              <w:rPr>
                <w:sz w:val="17"/>
                <w:szCs w:val="17"/>
                <w:color w:val="auto"/>
              </w:rPr>
            </w:pPr>
          </w:p>
        </w:tc>
        <w:tc>
          <w:tcPr>
            <w:tcW w:w="1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231,105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225,005</w:t>
            </w:r>
          </w:p>
        </w:tc>
        <w:tc>
          <w:tcPr>
            <w:tcW w:w="0" w:type="dxa"/>
            <w:vAlign w:val="bottom"/>
          </w:tcPr>
          <w:p>
            <w:pPr>
              <w:spacing w:after="0"/>
              <w:rPr>
                <w:sz w:val="1"/>
                <w:szCs w:val="1"/>
                <w:color w:val="auto"/>
              </w:rPr>
            </w:pPr>
          </w:p>
        </w:tc>
      </w:tr>
      <w:tr>
        <w:trPr>
          <w:trHeight w:val="203"/>
        </w:trPr>
        <w:tc>
          <w:tcPr>
            <w:tcW w:w="7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Capitalized software for internal use, developed internally or otherwise purchased</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44,192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37,326</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2,902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301,649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285,794</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(165,113 )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(131,485 )</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136,536</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154,309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Depreciation and amortization expense of property and equipment was approximately $17.3 million and $17.5 million for the three months ended June 30, 2022 and 2021, respectively. Depreciation and amortization expense of property and equipment was approximately $34.1 million and $34.0 million for the six months ended June 30, 2022 and 2021,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six months ended June 30, 2022 by reportable segment were as follows (in thousands):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International</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196"/>
        </w:trPr>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 December 31, 2021</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668,048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125,844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793,892</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7"/>
                <w:szCs w:val="17"/>
                <w:color w:val="auto"/>
              </w:rPr>
            </w:pPr>
          </w:p>
        </w:tc>
        <w:tc>
          <w:tcPr>
            <w:tcW w:w="11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9,116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9,116</w:t>
            </w:r>
          </w:p>
        </w:tc>
      </w:tr>
      <w:tr>
        <w:trPr>
          <w:trHeight w:val="203"/>
        </w:trPr>
        <w:tc>
          <w:tcPr>
            <w:tcW w:w="5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initial purchase price allocations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(6,441 )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(6,285 )</w:t>
            </w:r>
          </w:p>
        </w:tc>
      </w:tr>
      <w:tr>
        <w:trPr>
          <w:trHeight w:val="236"/>
        </w:trPr>
        <w:tc>
          <w:tcPr>
            <w:tcW w:w="5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 June 30, 2022</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677,153</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119,403</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796,556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gross carrying value and accumulated amortization for the Company’s trade name and customer lists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2"/>
              </w:rPr>
              <w:t>June 30, 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3"/>
        </w:trPr>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524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94,346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(19,111 )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75,235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 years</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517,866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(160,169 )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w w:val="92"/>
              </w:rPr>
              <w:t>357,697</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13-14 years</w:t>
            </w:r>
          </w:p>
        </w:tc>
      </w:tr>
      <w:tr>
        <w:trPr>
          <w:trHeight w:val="236"/>
        </w:trPr>
        <w:tc>
          <w:tcPr>
            <w:tcW w:w="52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612,212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(179,280 )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w w:val="92"/>
              </w:rPr>
              <w:t>432,932</w:t>
            </w: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r>
        <w:trPr>
          <w:trHeight w:val="520"/>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3"/>
        </w:trPr>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524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196"/>
        </w:trPr>
        <w:tc>
          <w:tcPr>
            <w:tcW w:w="5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Trade name</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95,026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(15,441 )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79,585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 years</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Customer lists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515,524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(130,758 )</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w w:val="92"/>
              </w:rPr>
              <w:t>384,766</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 years</w:t>
            </w:r>
          </w:p>
        </w:tc>
      </w:tr>
      <w:tr>
        <w:trPr>
          <w:trHeight w:val="236"/>
        </w:trPr>
        <w:tc>
          <w:tcPr>
            <w:tcW w:w="52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610,550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(146,199 )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w w:val="92"/>
              </w:rPr>
              <w:t>464,351</w:t>
            </w: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-1010920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-993775</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-1010920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-993775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-1010920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-993775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Amortization expense of trade name and customer lists was approximately $17.1 million and $18.4 million for the three months ended June 30, 2022 and 2021, respectively. Amortization expense of trade name and customer lists was approximately $34.3 million and $36.7 million for the six months ended June 30, 2022 and 2021, respectively.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Long-term Debt</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fair value of the Company’s long-term debt obligations approximated their book value as of June 30, 2022 and December 31, 2021 and consisted of the following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1"/>
              </w:rPr>
              <w:t>December 31, 2021</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Successor First Lien Credit Facility</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564,724</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Less: Deferred financing costs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(8,985 )</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(9,879 )</w:t>
            </w:r>
          </w:p>
        </w:tc>
      </w:tr>
      <w:tr>
        <w:trPr>
          <w:trHeight w:val="236"/>
        </w:trPr>
        <w:tc>
          <w:tcPr>
            <w:tcW w:w="6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555,739</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554,845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required mandatory quarterly repayments of 0.25% of the original loan balance commencing September 30, 2020. Beginning with the year ending December 31, 2021, the Successor First Lien Credit Facility required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connection with the closing of the Company’s initial public offering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June 30, 2022, the Company had no outstanding amounts under the Successor Revolver, and therefore was not subject to the consolidated first lien leverage ratio covenant and was compliant with all other covenants under the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Derivatives</w:t>
      </w:r>
    </w:p>
    <w:p>
      <w:pPr>
        <w:spacing w:after="0" w:line="162"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In this agreement, the Company and the counterparty bank agreed to a one-month USD LIBOR floor of 0.48% and a cap of 1.50% on a portion of the Company’s Successor First Lien Facility. The notional amount of this agreement was $405.0 million through February 2022 at which time the notional amount was reduced to $300.0 million through February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fair value of the financial position recorded related to the derivative instruments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Derivatives</w:t>
            </w:r>
          </w:p>
        </w:tc>
        <w:tc>
          <w:tcPr>
            <w:tcW w:w="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Fair Value</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not designated</w:t>
            </w:r>
          </w:p>
        </w:tc>
        <w:tc>
          <w:tcPr>
            <w:tcW w:w="240" w:type="dxa"/>
            <w:vAlign w:val="bottom"/>
          </w:tcPr>
          <w:p>
            <w:pPr>
              <w:spacing w:after="0"/>
              <w:rPr>
                <w:sz w:val="10"/>
                <w:szCs w:val="10"/>
                <w:color w:val="auto"/>
              </w:rPr>
            </w:pPr>
          </w:p>
        </w:tc>
        <w:tc>
          <w:tcPr>
            <w:tcW w:w="3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Balance Sheet</w:t>
            </w:r>
          </w:p>
        </w:tc>
        <w:tc>
          <w:tcPr>
            <w:tcW w:w="360" w:type="dxa"/>
            <w:vAlign w:val="bottom"/>
          </w:tcPr>
          <w:p>
            <w:pPr>
              <w:spacing w:after="0"/>
              <w:rPr>
                <w:sz w:val="10"/>
                <w:szCs w:val="10"/>
                <w:color w:val="auto"/>
              </w:rPr>
            </w:pPr>
          </w:p>
        </w:tc>
        <w:tc>
          <w:tcPr>
            <w:tcW w:w="1740" w:type="dxa"/>
            <w:vAlign w:val="bottom"/>
            <w:vMerge w:val="restart"/>
          </w:tcPr>
          <w:p>
            <w:pPr>
              <w:jc w:val="center"/>
              <w:ind w:right="435"/>
              <w:spacing w:after="0"/>
              <w:rPr>
                <w:sz w:val="20"/>
                <w:szCs w:val="20"/>
                <w:color w:val="auto"/>
              </w:rPr>
            </w:pPr>
            <w:r>
              <w:rPr>
                <w:rFonts w:ascii="Arial" w:cs="Arial" w:eastAsia="Arial" w:hAnsi="Arial"/>
                <w:sz w:val="13"/>
                <w:szCs w:val="13"/>
                <w:b w:val="1"/>
                <w:bCs w:val="1"/>
                <w:color w:val="auto"/>
                <w:w w:val="86"/>
              </w:rPr>
              <w:t>As of</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vMerge w:val="restart"/>
          </w:tcPr>
          <w:p>
            <w:pPr>
              <w:jc w:val="center"/>
              <w:ind w:right="414"/>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22"/>
        </w:trPr>
        <w:tc>
          <w:tcPr>
            <w:tcW w:w="2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as hedging</w:t>
            </w:r>
          </w:p>
        </w:tc>
        <w:tc>
          <w:tcPr>
            <w:tcW w:w="240" w:type="dxa"/>
            <w:vAlign w:val="bottom"/>
          </w:tcPr>
          <w:p>
            <w:pPr>
              <w:spacing w:after="0"/>
              <w:rPr>
                <w:sz w:val="10"/>
                <w:szCs w:val="10"/>
                <w:color w:val="auto"/>
              </w:rPr>
            </w:pPr>
          </w:p>
        </w:tc>
        <w:tc>
          <w:tcPr>
            <w:tcW w:w="36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240" w:type="dxa"/>
            <w:vAlign w:val="bottom"/>
          </w:tcPr>
          <w:p>
            <w:pPr>
              <w:spacing w:after="0"/>
              <w:rPr>
                <w:sz w:val="14"/>
                <w:szCs w:val="14"/>
                <w:color w:val="auto"/>
              </w:rPr>
            </w:pPr>
          </w:p>
        </w:tc>
        <w:tc>
          <w:tcPr>
            <w:tcW w:w="3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Location</w:t>
            </w:r>
          </w:p>
        </w:tc>
        <w:tc>
          <w:tcPr>
            <w:tcW w:w="360" w:type="dxa"/>
            <w:vAlign w:val="bottom"/>
          </w:tcPr>
          <w:p>
            <w:pPr>
              <w:spacing w:after="0"/>
              <w:rPr>
                <w:sz w:val="14"/>
                <w:szCs w:val="14"/>
                <w:color w:val="auto"/>
              </w:rPr>
            </w:pPr>
          </w:p>
        </w:tc>
        <w:tc>
          <w:tcPr>
            <w:tcW w:w="1740" w:type="dxa"/>
            <w:vAlign w:val="bottom"/>
          </w:tcPr>
          <w:p>
            <w:pPr>
              <w:jc w:val="center"/>
              <w:ind w:right="395"/>
              <w:spacing w:after="0"/>
              <w:rPr>
                <w:sz w:val="20"/>
                <w:szCs w:val="20"/>
                <w:color w:val="auto"/>
              </w:rPr>
            </w:pPr>
            <w:r>
              <w:rPr>
                <w:rFonts w:ascii="Arial" w:cs="Arial" w:eastAsia="Arial" w:hAnsi="Arial"/>
                <w:sz w:val="13"/>
                <w:szCs w:val="13"/>
                <w:b w:val="1"/>
                <w:bCs w:val="1"/>
                <w:color w:val="auto"/>
                <w:w w:val="85"/>
              </w:rPr>
              <w:t>June 30, 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jc w:val="center"/>
              <w:ind w:right="394"/>
              <w:spacing w:after="0"/>
              <w:rPr>
                <w:sz w:val="20"/>
                <w:szCs w:val="20"/>
                <w:color w:val="auto"/>
              </w:rPr>
            </w:pPr>
            <w:r>
              <w:rPr>
                <w:rFonts w:ascii="Arial" w:cs="Arial" w:eastAsia="Arial" w:hAnsi="Arial"/>
                <w:sz w:val="13"/>
                <w:szCs w:val="13"/>
                <w:b w:val="1"/>
                <w:bCs w:val="1"/>
                <w:color w:val="auto"/>
                <w:w w:val="87"/>
              </w:rPr>
              <w:t>December 31, 2021</w:t>
            </w:r>
          </w:p>
        </w:tc>
        <w:tc>
          <w:tcPr>
            <w:tcW w:w="0" w:type="dxa"/>
            <w:vAlign w:val="bottom"/>
          </w:tcPr>
          <w:p>
            <w:pPr>
              <w:spacing w:after="0"/>
              <w:rPr>
                <w:sz w:val="1"/>
                <w:szCs w:val="1"/>
                <w:color w:val="auto"/>
              </w:rPr>
            </w:pPr>
          </w:p>
        </w:tc>
      </w:tr>
      <w:tr>
        <w:trPr>
          <w:trHeight w:val="169"/>
        </w:trPr>
        <w:tc>
          <w:tcPr>
            <w:tcW w:w="2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Interest rate swaps</w:t>
            </w:r>
          </w:p>
        </w:tc>
        <w:tc>
          <w:tcPr>
            <w:tcW w:w="240" w:type="dxa"/>
            <w:vAlign w:val="bottom"/>
            <w:shd w:val="clear" w:color="auto" w:fill="CFF0FC"/>
          </w:tcPr>
          <w:p>
            <w:pPr>
              <w:spacing w:after="0"/>
              <w:rPr>
                <w:sz w:val="14"/>
                <w:szCs w:val="14"/>
                <w:color w:val="auto"/>
              </w:rPr>
            </w:pPr>
          </w:p>
        </w:tc>
        <w:tc>
          <w:tcPr>
            <w:tcW w:w="3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Prepaid expenses and other current assets</w:t>
            </w:r>
          </w:p>
        </w:tc>
        <w:tc>
          <w:tcPr>
            <w:tcW w:w="24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4"/>
                <w:szCs w:val="14"/>
                <w:color w:val="auto"/>
              </w:rPr>
              <w:t>8,036</w:t>
            </w: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amount of gains and (losses) recorded related to the derivative instruments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Gain/(Loss)</w:t>
            </w: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Derivatives</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60" w:type="dxa"/>
            <w:vAlign w:val="bottom"/>
            <w:gridSpan w:val="6"/>
          </w:tcPr>
          <w:p>
            <w:pPr>
              <w:jc w:val="right"/>
              <w:ind w:right="1408"/>
              <w:spacing w:after="0"/>
              <w:rPr>
                <w:sz w:val="20"/>
                <w:szCs w:val="20"/>
                <w:color w:val="auto"/>
              </w:rPr>
            </w:pPr>
            <w:r>
              <w:rPr>
                <w:rFonts w:ascii="Arial" w:cs="Arial" w:eastAsia="Arial" w:hAnsi="Arial"/>
                <w:sz w:val="13"/>
                <w:szCs w:val="13"/>
                <w:b w:val="1"/>
                <w:bCs w:val="1"/>
                <w:color w:val="auto"/>
              </w:rPr>
              <w:t>Three Months Ended June 30,</w:t>
            </w:r>
          </w:p>
        </w:tc>
        <w:tc>
          <w:tcPr>
            <w:tcW w:w="194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9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not designated</w:t>
            </w:r>
          </w:p>
        </w:tc>
        <w:tc>
          <w:tcPr>
            <w:tcW w:w="160" w:type="dxa"/>
            <w:vAlign w:val="bottom"/>
          </w:tcPr>
          <w:p>
            <w:pPr>
              <w:spacing w:after="0"/>
              <w:rPr>
                <w:sz w:val="10"/>
                <w:szCs w:val="10"/>
                <w:color w:val="auto"/>
              </w:rPr>
            </w:pPr>
          </w:p>
        </w:tc>
        <w:tc>
          <w:tcPr>
            <w:tcW w:w="24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Income Statement</w:t>
            </w: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as hedging</w:t>
            </w:r>
          </w:p>
        </w:tc>
        <w:tc>
          <w:tcPr>
            <w:tcW w:w="16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51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4"/>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vMerge w:val="restart"/>
          </w:tcPr>
          <w:p>
            <w:pPr>
              <w:jc w:val="right"/>
              <w:ind w:right="65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vMerge w:val="restart"/>
          </w:tcPr>
          <w:p>
            <w:pPr>
              <w:jc w:val="right"/>
              <w:ind w:right="513"/>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160" w:type="dxa"/>
            <w:vAlign w:val="bottom"/>
          </w:tcPr>
          <w:p>
            <w:pPr>
              <w:spacing w:after="0"/>
              <w:rPr>
                <w:sz w:val="14"/>
                <w:szCs w:val="14"/>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Location</w:t>
            </w: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Interest rate swaps</w:t>
            </w:r>
          </w:p>
        </w:tc>
        <w:tc>
          <w:tcPr>
            <w:tcW w:w="160" w:type="dxa"/>
            <w:vAlign w:val="bottom"/>
            <w:shd w:val="clear" w:color="auto" w:fill="CFF0FC"/>
          </w:tcPr>
          <w:p>
            <w:pPr>
              <w:spacing w:after="0"/>
              <w:rPr>
                <w:sz w:val="14"/>
                <w:szCs w:val="14"/>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Interest expense, net</w:t>
            </w:r>
          </w:p>
        </w:tc>
        <w:tc>
          <w:tcPr>
            <w:tcW w:w="16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2,119</w:t>
            </w: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7,378</w:t>
            </w:r>
          </w:p>
        </w:tc>
        <w:tc>
          <w:tcPr>
            <w:tcW w:w="24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and balance sheet accounts reflect the results of the Company and its subsidiaries.</w:t>
      </w:r>
    </w:p>
    <w:p>
      <w:pPr>
        <w:spacing w:after="0" w:line="158"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For the three and six months ended June 30, 2022, the Company estimated the annual effective tax rate based on projected income for the full year and recorded a quarterly tax provision in accordance with the annual effective tax rate and adjusted for discrete tax items in the period.</w:t>
      </w:r>
    </w:p>
    <w:p>
      <w:pPr>
        <w:spacing w:after="0" w:line="9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effective income tax rate for the three and six months ended June 30, 2022 was 27.6%. The Company’s effective income tax rate for the three and six months ended June 30, 2022 was higher than the U.S. federal statutory rate of 21% primarily due to Global Intangible Low-Taxed Income (“GILTI”) inclusion, nondeductible share-based compensation, and U.S. state income taxes.</w:t>
      </w:r>
    </w:p>
    <w:p>
      <w:pPr>
        <w:spacing w:after="0" w:line="12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Company’s effective income tax rate for the three and six months ended June 30, 2021 was 44.8% and 8.1%, respectively. The Company’s effective income tax rate for the three months ended June 30, 2021 was higher than the U.S. federal statutory rate of 21% primarily due to the increase of the deferred income tax liability on intangibles as a result of the UK corporate income tax rate increase and U.S. state income taxes. The Company’s effective income tax rate for the six months ended June 30, 2021 was lower than the U.S. federal statutory rate of 21% primarily due to the increase of the deferred income tax liability on intangibles as a result of the UK corporate income tax rate increase, foreign withholding tax and U.S. state income tax expenses on losses before provision for income taxes for the six months ended June 30, 2021.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0"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Accordingly, in any period, the Company does not recognize a significant amount of revenues from performance obligations satisfied or partially satisfied in prior periods and the amount of such revenues recognized during the three and six months ended June 30, 2022 and 2021 were immaterial.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contract asset balance was $9.4 million and $7.4 million as of June 30, 2022 and December 31, 2021, respectively, and is included in accounts receivable, net in the accompanying condensed consolidated balance sheets. The contract liability balance was $0.7 million and $0.9 million as of June 30, 2022 and December 31, 2021, respectively, and is included in deferred revenues in the accompanying condensed consolidated balance sheets. An immaterial amount of revenues was recognized in the current period related to the beginning balance of deferred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5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did not have any customers which represented 10% or more of consolidated revenues for the three and six months ended June 30, 2022 and 2021. Additionally, the Company did not have any customers which represented 10% or more of consolidated accounts receivable, net for any period presented.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disclosures about the disaggregation of our revenues see Note 16, “Reportable Segments.”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62"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Share-based compensation expense</w:t>
            </w:r>
          </w:p>
        </w:tc>
        <w:tc>
          <w:tcPr>
            <w:tcW w:w="8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Cost of services</w:t>
            </w:r>
          </w:p>
        </w:tc>
        <w:tc>
          <w:tcPr>
            <w:tcW w:w="820" w:type="dxa"/>
            <w:vAlign w:val="bottom"/>
          </w:tcPr>
          <w:p>
            <w:pPr>
              <w:jc w:val="right"/>
              <w:ind w:right="619"/>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277</w:t>
            </w:r>
          </w:p>
        </w:tc>
        <w:tc>
          <w:tcPr>
            <w:tcW w:w="96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551</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73</w:t>
            </w:r>
          </w:p>
        </w:tc>
      </w:tr>
      <w:tr>
        <w:trPr>
          <w:trHeight w:val="203"/>
        </w:trPr>
        <w:tc>
          <w:tcPr>
            <w:tcW w:w="42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 and technology expense</w:t>
            </w:r>
          </w:p>
        </w:tc>
        <w:tc>
          <w:tcPr>
            <w:tcW w:w="8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312</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121</w:t>
            </w:r>
          </w:p>
        </w:tc>
      </w:tr>
      <w:tr>
        <w:trPr>
          <w:trHeight w:val="203"/>
        </w:trPr>
        <w:tc>
          <w:tcPr>
            <w:tcW w:w="428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3"/>
              </w:rPr>
              <w:t>1,354</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3"/>
              </w:rPr>
              <w:t>2,556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2,735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3,032</w:t>
            </w:r>
          </w:p>
        </w:tc>
      </w:tr>
      <w:tr>
        <w:trPr>
          <w:trHeight w:val="236"/>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share-based compensation expense</w:t>
            </w:r>
          </w:p>
        </w:tc>
        <w:tc>
          <w:tcPr>
            <w:tcW w:w="820" w:type="dxa"/>
            <w:vAlign w:val="bottom"/>
            <w:tcBorders>
              <w:bottom w:val="single" w:sz="8" w:color="auto"/>
            </w:tcBorders>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3"/>
              </w:rPr>
              <w:t>1,943</w:t>
            </w:r>
          </w:p>
        </w:tc>
        <w:tc>
          <w:tcPr>
            <w:tcW w:w="1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3"/>
              </w:rPr>
              <w:t>2,664</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3,802</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Prior to the IPO, all share-based awards were issued by Fastball Holdco, L.P., the Company’s previous parent company under individual grant agreements and the partnership agreement of such parent company (collectively the “Successor Plan”).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June 30, 2021.</w:t>
      </w:r>
    </w:p>
    <w:p>
      <w:pPr>
        <w:spacing w:after="0" w:line="11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17" w:lineRule="exact"/>
        <w:rPr>
          <w:sz w:val="20"/>
          <w:szCs w:val="20"/>
          <w:color w:val="auto"/>
        </w:rPr>
      </w:pPr>
    </w:p>
    <w:p>
      <w:pPr>
        <w:ind w:left="1020" w:right="18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81" w:lineRule="exact"/>
        <w:rPr>
          <w:rFonts w:ascii="Arial" w:cs="Arial" w:eastAsia="Arial" w:hAnsi="Arial"/>
          <w:sz w:val="18"/>
          <w:szCs w:val="18"/>
          <w:color w:val="auto"/>
        </w:rPr>
      </w:pPr>
    </w:p>
    <w:p>
      <w:pPr>
        <w:ind w:left="1020" w:right="24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Arial" w:cs="Arial" w:eastAsia="Arial" w:hAnsi="Arial"/>
                <w:sz w:val="14"/>
                <w:szCs w:val="14"/>
                <w:b w:val="1"/>
                <w:bCs w:val="1"/>
                <w:color w:val="auto"/>
              </w:rPr>
              <w:t>Intrinsic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7"/>
              </w:rPr>
              <w:t>December 31, 2021</w:t>
            </w:r>
          </w:p>
        </w:tc>
        <w:tc>
          <w:tcPr>
            <w:tcW w:w="27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Grants outstanding</w:t>
            </w:r>
          </w:p>
        </w:tc>
        <w:tc>
          <w:tcPr>
            <w:tcW w:w="8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3,519,563</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w:t>
            </w: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00" w:type="dxa"/>
            <w:vAlign w:val="bottom"/>
          </w:tcPr>
          <w:p>
            <w:pPr>
              <w:ind w:left="120"/>
              <w:spacing w:after="0" w:line="202" w:lineRule="exact"/>
              <w:rPr>
                <w:sz w:val="20"/>
                <w:szCs w:val="20"/>
                <w:color w:val="auto"/>
              </w:rPr>
            </w:pPr>
            <w:r>
              <w:rPr>
                <w:rFonts w:ascii="Arial" w:cs="Arial" w:eastAsia="Arial" w:hAnsi="Arial"/>
                <w:sz w:val="18"/>
                <w:szCs w:val="18"/>
                <w:color w:val="auto"/>
              </w:rPr>
              <w:t>Grants exercised</w:t>
            </w:r>
          </w:p>
        </w:tc>
        <w:tc>
          <w:tcPr>
            <w:tcW w:w="21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(192,230 )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Grants cancelled/forfeited</w:t>
            </w:r>
          </w:p>
        </w:tc>
        <w:tc>
          <w:tcPr>
            <w:tcW w:w="8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(113,264 )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6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June 30, 2022</w:t>
            </w:r>
          </w:p>
        </w:tc>
        <w:tc>
          <w:tcPr>
            <w:tcW w:w="2700" w:type="dxa"/>
            <w:vAlign w:val="bottom"/>
            <w:tcBorders>
              <w:top w:val="single" w:sz="8" w:color="CFF0FC"/>
            </w:tcBorders>
          </w:tcPr>
          <w:p>
            <w:pPr>
              <w:ind w:left="120"/>
              <w:spacing w:after="0" w:line="182" w:lineRule="exact"/>
              <w:rPr>
                <w:sz w:val="20"/>
                <w:szCs w:val="20"/>
                <w:color w:val="auto"/>
              </w:rPr>
            </w:pPr>
            <w:r>
              <w:rPr>
                <w:rFonts w:ascii="Arial" w:cs="Arial" w:eastAsia="Arial" w:hAnsi="Arial"/>
                <w:sz w:val="18"/>
                <w:szCs w:val="18"/>
                <w:color w:val="auto"/>
              </w:rPr>
              <w:t>Grants outstanding</w:t>
            </w:r>
          </w:p>
        </w:tc>
        <w:tc>
          <w:tcPr>
            <w:tcW w:w="84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3,214,069</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6.66</w:t>
            </w:r>
          </w:p>
        </w:tc>
        <w:tc>
          <w:tcPr>
            <w:tcW w:w="20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ind w:left="520"/>
              <w:spacing w:after="0" w:line="182" w:lineRule="exact"/>
              <w:rPr>
                <w:sz w:val="20"/>
                <w:szCs w:val="20"/>
                <w:color w:val="auto"/>
              </w:rPr>
            </w:pPr>
            <w:r>
              <w:rPr>
                <w:rFonts w:ascii="Arial" w:cs="Arial" w:eastAsia="Arial" w:hAnsi="Arial"/>
                <w:sz w:val="18"/>
                <w:szCs w:val="18"/>
                <w:color w:val="auto"/>
                <w:w w:val="85"/>
              </w:rPr>
              <w:t>7.7 Years</w:t>
            </w:r>
          </w:p>
        </w:tc>
        <w:tc>
          <w:tcPr>
            <w:tcW w:w="10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$19.3 million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June 30, 2022</w:t>
            </w:r>
          </w:p>
        </w:tc>
        <w:tc>
          <w:tcPr>
            <w:tcW w:w="27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Grants vested</w:t>
            </w:r>
          </w:p>
        </w:tc>
        <w:tc>
          <w:tcPr>
            <w:tcW w:w="8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820,282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6.64</w:t>
            </w: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w w:val="85"/>
              </w:rPr>
              <w:t>7.7 Years</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$4.9 million</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June 30, 2022</w:t>
            </w:r>
          </w:p>
        </w:tc>
        <w:tc>
          <w:tcPr>
            <w:tcW w:w="2700" w:type="dxa"/>
            <w:vAlign w:val="bottom"/>
          </w:tcPr>
          <w:p>
            <w:pPr>
              <w:ind w:left="120"/>
              <w:spacing w:after="0"/>
              <w:rPr>
                <w:sz w:val="20"/>
                <w:szCs w:val="20"/>
                <w:color w:val="auto"/>
              </w:rPr>
            </w:pPr>
            <w:r>
              <w:rPr>
                <w:rFonts w:ascii="Arial" w:cs="Arial" w:eastAsia="Arial" w:hAnsi="Arial"/>
                <w:sz w:val="18"/>
                <w:szCs w:val="18"/>
                <w:color w:val="auto"/>
              </w:rPr>
              <w:t>Grants unvested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2,393,787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80" w:type="dxa"/>
            <w:vAlign w:val="bottom"/>
            <w:gridSpan w:val="2"/>
          </w:tcPr>
          <w:p>
            <w:pPr>
              <w:jc w:val="right"/>
              <w:ind w:right="1014"/>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-750570</wp:posOffset>
            </wp:positionV>
            <wp:extent cx="6032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w:t>
      </w:r>
    </w:p>
    <w:p>
      <w:pPr>
        <w:spacing w:after="0" w:line="5" w:lineRule="exact"/>
        <w:rPr>
          <w:sz w:val="20"/>
          <w:szCs w:val="20"/>
          <w:color w:val="auto"/>
        </w:rPr>
      </w:pPr>
    </w:p>
    <w:p>
      <w:pPr>
        <w:ind w:right="120" w:firstLine="8"/>
        <w:spacing w:after="0" w:line="24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shares as determined by the Board of Directors. As of June 30, 2022, 13,711,950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Stock options issued immediately prior to the IPO vest based on two criteria (50% each): (1) Time — awards vest over five years at a rate of 20% per year; and (2) Performance — awards vest based upon a combination of the five year time vesting, subject to the Company’s investors receiving a targeted money-on-money return. Stock options issued after the IPO vest annually, generally over four to five years. Stock options generally expire ten years after the grant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option activity for the six months ended June 30, 2022 is as follows: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Aggregate 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8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1260" w:type="dxa"/>
            <w:vAlign w:val="bottom"/>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0" w:type="dxa"/>
            <w:vAlign w:val="bottom"/>
            <w:gridSpan w:val="2"/>
            <w:shd w:val="clear" w:color="auto" w:fill="CFF0FC"/>
          </w:tcPr>
          <w:p>
            <w:pPr>
              <w:spacing w:after="0" w:line="156" w:lineRule="exact"/>
              <w:rPr>
                <w:sz w:val="20"/>
                <w:szCs w:val="20"/>
                <w:color w:val="auto"/>
              </w:rPr>
            </w:pPr>
            <w:r>
              <w:rPr>
                <w:rFonts w:ascii="Arial" w:cs="Arial" w:eastAsia="Arial" w:hAnsi="Arial"/>
                <w:sz w:val="18"/>
                <w:szCs w:val="18"/>
                <w:color w:val="auto"/>
              </w:rPr>
              <w:t>December 31,  Grants outstanding</w:t>
            </w: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3,714,540</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88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880" w:type="dxa"/>
            <w:vAlign w:val="bottom"/>
          </w:tcPr>
          <w:p>
            <w:pPr>
              <w:ind w:left="100"/>
              <w:spacing w:after="0" w:line="202" w:lineRule="exact"/>
              <w:rPr>
                <w:sz w:val="20"/>
                <w:szCs w:val="20"/>
                <w:color w:val="auto"/>
              </w:rPr>
            </w:pPr>
            <w:r>
              <w:rPr>
                <w:rFonts w:ascii="Arial" w:cs="Arial" w:eastAsia="Arial" w:hAnsi="Arial"/>
                <w:sz w:val="18"/>
                <w:szCs w:val="18"/>
                <w:color w:val="auto"/>
              </w:rPr>
              <w:t>Grants issued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496,627</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14.82</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FF0FC"/>
          </w:tcPr>
          <w:p>
            <w:pPr>
              <w:spacing w:after="0"/>
              <w:rPr>
                <w:sz w:val="17"/>
                <w:szCs w:val="17"/>
                <w:color w:val="auto"/>
              </w:rPr>
            </w:pPr>
          </w:p>
        </w:tc>
        <w:tc>
          <w:tcPr>
            <w:tcW w:w="38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Grants cancelled/forfeited</w:t>
            </w: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(8,800 )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17.52</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w w:val="96"/>
              </w:rPr>
              <w:t>June 30, 2022</w:t>
            </w:r>
          </w:p>
        </w:tc>
        <w:tc>
          <w:tcPr>
            <w:tcW w:w="3880" w:type="dxa"/>
            <w:vAlign w:val="bottom"/>
            <w:tcBorders>
              <w:top w:val="single" w:sz="8" w:color="CFF0FC"/>
            </w:tcBorders>
          </w:tcPr>
          <w:p>
            <w:pPr>
              <w:ind w:left="100"/>
              <w:spacing w:after="0" w:line="182" w:lineRule="exact"/>
              <w:rPr>
                <w:sz w:val="20"/>
                <w:szCs w:val="20"/>
                <w:color w:val="auto"/>
              </w:rPr>
            </w:pPr>
            <w:r>
              <w:rPr>
                <w:rFonts w:ascii="Arial" w:cs="Arial" w:eastAsia="Arial" w:hAnsi="Arial"/>
                <w:sz w:val="18"/>
                <w:szCs w:val="18"/>
                <w:color w:val="auto"/>
              </w:rPr>
              <w:t>Grants outstanding</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4,202,367</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15.27</w:t>
            </w:r>
          </w:p>
        </w:tc>
        <w:tc>
          <w:tcPr>
            <w:tcW w:w="18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ind w:left="520"/>
              <w:spacing w:after="0" w:line="182" w:lineRule="exact"/>
              <w:rPr>
                <w:sz w:val="20"/>
                <w:szCs w:val="20"/>
                <w:color w:val="auto"/>
              </w:rPr>
            </w:pPr>
            <w:r>
              <w:rPr>
                <w:rFonts w:ascii="Arial" w:cs="Arial" w:eastAsia="Arial" w:hAnsi="Arial"/>
                <w:sz w:val="18"/>
                <w:szCs w:val="18"/>
                <w:color w:val="auto"/>
                <w:w w:val="83"/>
              </w:rPr>
              <w:t>9.1 Years</w:t>
            </w:r>
          </w:p>
        </w:tc>
        <w:tc>
          <w:tcPr>
            <w:tcW w:w="10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w w:val="96"/>
              </w:rPr>
              <w:t>June 30, 2022</w:t>
            </w:r>
          </w:p>
        </w:tc>
        <w:tc>
          <w:tcPr>
            <w:tcW w:w="3880" w:type="dxa"/>
            <w:vAlign w:val="bottom"/>
            <w:shd w:val="clear" w:color="auto" w:fill="CFF0FC"/>
          </w:tcPr>
          <w:p>
            <w:pPr>
              <w:ind w:left="100"/>
              <w:spacing w:after="0" w:line="183" w:lineRule="exact"/>
              <w:rPr>
                <w:sz w:val="20"/>
                <w:szCs w:val="20"/>
                <w:color w:val="auto"/>
              </w:rPr>
            </w:pPr>
            <w:r>
              <w:rPr>
                <w:rFonts w:ascii="Arial" w:cs="Arial" w:eastAsia="Arial" w:hAnsi="Arial"/>
                <w:sz w:val="18"/>
                <w:szCs w:val="18"/>
                <w:color w:val="auto"/>
              </w:rPr>
              <w:t>Grants vested</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999,352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15.07</w:t>
            </w: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w w:val="83"/>
              </w:rPr>
              <w:t>9.0 Years</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6"/>
              </w:rPr>
              <w:t>June 30, 2022</w:t>
            </w:r>
          </w:p>
        </w:tc>
        <w:tc>
          <w:tcPr>
            <w:tcW w:w="3880" w:type="dxa"/>
            <w:vAlign w:val="bottom"/>
          </w:tcPr>
          <w:p>
            <w:pPr>
              <w:ind w:left="100"/>
              <w:spacing w:after="0"/>
              <w:rPr>
                <w:sz w:val="20"/>
                <w:szCs w:val="20"/>
                <w:color w:val="auto"/>
              </w:rPr>
            </w:pPr>
            <w:r>
              <w:rPr>
                <w:rFonts w:ascii="Arial" w:cs="Arial" w:eastAsia="Arial" w:hAnsi="Arial"/>
                <w:sz w:val="18"/>
                <w:szCs w:val="18"/>
                <w:color w:val="auto"/>
              </w:rPr>
              <w:t>Grants unvested</w:t>
            </w:r>
          </w:p>
        </w:tc>
        <w:tc>
          <w:tcPr>
            <w:tcW w:w="1120" w:type="dxa"/>
            <w:vAlign w:val="bottom"/>
          </w:tcPr>
          <w:p>
            <w:pPr>
              <w:jc w:val="right"/>
              <w:spacing w:after="0"/>
              <w:rPr>
                <w:sz w:val="20"/>
                <w:szCs w:val="20"/>
                <w:color w:val="auto"/>
              </w:rPr>
            </w:pPr>
            <w:r>
              <w:rPr>
                <w:rFonts w:ascii="Arial" w:cs="Arial" w:eastAsia="Arial" w:hAnsi="Arial"/>
                <w:sz w:val="18"/>
                <w:szCs w:val="18"/>
                <w:color w:val="auto"/>
              </w:rPr>
              <w:t>3,203,015</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15.33</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-434340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fair value for stock options granted for the six months ended June 30, 2022 was estimated at the date of grant using the Black-Scholes option-pricing model with the following weighed average assumptions: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580" w:type="dxa"/>
            <w:vAlign w:val="bottom"/>
            <w:vMerge w:val="restart"/>
          </w:tcPr>
          <w:p>
            <w:pPr>
              <w:spacing w:after="0"/>
              <w:rPr>
                <w:sz w:val="20"/>
                <w:szCs w:val="20"/>
                <w:color w:val="auto"/>
              </w:rPr>
            </w:pPr>
            <w:r>
              <w:rPr>
                <w:rFonts w:ascii="Arial" w:cs="Arial" w:eastAsia="Arial" w:hAnsi="Arial"/>
                <w:sz w:val="18"/>
                <w:szCs w:val="18"/>
                <w:color w:val="auto"/>
              </w:rPr>
              <w:t>Expected stock price volatility</w:t>
            </w: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34.60 %</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7"/>
                <w:szCs w:val="17"/>
                <w:color w:val="auto"/>
              </w:rPr>
            </w:pP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5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Estimated fair-value of the underlying unit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-531495</wp:posOffset>
            </wp:positionV>
            <wp:extent cx="570039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(“RSU”) vest annually, generally over three to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for the six months ended June 30, 2022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53"/>
              <w:spacing w:after="0"/>
              <w:rPr>
                <w:sz w:val="20"/>
                <w:szCs w:val="20"/>
                <w:color w:val="auto"/>
              </w:rPr>
            </w:pPr>
            <w:r>
              <w:rPr>
                <w:rFonts w:ascii="Arial" w:cs="Arial" w:eastAsia="Arial" w:hAnsi="Arial"/>
                <w:sz w:val="14"/>
                <w:szCs w:val="14"/>
                <w:b w:val="1"/>
                <w:bCs w:val="1"/>
                <w:color w:val="auto"/>
                <w:w w:val="91"/>
              </w:rPr>
              <w:t>Weighted 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34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7"/>
              </w:rPr>
              <w:t>December 31, 2021</w:t>
            </w:r>
          </w:p>
        </w:tc>
        <w:tc>
          <w:tcPr>
            <w:tcW w:w="23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Nonvested RSUs</w:t>
            </w:r>
          </w:p>
        </w:tc>
        <w:tc>
          <w:tcPr>
            <w:tcW w:w="34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340,875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82"/>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17.19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474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178,650</w:t>
            </w:r>
          </w:p>
        </w:tc>
        <w:tc>
          <w:tcPr>
            <w:tcW w:w="36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3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Vested</w:t>
            </w:r>
          </w:p>
        </w:tc>
        <w:tc>
          <w:tcPr>
            <w:tcW w:w="4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(38,600 )</w:t>
            </w:r>
          </w:p>
        </w:tc>
        <w:tc>
          <w:tcPr>
            <w:tcW w:w="360" w:type="dxa"/>
            <w:vAlign w:val="bottom"/>
            <w:gridSpan w:val="2"/>
            <w:shd w:val="clear" w:color="auto" w:fill="CFF0FC"/>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16.54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380" w:type="dxa"/>
            <w:vAlign w:val="bottom"/>
          </w:tcPr>
          <w:p>
            <w:pPr>
              <w:ind w:left="120"/>
              <w:spacing w:after="0" w:line="202" w:lineRule="exact"/>
              <w:rPr>
                <w:sz w:val="20"/>
                <w:szCs w:val="20"/>
                <w:color w:val="auto"/>
              </w:rPr>
            </w:pPr>
            <w:r>
              <w:rPr>
                <w:rFonts w:ascii="Arial" w:cs="Arial" w:eastAsia="Arial" w:hAnsi="Arial"/>
                <w:sz w:val="18"/>
                <w:szCs w:val="18"/>
                <w:color w:val="auto"/>
              </w:rPr>
              <w:t>Forfeited</w:t>
            </w:r>
          </w:p>
        </w:tc>
        <w:tc>
          <w:tcPr>
            <w:tcW w:w="4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(4,400 )</w:t>
            </w:r>
          </w:p>
        </w:tc>
        <w:tc>
          <w:tcPr>
            <w:tcW w:w="36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5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June 30, 2022</w:t>
            </w:r>
          </w:p>
        </w:tc>
        <w:tc>
          <w:tcPr>
            <w:tcW w:w="2380" w:type="dxa"/>
            <w:vAlign w:val="bottom"/>
            <w:tcBorders>
              <w:bottom w:val="single" w:sz="8" w:color="CFF0FC"/>
            </w:tcBorders>
            <w:shd w:val="clear" w:color="auto" w:fill="CFF0FC"/>
          </w:tcPr>
          <w:p>
            <w:pPr>
              <w:ind w:left="120"/>
              <w:spacing w:after="0" w:line="182" w:lineRule="exact"/>
              <w:rPr>
                <w:sz w:val="20"/>
                <w:szCs w:val="20"/>
                <w:color w:val="auto"/>
              </w:rPr>
            </w:pPr>
            <w:r>
              <w:rPr>
                <w:rFonts w:ascii="Arial" w:cs="Arial" w:eastAsia="Arial" w:hAnsi="Arial"/>
                <w:sz w:val="18"/>
                <w:szCs w:val="18"/>
                <w:color w:val="auto"/>
              </w:rPr>
              <w:t>Nonvested RSUs</w:t>
            </w:r>
          </w:p>
        </w:tc>
        <w:tc>
          <w:tcPr>
            <w:tcW w:w="34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rPr>
              <w:t>476,525</w:t>
            </w:r>
          </w:p>
        </w:tc>
        <w:tc>
          <w:tcPr>
            <w:tcW w:w="360" w:type="dxa"/>
            <w:vAlign w:val="bottom"/>
            <w:tcBorders>
              <w:bottom w:val="single" w:sz="8" w:color="CFF0FC"/>
            </w:tcBorders>
            <w:gridSpan w:val="2"/>
            <w:shd w:val="clear" w:color="auto" w:fill="CFF0FC"/>
          </w:tcPr>
          <w:p>
            <w:pPr>
              <w:jc w:val="right"/>
              <w:ind w:right="82"/>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16.19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60" w:type="dxa"/>
            <w:vAlign w:val="bottom"/>
          </w:tcPr>
          <w:p>
            <w:pPr>
              <w:jc w:val="right"/>
              <w:ind w:right="2170"/>
              <w:spacing w:after="0"/>
              <w:rPr>
                <w:sz w:val="20"/>
                <w:szCs w:val="20"/>
                <w:color w:val="auto"/>
              </w:rPr>
            </w:pPr>
            <w:r>
              <w:rPr>
                <w:rFonts w:ascii="Arial" w:cs="Arial" w:eastAsia="Arial" w:hAnsi="Arial"/>
                <w:sz w:val="18"/>
                <w:szCs w:val="18"/>
                <w:color w:val="auto"/>
              </w:rPr>
              <w:t>17</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-359410</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-342265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Restricted Stock</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for the six months ended June 30, 2022 is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340" w:type="dxa"/>
            <w:vAlign w:val="bottom"/>
            <w:gridSpan w:val="2"/>
          </w:tcPr>
          <w:p>
            <w:pPr>
              <w:jc w:val="center"/>
              <w:ind w:right="54"/>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5"/>
        </w:trPr>
        <w:tc>
          <w:tcPr>
            <w:tcW w:w="13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4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December 31, 2021   Nonvested restricted stock</w:t>
            </w:r>
          </w:p>
        </w:tc>
        <w:tc>
          <w:tcPr>
            <w:tcW w:w="126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2,613,359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82"/>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6060" w:type="dxa"/>
            <w:vAlign w:val="bottom"/>
          </w:tcPr>
          <w:p>
            <w:pPr>
              <w:ind w:left="340"/>
              <w:spacing w:after="0" w:line="202" w:lineRule="exact"/>
              <w:rPr>
                <w:sz w:val="20"/>
                <w:szCs w:val="20"/>
                <w:color w:val="auto"/>
              </w:rPr>
            </w:pPr>
            <w:r>
              <w:rPr>
                <w:rFonts w:ascii="Arial" w:cs="Arial" w:eastAsia="Arial" w:hAnsi="Arial"/>
                <w:sz w:val="18"/>
                <w:szCs w:val="18"/>
                <w:color w:val="auto"/>
              </w:rPr>
              <w:t>Granted</w:t>
            </w:r>
          </w:p>
        </w:tc>
        <w:tc>
          <w:tcPr>
            <w:tcW w:w="12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Borders>
              <w:bottom w:val="single" w:sz="8" w:color="CFF0FC"/>
            </w:tcBorders>
            <w:shd w:val="clear" w:color="auto" w:fill="CFF0FC"/>
          </w:tcPr>
          <w:p>
            <w:pPr>
              <w:spacing w:after="0"/>
              <w:rPr>
                <w:sz w:val="17"/>
                <w:szCs w:val="17"/>
                <w:color w:val="auto"/>
              </w:rPr>
            </w:pPr>
          </w:p>
        </w:tc>
        <w:tc>
          <w:tcPr>
            <w:tcW w:w="606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Vested</w:t>
            </w: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(332,059 )</w:t>
            </w:r>
          </w:p>
        </w:tc>
        <w:tc>
          <w:tcPr>
            <w:tcW w:w="380" w:type="dxa"/>
            <w:vAlign w:val="bottom"/>
            <w:tcBorders>
              <w:bottom w:val="single" w:sz="8" w:color="CFF0FC"/>
            </w:tcBorders>
            <w:gridSpan w:val="2"/>
            <w:shd w:val="clear" w:color="auto" w:fill="CFF0FC"/>
          </w:tcPr>
          <w:p>
            <w:pPr>
              <w:jc w:val="right"/>
              <w:ind w:right="82"/>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96"/>
        </w:trPr>
        <w:tc>
          <w:tcPr>
            <w:tcW w:w="1340" w:type="dxa"/>
            <w:vAlign w:val="bottom"/>
          </w:tcPr>
          <w:p>
            <w:pPr>
              <w:spacing w:after="0" w:line="182" w:lineRule="exact"/>
              <w:rPr>
                <w:sz w:val="20"/>
                <w:szCs w:val="20"/>
                <w:color w:val="auto"/>
              </w:rPr>
            </w:pPr>
            <w:r>
              <w:rPr>
                <w:rFonts w:ascii="Arial" w:cs="Arial" w:eastAsia="Arial" w:hAnsi="Arial"/>
                <w:sz w:val="18"/>
                <w:szCs w:val="18"/>
                <w:color w:val="auto"/>
              </w:rPr>
              <w:t>June 30, 2022</w:t>
            </w:r>
          </w:p>
        </w:tc>
        <w:tc>
          <w:tcPr>
            <w:tcW w:w="6060" w:type="dxa"/>
            <w:vAlign w:val="bottom"/>
          </w:tcPr>
          <w:p>
            <w:pPr>
              <w:ind w:left="340"/>
              <w:spacing w:after="0" w:line="182" w:lineRule="exact"/>
              <w:rPr>
                <w:sz w:val="20"/>
                <w:szCs w:val="20"/>
                <w:color w:val="auto"/>
              </w:rPr>
            </w:pPr>
            <w:r>
              <w:rPr>
                <w:rFonts w:ascii="Arial" w:cs="Arial" w:eastAsia="Arial" w:hAnsi="Arial"/>
                <w:sz w:val="18"/>
                <w:szCs w:val="18"/>
                <w:color w:val="auto"/>
              </w:rPr>
              <w:t>Nonvested restricted stock</w:t>
            </w:r>
          </w:p>
        </w:tc>
        <w:tc>
          <w:tcPr>
            <w:tcW w:w="1260" w:type="dxa"/>
            <w:vAlign w:val="bottom"/>
            <w:tcBorders>
              <w:bottom w:val="single" w:sz="8" w:color="auto"/>
            </w:tcBorders>
          </w:tcPr>
          <w:p>
            <w:pPr>
              <w:jc w:val="right"/>
              <w:ind w:right="14"/>
              <w:spacing w:after="0" w:line="182" w:lineRule="exact"/>
              <w:rPr>
                <w:sz w:val="20"/>
                <w:szCs w:val="20"/>
                <w:color w:val="auto"/>
              </w:rPr>
            </w:pPr>
            <w:r>
              <w:rPr>
                <w:rFonts w:ascii="Arial" w:cs="Arial" w:eastAsia="Arial" w:hAnsi="Arial"/>
                <w:sz w:val="18"/>
                <w:szCs w:val="18"/>
                <w:color w:val="auto"/>
              </w:rPr>
              <w:t>2,281,300</w:t>
            </w:r>
          </w:p>
        </w:tc>
        <w:tc>
          <w:tcPr>
            <w:tcW w:w="380" w:type="dxa"/>
            <w:vAlign w:val="bottom"/>
            <w:gridSpan w:val="2"/>
          </w:tcPr>
          <w:p>
            <w:pPr>
              <w:jc w:val="right"/>
              <w:ind w:right="82"/>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18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-159385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As of June 30, 2022, the Company had approximately $38.1 million of unrecognized pre-tax noncash compensation expense, comprised of approximately $8.3 million related to restricted stock, $7.2 million related to restricted stock units, and approximately $22.6 million related to stock options, which the Company expects to recognize over a weighted average period of 3.4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will be one six-month purchase period, which will have the same duration and coincide with the length of the offering period. During the holding period, ESPP purchased shares are not eligible for sale or broker transfer. No purchases have been made under the ESPP as of 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class of stock.</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June 11, 2021, the Company’s Board of Directors approved and made effective a 1,300,000-for-one stock split of the Company’s common stock and filed an Amended and Restated Certificate of Incorporation, which authorized a total of 1,000,000,000 shares of Common Stock, $0.001 par value per share and 250,000,000 shares of Preferred Stock, par value $0.001 per share (the “Preferred Stock”). The par value per share of common stock remained unchanged at $0.001 per share. Authorized shares were increased from 10,000 shares to 1,000,000,000 shares. The condensed consolidated financial statements and accompanying notes give retroactive effect to the stock split for all periods presented. After giving retroactive effect to the stock split, as of December 31, 2020, 130,000,000 shares of common stock were issued and outstanding.</w:t>
      </w:r>
    </w:p>
    <w:p>
      <w:pPr>
        <w:spacing w:after="0" w:line="1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connection with the IPO, Fastball Holdco, L.P., the Company’s parent, was dissolved and all outstanding Class A LP Units, Class B LP Units, and Class C LP Units of Fastball Holdco, L.P. were exchanged for 130,000,000 shares of the Company’s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no preferred stock had been issued and 153,125,085 shares of common stock were issued and outstanding.</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Except for certain changes to our lease agreements discussed in Note 13, there have been no material changes to the Company’s contractual obligations as compared to December 31, 2021.</w:t>
      </w:r>
    </w:p>
    <w:p>
      <w:pPr>
        <w:spacing w:after="0" w:line="11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2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$3.6 million and $7.9 million at June 30, 2022 and December 31, 2021, respectively, for matters that it believes a loss is both probable and estimable. This is included in accrued liabilities in the accompanying condensed consolidated balance sheets.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2022, the Company settled and paid $5.5 million related to a settlement agreement the parties had agreed upon in April 2020 and was approved by the court in December 2021. In March 2022, the Company received a recovery of $2.2 million, which represented the portion of the legal settlement and legal fees incurred by the Company and recoverable from the Company’s insurers related to this case.</w:t>
      </w:r>
    </w:p>
    <w:p>
      <w:pPr>
        <w:spacing w:after="0" w:line="12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Effective January 1, 2022 the Company adopted ASC 842, which requires recognition of right of use (“ROU”) assets and lease liabilities on the balance sheet, based on the present value of the future minimum rental payments for existing operating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2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measures the ROU assets and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implicit rate is not readily determinable for most of the Company’s lease agreements, the Company uses an estimated incremental borrowing rate to determine the initial present value of lease payments.</w:t>
      </w:r>
    </w:p>
    <w:p>
      <w:pPr>
        <w:spacing w:after="0" w:line="11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9 years with a majority of the Company’s lease terms ranging from 3 to 5 years.</w:t>
      </w:r>
    </w:p>
    <w:p>
      <w:pPr>
        <w:spacing w:after="0" w:line="12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Some leases include one or more options to renew, with renewal terms that can extend the lease term from 1 to 5 years or more. The exercise of these lease renewal options is at the Company’s sole discretion. The depreciable life of assets and leasehold improvements are limited by the expected lease term.</w:t>
      </w:r>
    </w:p>
    <w:p>
      <w:pPr>
        <w:spacing w:after="0" w:line="7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components of lease costs are as follows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520" w:type="dxa"/>
            <w:vAlign w:val="bottom"/>
          </w:tcPr>
          <w:p>
            <w:pPr>
              <w:jc w:val="center"/>
              <w:ind w:left="397"/>
              <w:spacing w:after="0"/>
              <w:rPr>
                <w:sz w:val="20"/>
                <w:szCs w:val="20"/>
                <w:color w:val="auto"/>
              </w:rPr>
            </w:pPr>
            <w:r>
              <w:rPr>
                <w:rFonts w:ascii="Arial" w:cs="Arial" w:eastAsia="Arial" w:hAnsi="Arial"/>
                <w:sz w:val="14"/>
                <w:szCs w:val="14"/>
                <w:b w:val="1"/>
                <w:bCs w:val="1"/>
                <w:color w:val="auto"/>
                <w:w w:val="95"/>
              </w:rPr>
              <w:t>Three Months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center"/>
              <w:ind w:right="375"/>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5660" w:type="dxa"/>
            <w:vAlign w:val="bottom"/>
          </w:tcPr>
          <w:p>
            <w:pPr>
              <w:spacing w:after="0"/>
              <w:rPr>
                <w:sz w:val="12"/>
                <w:szCs w:val="12"/>
                <w:color w:val="auto"/>
              </w:rPr>
            </w:pPr>
          </w:p>
        </w:tc>
        <w:tc>
          <w:tcPr>
            <w:tcW w:w="1520" w:type="dxa"/>
            <w:vAlign w:val="bottom"/>
          </w:tcPr>
          <w:p>
            <w:pPr>
              <w:jc w:val="center"/>
              <w:ind w:left="397"/>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jc w:val="center"/>
              <w:ind w:right="395"/>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660" w:type="dxa"/>
            <w:vAlign w:val="bottom"/>
          </w:tcPr>
          <w:p>
            <w:pPr>
              <w:spacing w:after="0"/>
              <w:rPr>
                <w:sz w:val="16"/>
                <w:szCs w:val="16"/>
                <w:color w:val="auto"/>
              </w:rPr>
            </w:pPr>
          </w:p>
        </w:tc>
        <w:tc>
          <w:tcPr>
            <w:tcW w:w="152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2"/>
              </w:rPr>
              <w:t>June 30, 2022</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92"/>
              </w:rPr>
              <w:t>June 30, 2022</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costs</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Fixed</w:t>
            </w:r>
          </w:p>
        </w:tc>
        <w:tc>
          <w:tcPr>
            <w:tcW w:w="1520" w:type="dxa"/>
            <w:vAlign w:val="bottom"/>
          </w:tcPr>
          <w:p>
            <w:pPr>
              <w:jc w:val="right"/>
              <w:ind w:right="1337"/>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1,828</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3,587</w:t>
            </w:r>
          </w:p>
        </w:tc>
      </w:tr>
      <w:tr>
        <w:trPr>
          <w:trHeight w:val="203"/>
        </w:trPr>
        <w:tc>
          <w:tcPr>
            <w:tcW w:w="5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Short-term</w:t>
            </w:r>
          </w:p>
        </w:tc>
        <w:tc>
          <w:tcPr>
            <w:tcW w:w="15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113</w:t>
            </w: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Variable</w:t>
            </w:r>
          </w:p>
        </w:tc>
        <w:tc>
          <w:tcPr>
            <w:tcW w:w="1520" w:type="dxa"/>
            <w:vAlign w:val="bottom"/>
          </w:tcPr>
          <w:p>
            <w:pPr>
              <w:spacing w:after="0"/>
              <w:rPr>
                <w:sz w:val="17"/>
                <w:szCs w:val="17"/>
                <w:color w:val="auto"/>
              </w:rPr>
            </w:pP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w:t>
            </w:r>
          </w:p>
        </w:tc>
      </w:tr>
      <w:tr>
        <w:trPr>
          <w:trHeight w:val="202"/>
        </w:trPr>
        <w:tc>
          <w:tcPr>
            <w:tcW w:w="56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Sub-leases</w:t>
            </w:r>
          </w:p>
        </w:tc>
        <w:tc>
          <w:tcPr>
            <w:tcW w:w="15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196"/>
        </w:trPr>
        <w:tc>
          <w:tcPr>
            <w:tcW w:w="5660" w:type="dxa"/>
            <w:vAlign w:val="bottom"/>
          </w:tcPr>
          <w:p>
            <w:pPr>
              <w:ind w:left="180"/>
              <w:spacing w:after="0" w:line="196" w:lineRule="exact"/>
              <w:rPr>
                <w:sz w:val="20"/>
                <w:szCs w:val="20"/>
                <w:color w:val="auto"/>
              </w:rPr>
            </w:pPr>
            <w:r>
              <w:rPr>
                <w:rFonts w:ascii="Arial" w:cs="Arial" w:eastAsia="Arial" w:hAnsi="Arial"/>
                <w:sz w:val="18"/>
                <w:szCs w:val="18"/>
                <w:color w:val="auto"/>
              </w:rPr>
              <w:t>Total operating lease costs</w:t>
            </w:r>
          </w:p>
        </w:tc>
        <w:tc>
          <w:tcPr>
            <w:tcW w:w="1520" w:type="dxa"/>
            <w:vAlign w:val="bottom"/>
          </w:tcPr>
          <w:p>
            <w:pPr>
              <w:jc w:val="right"/>
              <w:ind w:right="1337"/>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1,878</w:t>
            </w:r>
          </w:p>
        </w:tc>
        <w:tc>
          <w:tcPr>
            <w:tcW w:w="5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3,701</w:t>
            </w:r>
          </w:p>
        </w:tc>
      </w:tr>
      <w:tr>
        <w:trPr>
          <w:trHeight w:val="196"/>
        </w:trPr>
        <w:tc>
          <w:tcPr>
            <w:tcW w:w="566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Finance lease costs</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56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leased assets</w:t>
            </w:r>
          </w:p>
        </w:tc>
        <w:tc>
          <w:tcPr>
            <w:tcW w:w="1520" w:type="dxa"/>
            <w:vAlign w:val="bottom"/>
            <w:shd w:val="clear" w:color="auto" w:fill="CFF0FC"/>
          </w:tcPr>
          <w:p>
            <w:pPr>
              <w:jc w:val="right"/>
              <w:ind w:right="1337"/>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190</w:t>
            </w:r>
          </w:p>
        </w:tc>
        <w:tc>
          <w:tcPr>
            <w:tcW w:w="5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400</w:t>
            </w: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Interest on lease liabilities</w:t>
            </w:r>
          </w:p>
        </w:tc>
        <w:tc>
          <w:tcPr>
            <w:tcW w:w="1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21</w:t>
            </w:r>
          </w:p>
        </w:tc>
      </w:tr>
      <w:tr>
        <w:trPr>
          <w:trHeight w:val="196"/>
        </w:trPr>
        <w:tc>
          <w:tcPr>
            <w:tcW w:w="56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finance lease costs</w:t>
            </w:r>
          </w:p>
        </w:tc>
        <w:tc>
          <w:tcPr>
            <w:tcW w:w="1520" w:type="dxa"/>
            <w:vAlign w:val="bottom"/>
            <w:tcBorders>
              <w:bottom w:val="single" w:sz="8" w:color="auto"/>
            </w:tcBorders>
            <w:shd w:val="clear" w:color="auto" w:fill="CFF0FC"/>
          </w:tcPr>
          <w:p>
            <w:pPr>
              <w:jc w:val="right"/>
              <w:ind w:right="1337"/>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421</w:t>
            </w:r>
          </w:p>
        </w:tc>
      </w:tr>
      <w:tr>
        <w:trPr>
          <w:trHeight w:val="196"/>
        </w:trPr>
        <w:tc>
          <w:tcPr>
            <w:tcW w:w="5660" w:type="dxa"/>
            <w:vAlign w:val="bottom"/>
          </w:tcPr>
          <w:p>
            <w:pPr>
              <w:ind w:left="280"/>
              <w:spacing w:after="0" w:line="182" w:lineRule="exact"/>
              <w:rPr>
                <w:sz w:val="20"/>
                <w:szCs w:val="20"/>
                <w:color w:val="auto"/>
              </w:rPr>
            </w:pPr>
            <w:r>
              <w:rPr>
                <w:rFonts w:ascii="Arial" w:cs="Arial" w:eastAsia="Arial" w:hAnsi="Arial"/>
                <w:sz w:val="18"/>
                <w:szCs w:val="18"/>
                <w:color w:val="auto"/>
              </w:rPr>
              <w:t>Total lease cost</w:t>
            </w:r>
          </w:p>
        </w:tc>
        <w:tc>
          <w:tcPr>
            <w:tcW w:w="1520" w:type="dxa"/>
            <w:vAlign w:val="bottom"/>
          </w:tcPr>
          <w:p>
            <w:pPr>
              <w:jc w:val="right"/>
              <w:ind w:right="1337"/>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line="182" w:lineRule="exact"/>
              <w:rPr>
                <w:sz w:val="20"/>
                <w:szCs w:val="20"/>
                <w:color w:val="auto"/>
              </w:rPr>
            </w:pPr>
            <w:r>
              <w:rPr>
                <w:rFonts w:ascii="Arial" w:cs="Arial" w:eastAsia="Arial" w:hAnsi="Arial"/>
                <w:sz w:val="18"/>
                <w:szCs w:val="18"/>
                <w:color w:val="auto"/>
              </w:rPr>
              <w:t>2,078</w:t>
            </w:r>
          </w:p>
        </w:tc>
        <w:tc>
          <w:tcPr>
            <w:tcW w:w="56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35"/>
              <w:spacing w:after="0" w:line="182" w:lineRule="exact"/>
              <w:rPr>
                <w:sz w:val="20"/>
                <w:szCs w:val="20"/>
                <w:color w:val="auto"/>
              </w:rPr>
            </w:pPr>
            <w:r>
              <w:rPr>
                <w:rFonts w:ascii="Arial" w:cs="Arial" w:eastAsia="Arial" w:hAnsi="Arial"/>
                <w:sz w:val="18"/>
                <w:szCs w:val="18"/>
                <w:color w:val="auto"/>
              </w:rPr>
              <w:t>4,122</w:t>
            </w:r>
          </w:p>
        </w:tc>
      </w:tr>
      <w:tr>
        <w:trPr>
          <w:trHeight w:val="20"/>
        </w:trPr>
        <w:tc>
          <w:tcPr>
            <w:tcW w:w="56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-956310</wp:posOffset>
            </wp:positionV>
            <wp:extent cx="1371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13716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Right of use operating lease assets</w:t>
            </w:r>
          </w:p>
        </w:tc>
        <w:tc>
          <w:tcPr>
            <w:tcW w:w="2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16,008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Property and equipment, gross</w:t>
            </w:r>
          </w:p>
        </w:tc>
        <w:tc>
          <w:tcPr>
            <w:tcW w:w="2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5,098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Accumulated depreciation</w:t>
            </w:r>
          </w:p>
        </w:tc>
        <w:tc>
          <w:tcPr>
            <w:tcW w:w="2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(4,706 )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3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392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lease assets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16,400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5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current</w:t>
            </w:r>
          </w:p>
        </w:tc>
        <w:tc>
          <w:tcPr>
            <w:tcW w:w="3120" w:type="dxa"/>
            <w:vAlign w:val="bottom"/>
            <w:gridSpan w:val="4"/>
          </w:tcPr>
          <w:p>
            <w:pPr>
              <w:ind w:left="20"/>
              <w:spacing w:after="0" w:line="202" w:lineRule="exact"/>
              <w:rPr>
                <w:sz w:val="20"/>
                <w:szCs w:val="20"/>
                <w:color w:val="auto"/>
              </w:rPr>
            </w:pPr>
            <w:r>
              <w:rPr>
                <w:rFonts w:ascii="Arial" w:cs="Arial" w:eastAsia="Arial" w:hAnsi="Arial"/>
                <w:sz w:val="18"/>
                <w:szCs w:val="18"/>
                <w:color w:val="auto"/>
                <w:w w:val="94"/>
              </w:rPr>
              <w:t>Current portion of operating lease liability</w:t>
            </w:r>
          </w:p>
        </w:tc>
        <w:tc>
          <w:tcPr>
            <w:tcW w:w="42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6,070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3540" w:type="dxa"/>
            <w:vAlign w:val="bottom"/>
            <w:tcBorders>
              <w:bottom w:val="single" w:sz="8" w:color="CFF0FC"/>
            </w:tcBorders>
            <w:gridSpan w:val="5"/>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liability, less current portion</w:t>
            </w:r>
          </w:p>
        </w:tc>
        <w:tc>
          <w:tcPr>
            <w:tcW w:w="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11,514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operating liabilities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17,584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current</w:t>
            </w:r>
          </w:p>
        </w:tc>
        <w:tc>
          <w:tcPr>
            <w:tcW w:w="2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tcBorders>
              <w:bottom w:val="single" w:sz="8" w:color="CFF0FC"/>
            </w:tcBorders>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Non-current</w:t>
            </w:r>
          </w:p>
        </w:tc>
        <w:tc>
          <w:tcPr>
            <w:tcW w:w="23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finance liabilities</w:t>
            </w: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532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lease liabilities</w:t>
            </w:r>
          </w:p>
        </w:tc>
        <w:tc>
          <w:tcPr>
            <w:tcW w:w="15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18,116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482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 (in thousands):</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580" w:type="dxa"/>
            <w:vAlign w:val="bottom"/>
          </w:tcPr>
          <w:p>
            <w:pPr>
              <w:spacing w:after="0"/>
              <w:rPr>
                <w:sz w:val="24"/>
                <w:szCs w:val="24"/>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Finance Leases</w:t>
            </w:r>
          </w:p>
        </w:tc>
        <w:tc>
          <w:tcPr>
            <w:tcW w:w="132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w w:val="96"/>
              </w:rPr>
              <w:t>Operating Leases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w w:val="98"/>
              </w:rPr>
              <w:t>2022 (excluding the six months ended June 30, 2022)</w:t>
            </w:r>
          </w:p>
        </w:tc>
        <w:tc>
          <w:tcPr>
            <w:tcW w:w="158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435</w:t>
            </w:r>
          </w:p>
        </w:tc>
        <w:tc>
          <w:tcPr>
            <w:tcW w:w="1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3"/>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3,919</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4,354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6,153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6,261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5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5,357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5,357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0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2,096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2,096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5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1,584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1,584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5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10"/>
              <w:spacing w:after="0" w:line="202" w:lineRule="exact"/>
              <w:rPr>
                <w:sz w:val="20"/>
                <w:szCs w:val="20"/>
                <w:color w:val="auto"/>
              </w:rPr>
            </w:pPr>
            <w:r>
              <w:rPr>
                <w:rFonts w:ascii="Arial" w:cs="Arial" w:eastAsia="Arial" w:hAnsi="Arial"/>
                <w:sz w:val="18"/>
                <w:szCs w:val="18"/>
                <w:color w:val="auto"/>
              </w:rPr>
              <w:t>402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402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minimum lease payments</w:t>
            </w:r>
          </w:p>
        </w:tc>
        <w:tc>
          <w:tcPr>
            <w:tcW w:w="2320" w:type="dxa"/>
            <w:vAlign w:val="bottom"/>
            <w:tcBorders>
              <w:bottom w:val="single" w:sz="8" w:color="CFF0FC"/>
            </w:tcBorders>
            <w:gridSpan w:val="2"/>
            <w:shd w:val="clear" w:color="auto" w:fill="CFF0FC"/>
          </w:tcPr>
          <w:p>
            <w:pPr>
              <w:ind w:left="1600"/>
              <w:spacing w:after="0" w:line="18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543</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35"/>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FF0FC"/>
            </w:tcBorders>
            <w:gridSpan w:val="3"/>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19,511</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20,054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24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Less: Imputed interest</w:t>
            </w:r>
          </w:p>
        </w:tc>
        <w:tc>
          <w:tcPr>
            <w:tcW w:w="15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(11 )</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8"/>
                <w:szCs w:val="18"/>
                <w:color w:val="auto"/>
              </w:rPr>
              <w:t>(1,511 )</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40" w:type="dxa"/>
            <w:vAlign w:val="bottom"/>
            <w:tcBorders>
              <w:bottom w:val="single" w:sz="8" w:color="CFF0FC"/>
            </w:tcBorders>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Present value of minimum lease payments</w:t>
            </w:r>
          </w:p>
        </w:tc>
        <w:tc>
          <w:tcPr>
            <w:tcW w:w="158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532</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18,000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ind w:left="720"/>
              <w:spacing w:after="0"/>
              <w:rPr>
                <w:sz w:val="20"/>
                <w:szCs w:val="20"/>
                <w:color w:val="auto"/>
              </w:rPr>
            </w:pPr>
            <w:r>
              <w:rPr>
                <w:rFonts w:ascii="Arial" w:cs="Arial" w:eastAsia="Arial" w:hAnsi="Arial"/>
                <w:sz w:val="18"/>
                <w:szCs w:val="18"/>
                <w:color w:val="auto"/>
              </w:rPr>
              <w:t>20</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-359410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-342265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ind w:right="340"/>
        <w:spacing w:after="0" w:line="261" w:lineRule="auto"/>
        <w:rPr>
          <w:sz w:val="20"/>
          <w:szCs w:val="20"/>
          <w:color w:val="auto"/>
        </w:rPr>
      </w:pPr>
      <w:r>
        <w:rPr>
          <w:rFonts w:ascii="Arial" w:cs="Arial" w:eastAsia="Arial" w:hAnsi="Arial"/>
          <w:sz w:val="18"/>
          <w:szCs w:val="18"/>
          <w:color w:val="auto"/>
        </w:rPr>
        <w:t>For additional information regarding the Company’s Commitments and Contingencies as of December 31, 2021 as disclosed for capital and operating leases, see Note 12 in its 2021 Annual Report filed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Lease term and discount rates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2022</w:t>
            </w:r>
          </w:p>
        </w:tc>
      </w:tr>
      <w:tr>
        <w:trPr>
          <w:trHeight w:val="196"/>
        </w:trPr>
        <w:tc>
          <w:tcPr>
            <w:tcW w:w="580" w:type="dxa"/>
            <w:vAlign w:val="bottom"/>
          </w:tcPr>
          <w:p>
            <w:pPr>
              <w:spacing w:after="0"/>
              <w:rPr>
                <w:sz w:val="17"/>
                <w:szCs w:val="17"/>
                <w:color w:val="auto"/>
              </w:rPr>
            </w:pPr>
          </w:p>
        </w:tc>
        <w:tc>
          <w:tcPr>
            <w:tcW w:w="84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 Years</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0.7 Years</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4.81 %</w:t>
            </w: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5.39 %</w:t>
            </w:r>
          </w:p>
        </w:tc>
      </w:tr>
      <w:tr>
        <w:trPr>
          <w:trHeight w:val="378"/>
        </w:trPr>
        <w:tc>
          <w:tcPr>
            <w:tcW w:w="898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5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58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5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2022</w:t>
            </w:r>
          </w:p>
        </w:tc>
      </w:tr>
      <w:tr>
        <w:trPr>
          <w:trHeight w:val="196"/>
        </w:trPr>
        <w:tc>
          <w:tcPr>
            <w:tcW w:w="580" w:type="dxa"/>
            <w:vAlign w:val="bottom"/>
          </w:tcPr>
          <w:p>
            <w:pPr>
              <w:spacing w:after="0"/>
              <w:rPr>
                <w:sz w:val="17"/>
                <w:szCs w:val="17"/>
                <w:color w:val="auto"/>
              </w:rPr>
            </w:pPr>
          </w:p>
        </w:tc>
        <w:tc>
          <w:tcPr>
            <w:tcW w:w="8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measurement of lease liabilities:</w:t>
            </w: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3,906</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from finance leases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459</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19,783</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840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 xml:space="preserve">Amortization of right-of-use operating lease assets </w:t>
            </w:r>
            <w:r>
              <w:rPr>
                <w:rFonts w:ascii="Arial" w:cs="Arial" w:eastAsia="Arial" w:hAnsi="Arial"/>
                <w:sz w:val="23"/>
                <w:szCs w:val="23"/>
                <w:color w:val="auto"/>
                <w:vertAlign w:val="superscript"/>
              </w:rPr>
              <w:t>(1)</w:t>
            </w:r>
          </w:p>
        </w:tc>
        <w:tc>
          <w:tcPr>
            <w:tcW w:w="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3,200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-1928495</wp:posOffset>
            </wp:positionV>
            <wp:extent cx="641223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27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Amortization of right of use operating lease assets during the period is reflected in operating lease liabilities on the condensed consolidated statements of cash flows.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related party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Income (Loss) Per Share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Company did not have any potentially dilutive securities during the six months ended June 30, 2022. Basic and diluted net income (loss) per share was calculated as follows: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Basic net income (loss) per share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0.09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Diluted net income (loss) per share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0.18</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Net income (loss) (in thousands)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14,236</w:t>
            </w: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3,770</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27,249</w:t>
            </w:r>
          </w:p>
        </w:tc>
        <w:tc>
          <w:tcPr>
            <w:tcW w:w="3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(15,619 )</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w w:val="95"/>
              </w:rPr>
              <w:t>Weighted average number of shares outstanding - basic</w:t>
            </w:r>
          </w:p>
        </w:tc>
        <w:tc>
          <w:tcPr>
            <w:tcW w:w="20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97"/>
              </w:rPr>
              <w:t>150,748,211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131,507,005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7"/>
              </w:rPr>
              <w:t>150,644,034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w w:val="99"/>
              </w:rPr>
              <w:t>130,757,666</w:t>
            </w: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2"/>
              </w:rPr>
              <w:t>Add stock options to purchase shares and restricted stock</w:t>
            </w:r>
          </w:p>
        </w:tc>
        <w:tc>
          <w:tcPr>
            <w:tcW w:w="20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1,612,139</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3,861,904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1,717,754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Arial" w:cs="Arial" w:eastAsia="Arial" w:hAnsi="Arial"/>
                <w:sz w:val="18"/>
                <w:szCs w:val="18"/>
                <w:color w:val="auto"/>
                <w:w w:val="92"/>
              </w:rPr>
              <w:t>Weighted average number of shares outstanding - diluted</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97"/>
              </w:rPr>
              <w:t>152,360,350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135,368,909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w w:val="97"/>
              </w:rPr>
              <w:t>152,361,788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w w:val="99"/>
              </w:rPr>
              <w:t>130,757,666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-159385</wp:posOffset>
            </wp:positionV>
            <wp:extent cx="1111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-159385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10287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the three and six months ended June 30, 2022, 2,533,594 and 2,292,520 stock options were excluded from the calculation of diluted net income (loss) per share, respectively, because their effects were anti-dilutive.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16. Reportable Segments</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During the first quarter of 2022, the Company made organizational changes and modified additional information provided to its CODM to better align with how its CODM assesses performance and allocates resources. As a result, we have two reportable segments, Americas and International. Our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The segment financial information below aligns with how we report information to our CODM to assess operating performance and how the Company manages the business. Corporate </w:t>
      </w:r>
      <w:r>
        <w:rPr>
          <w:rFonts w:ascii="Arial" w:cs="Arial" w:eastAsia="Arial" w:hAnsi="Arial"/>
          <w:sz w:val="16"/>
          <w:szCs w:val="16"/>
          <w:color w:val="auto"/>
        </w:rPr>
        <w:t>costs are generally allocated to the segments based upon estimated revenues levels and other assumptions that management</w:t>
      </w:r>
      <w:r>
        <w:rPr>
          <w:rFonts w:ascii="Arial" w:cs="Arial" w:eastAsia="Arial" w:hAnsi="Arial"/>
          <w:sz w:val="17"/>
          <w:szCs w:val="17"/>
          <w:color w:val="auto"/>
        </w:rPr>
        <w:t xml:space="preserve"> </w:t>
      </w:r>
      <w:r>
        <w:rPr>
          <w:rFonts w:ascii="Arial" w:cs="Arial" w:eastAsia="Arial" w:hAnsi="Arial"/>
          <w:sz w:val="16"/>
          <w:szCs w:val="16"/>
          <w:color w:val="auto"/>
        </w:rPr>
        <w:t>considers reasonable. The CODM does not review the Company’s assets by segment; therefore, such information is not presented. The accounting policies of the segments are the same as described in Note 2, “Significant Accounting and Reporting Policies” and Note 9,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two reportable segments:</w:t>
      </w:r>
    </w:p>
    <w:p>
      <w:pPr>
        <w:spacing w:after="0" w:line="158" w:lineRule="exact"/>
        <w:rPr>
          <w:sz w:val="20"/>
          <w:szCs w:val="20"/>
          <w:color w:val="auto"/>
        </w:rPr>
      </w:pPr>
    </w:p>
    <w:p>
      <w:pPr>
        <w:ind w:left="520" w:right="300"/>
        <w:spacing w:after="0" w:line="284" w:lineRule="auto"/>
        <w:rPr>
          <w:sz w:val="20"/>
          <w:szCs w:val="20"/>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 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 We deliver our solutions across multiple vertical industries in the United States, Canada, and Latin America markets.</w:t>
      </w:r>
    </w:p>
    <w:p>
      <w:pPr>
        <w:spacing w:after="0" w:line="47" w:lineRule="exact"/>
        <w:rPr>
          <w:sz w:val="20"/>
          <w:szCs w:val="20"/>
          <w:color w:val="auto"/>
        </w:rPr>
      </w:pPr>
    </w:p>
    <w:p>
      <w:pPr>
        <w:ind w:left="520" w:right="480"/>
        <w:spacing w:after="0" w:line="261"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 reconciliation of Segment Adjusted EBITDA to net income (loss) for the three and six months ended June 30, 2022 and 2021 is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Americas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52,954</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49,208</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99,773</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83,055</w:t>
            </w:r>
          </w:p>
        </w:tc>
      </w:tr>
      <w:tr>
        <w:trPr>
          <w:trHeight w:val="203"/>
        </w:trPr>
        <w:tc>
          <w:tcPr>
            <w:tcW w:w="440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7,880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7,114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14,661</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9,857</w:t>
            </w:r>
          </w:p>
        </w:tc>
      </w:tr>
      <w:tr>
        <w:trPr>
          <w:trHeight w:val="196"/>
        </w:trPr>
        <w:tc>
          <w:tcPr>
            <w:tcW w:w="44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60,834</w:t>
            </w:r>
          </w:p>
        </w:tc>
        <w:tc>
          <w:tcPr>
            <w:tcW w:w="4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56,322</w:t>
            </w:r>
          </w:p>
        </w:tc>
        <w:tc>
          <w:tcPr>
            <w:tcW w:w="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114,434</w:t>
            </w:r>
          </w:p>
        </w:tc>
        <w:tc>
          <w:tcPr>
            <w:tcW w:w="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92,912</w:t>
            </w: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to net income (loss):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2"/>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10,452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17,169</w:t>
            </w:r>
          </w:p>
        </w:tc>
      </w:tr>
      <w:tr>
        <w:trPr>
          <w:trHeight w:val="203"/>
        </w:trPr>
        <w:tc>
          <w:tcPr>
            <w:tcW w:w="4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5,432</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3,063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10,367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(1,372 )</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35,918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68,441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70,681</w:t>
            </w:r>
          </w:p>
        </w:tc>
      </w:tr>
      <w:tr>
        <w:trPr>
          <w:trHeight w:val="203"/>
        </w:trPr>
        <w:tc>
          <w:tcPr>
            <w:tcW w:w="44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13,938</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3,226</w:t>
            </w:r>
          </w:p>
        </w:tc>
      </w:tr>
      <w:tr>
        <w:trPr>
          <w:trHeight w:val="203"/>
        </w:trPr>
        <w:tc>
          <w:tcPr>
            <w:tcW w:w="440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 xml:space="preserve">Transaction and acquisition-related charges </w:t>
            </w:r>
            <w:r>
              <w:rPr>
                <w:rFonts w:ascii="Arial" w:cs="Arial" w:eastAsia="Arial" w:hAnsi="Arial"/>
                <w:sz w:val="23"/>
                <w:szCs w:val="23"/>
                <w:color w:val="auto"/>
                <w:vertAlign w:val="superscript"/>
              </w:rPr>
              <w:t>(a)</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2,677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4,366</w:t>
            </w:r>
          </w:p>
        </w:tc>
      </w:tr>
      <w:tr>
        <w:trPr>
          <w:trHeight w:val="203"/>
        </w:trPr>
        <w:tc>
          <w:tcPr>
            <w:tcW w:w="4400" w:type="dxa"/>
            <w:vAlign w:val="bottom"/>
          </w:tcPr>
          <w:p>
            <w:pPr>
              <w:ind w:left="10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(b)</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523</w:t>
            </w:r>
          </w:p>
        </w:tc>
      </w:tr>
      <w:tr>
        <w:trPr>
          <w:trHeight w:val="236"/>
        </w:trPr>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14,236</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3,770</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27,249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(15,619 )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-1325245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-1325245</wp:posOffset>
            </wp:positionV>
            <wp:extent cx="5969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-1325245</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9" w:lineRule="exact"/>
        <w:rPr>
          <w:sz w:val="20"/>
          <w:szCs w:val="20"/>
          <w:color w:val="auto"/>
        </w:rPr>
      </w:pPr>
    </w:p>
    <w:p>
      <w:pPr>
        <w:jc w:val="both"/>
        <w:ind w:left="1540" w:right="60" w:hanging="514"/>
        <w:spacing w:after="0" w:line="266" w:lineRule="auto"/>
        <w:tabs>
          <w:tab w:leader="none" w:pos="15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2022 includes a transaction bonus expense related to one of the Company’s 2021 acquisitions.</w:t>
      </w:r>
    </w:p>
    <w:p>
      <w:pPr>
        <w:ind w:left="1540" w:right="140" w:hanging="514"/>
        <w:spacing w:after="0" w:line="255" w:lineRule="auto"/>
        <w:tabs>
          <w:tab w:leader="none" w:pos="1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Geographic Information</w:t>
      </w:r>
    </w:p>
    <w:p>
      <w:pPr>
        <w:spacing w:after="0" w:line="15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revenues by geographical region for the three and six months ended June 30, 2022 and 2021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Americas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170,591</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146,300</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330,679</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262,823</w:t>
            </w:r>
          </w:p>
        </w:tc>
      </w:tr>
      <w:tr>
        <w:trPr>
          <w:trHeight w:val="203"/>
        </w:trPr>
        <w:tc>
          <w:tcPr>
            <w:tcW w:w="42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International</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33,044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30,080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64,785</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46,642</w:t>
            </w: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(2,074 )</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(1,554 )</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(4,022 )</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(2,569 )</w:t>
            </w:r>
          </w:p>
        </w:tc>
      </w:tr>
      <w:tr>
        <w:trPr>
          <w:trHeight w:val="236"/>
        </w:trPr>
        <w:tc>
          <w:tcPr>
            <w:tcW w:w="4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201,561</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174,826</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391,442</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306,896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long-lived assets by geographic area as of June 30, 2022 and December 31, 2021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9"/>
              </w:rPr>
              <w:t>December 31, 2021</w:t>
            </w: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Long-lived assets, net</w:t>
            </w:r>
          </w:p>
        </w:tc>
        <w:tc>
          <w:tcPr>
            <w:tcW w:w="3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United States, country of domicile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1,186,972</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1,213,093</w:t>
            </w:r>
          </w:p>
        </w:tc>
      </w:tr>
      <w:tr>
        <w:trPr>
          <w:trHeight w:val="20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All other countries</w:t>
            </w:r>
          </w:p>
        </w:tc>
        <w:tc>
          <w:tcPr>
            <w:tcW w:w="3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195,060</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199,459</w:t>
            </w:r>
          </w:p>
        </w:tc>
      </w:tr>
      <w:tr>
        <w:trPr>
          <w:trHeight w:val="196"/>
        </w:trPr>
        <w:tc>
          <w:tcPr>
            <w:tcW w:w="6060" w:type="dxa"/>
            <w:vAlign w:val="bottom"/>
          </w:tcPr>
          <w:p>
            <w:pPr>
              <w:spacing w:after="0" w:line="196" w:lineRule="exact"/>
              <w:rPr>
                <w:sz w:val="20"/>
                <w:szCs w:val="20"/>
                <w:color w:val="auto"/>
              </w:rPr>
            </w:pPr>
            <w:r>
              <w:rPr>
                <w:rFonts w:ascii="Arial" w:cs="Arial" w:eastAsia="Arial" w:hAnsi="Arial"/>
                <w:sz w:val="18"/>
                <w:szCs w:val="18"/>
                <w:color w:val="auto"/>
              </w:rPr>
              <w:t>Total long-lived assets, net</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1,382,032</w:t>
            </w:r>
          </w:p>
        </w:tc>
        <w:tc>
          <w:tcPr>
            <w:tcW w:w="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1,412,552</w:t>
            </w:r>
          </w:p>
        </w:tc>
      </w:tr>
      <w:tr>
        <w:trPr>
          <w:trHeight w:val="20"/>
        </w:trPr>
        <w:tc>
          <w:tcPr>
            <w:tcW w:w="6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-159385</wp:posOffset>
            </wp:positionV>
            <wp:extent cx="1200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August 2, 2022, the Company’s Board of Directors authorized the repurchase of up to $50.0 million of the Company’s common stock over the 12 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share repurchase program.</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8" w:right="5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The following discussion and analysis of First Advantage Corporation’s financial condition and results of operations is provided as a supplement to the condensed consolidated financial statements for the three and six months ended June 30, 2022, and should be read in conjunction with the audited consolidated financial statements for the year ended December 31, 2021, our “Risk Factors,” and “Management’s Discussion and Analysis of Financial Condition and Results of Operations” included in the Company’s Annual Report on Form 10-K for the year ended December 31,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2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Such risks and uncertainties include, but are not limited to, the following: the impact of COVID-19 and related continuously evolving risks to our results of operations, financial position and/or liquidity; our operations in a highly regulated industry and the fact that we are subject to numerous and evolving laws and regulations, including with respect to personal data and data security; our reliance on third-party data providers; negative changes in external events beyond our control, including our customers’ onboarding volumes, economic drivers which are sensitive to macroeconomic cycles, such as interest rate volatility and inflation, geopolitical unrest, and the COVID-19 pandemic; potential harm to our business, brand, and reputation as a result of security breaches, cyber-attacks or the mishandling of personal data; liability and litigation due to the sensitive and privacy-driven nature of our products and solutions, which could be costly and time-consuming to defend and may not be fully covered by insurance;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contracts with our customers, which do not guarantee exclusivity or contracted volumes; our reliance on third-party vendors to carry out certain portions of our operations; disruptions, outages, or other errors with our technology and network infrastructure, including our data centers, servers and third-party cloud and internet providers and our migration to the cloud; disruptions at our Global Operating Center and other operating centers; operating in a penetrated and competitive market; our ability to obtain, maintain, protect, and enforce our intellectual property and other proprietary information;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our ability to maintain, protect, and enforce the confidentiality of our trade secrets; the use of open-source software in our applications; the indemnification provisions in our contracts with our customers and third-party data suppliers; our ability to identify attractive targets or successfully complete such transactions; our international business; our dependence on the service of our key executive and other employees, and our ability to find and retain qualified employees; seasonality in our operations from quarter to quarter; failure to comply with anti-corruption laws and regulations; and changing interpretations of tax laws.</w:t>
      </w:r>
    </w:p>
    <w:p>
      <w:pPr>
        <w:spacing w:after="0" w:line="32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For additional information on these and other factors that could cause First Advantage’s actual results to differ materially from expected results, please see our Annual Report on Form 10-K for the year ended December 31, 2021,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Form 10-Q, unless otherwise noted or indicated by the context:</w:t>
      </w:r>
    </w:p>
    <w:p>
      <w:pPr>
        <w:spacing w:after="0" w:line="158"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“Americas” in regards to our business, means the United States, Canada, and Latin America;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03" w:lineRule="exact"/>
        <w:rPr>
          <w:rFonts w:ascii="Arial" w:cs="Arial" w:eastAsia="Arial" w:hAnsi="Arial"/>
          <w:sz w:val="18"/>
          <w:szCs w:val="18"/>
          <w:color w:val="auto"/>
        </w:rPr>
      </w:pPr>
    </w:p>
    <w:p>
      <w:pPr>
        <w:ind w:left="1020" w:right="324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“International” in regards to our business, means all geographical regions outside of the United States, Canada, and Latin America;</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“Revenues attributable to the Company’s acquisitions” means revenues recognized in the first year following each acquisition; and</w:t>
      </w:r>
    </w:p>
    <w:p>
      <w:pPr>
        <w:spacing w:after="0" w:line="169" w:lineRule="exact"/>
        <w:rPr>
          <w:rFonts w:ascii="Arial" w:cs="Arial" w:eastAsia="Arial" w:hAnsi="Arial"/>
          <w:sz w:val="17"/>
          <w:szCs w:val="17"/>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“Silver Lake” means Silver Lake Group, L.L.C., together with its affiliates, successors, and assignees.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6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First Advantage is a leading global provider of HR technology solutions for screening, verifications, safety, and compliance. We deliver innovative solutions and insights that help our customers manage risk and hire the best talent. Enabled by our core proprietary technology, our products and solutions help companies protect their brands and provide safer environments for their customers and their most important resources: employees, contractors, contingent and extended workers, drivers, tenants, and volunteers.</w:t>
      </w:r>
    </w:p>
    <w:p>
      <w:pPr>
        <w:spacing w:after="0" w:line="134"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33,000 customers are global enterprises, mid-sized companies, and small companies, and our products and solutions are used by personnel in recruiting, human resources, risk, compliance, vendor management, safety, and/or security.</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6" w:name="page27"/>
    <w:bookmarkEnd w:id="26"/>
    <w:p>
      <w:pPr>
        <w:spacing w:after="0" w:line="239" w:lineRule="auto"/>
        <w:rPr>
          <w:sz w:val="20"/>
          <w:szCs w:val="20"/>
          <w:color w:val="auto"/>
        </w:rPr>
      </w:pPr>
      <w:r>
        <w:rPr>
          <w:rFonts w:ascii="Arial" w:cs="Arial" w:eastAsia="Arial" w:hAnsi="Arial"/>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some visibility into their expected future order volumes, although these can be difficult to accurately forecast. We typically bill our customers at the end of each month and recognize revenues as completed orders are reported or otherwise made available to our customers. Over 90% of the criminal searches performed in the United States are completed the same day they are submitted.</w:t>
      </w:r>
    </w:p>
    <w:p>
      <w:pPr>
        <w:spacing w:after="0" w:line="13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generated revenues of $201.6 million for the three months ended June 30, 2022, as compared to $174.8 million for the three months ended June 30, 2021 and generated revenues of $391.4 million for the six months ended June 30, 2022, as compared to $306.9 million for the six months ended June 30, 2021.These increases were driven by continued strength across our business, favorable trends in the jobs market, as well as the addition of a number of large new customers, upselling and cross-selling existing customers, and continued demand across our existing customer base. We have experienced additional increases as a result of our recent acquisitions. Approximately 83% of our revenues for the six months ended June 30, 2022 was generated in the Americas, predominantly in the United States, while the remaining 17% was generated internationally. Other than the United States, no single country accounted for 10% or more of our total revenues for the three and six months ended June 30, 2022. Please refer to “Results of Operations” for further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During the first quarter of 2022, the Company made organizational changes and modified additional information provided to its chief operating decision maker (“CODM”) to better align with how its CODM assesses performance and allocates resources. As a result, the Company now has two reportable segments, Americas and International:</w:t>
      </w:r>
    </w:p>
    <w:p>
      <w:pPr>
        <w:spacing w:after="0" w:line="128" w:lineRule="exact"/>
        <w:rPr>
          <w:sz w:val="20"/>
          <w:szCs w:val="20"/>
          <w:color w:val="auto"/>
        </w:rPr>
      </w:pPr>
    </w:p>
    <w:p>
      <w:pPr>
        <w:ind w:left="1020" w:right="120" w:hanging="503"/>
        <w:spacing w:after="0" w:line="284"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 We deliver our solutions across multiple vertical industries in the United States, Canada, and Latin America markets.</w:t>
      </w:r>
    </w:p>
    <w:p>
      <w:pPr>
        <w:spacing w:after="0" w:line="47"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M&amp;A</w:t>
      </w:r>
    </w:p>
    <w:p>
      <w:pPr>
        <w:spacing w:after="0" w:line="158"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The Company completed its asset purchase of Form I-9 Compliance, a U.S.-based technology solution and consulting service provider for I-9 and E-Verify compliance. The acquisition is effective as of January 1, 2022 and strategically expands the Company’s product suite offerings through the addition of new I-9 and employment eligibility solutions. The results of Form I-9 Compliance, which were not material, have been included in our Americas segment from the effective date of the acquisition.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continues to monitor how COVID-19 is affecting its employees, customers, and business operations. In our continued response to the COVID-19 pandemic, we implemented operational changes to promote the safety of our workforce and to allow us to continue to serve our customers. In the markets in which we operate, we saw generally improving macroeconomic conditions and steady improvements in our results of operations in 2021 and into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we saw positive macroeconomic and labor market conditions throughout 2021 and into 2022, including overall gross domestic product (“GDP”) growth and low unemployment rates. We saw similar improvements in our international markets, although in certain of these markets there are higher ongoing concerns about the impact of COVID-19. These overall positive economic conditions have helped support our 2022 results, with revenues for the six months ended June 30, 2022 growing 27.5% compared to the six months ended June 30, 2021. Further discussion regarding the impact of the pandemic on our operations for the three and six months ended June 30, 2022 and 2021 is provided within this Management’s Discussion and Analysis of Financial Condition and Results of Operations.</w:t>
      </w:r>
    </w:p>
    <w:p>
      <w:pPr>
        <w:spacing w:after="0" w:line="13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Given the ongoing uncertainty and unpredictable nature of the pandemic and related macroeconomic factors, including the impact of virus variants and the effectiveness of vaccines against those variants, COVID-19 may have a material and adverse impact on various aspects of our business in the future, including our results of operations. The Company will continue to monitor the associated impacts and take appropriate actions in an effort to mitigate the COVID-19 pandemic’s negative effects on the Company’s operations and financial results. For additional information, see our “Risk Factors” and “Management’s Discussion and Analysis of Financial Condition and Results of Operations” included in the Company’s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See Note 2 to the condensed consolidated financial statements for disclosure of the impact that recent accounting pronouncements may have on the condensed consolidated financial statements.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and extended workers, drivers, tenants, and volunteers. We generally classify our products and solutions into three major categories: pre-onboarding, post-onboarding, and adjacent products, each of which is enabled by our technology, proprietary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productive, and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58" w:lineRule="exact"/>
        <w:rPr>
          <w:sz w:val="20"/>
          <w:szCs w:val="20"/>
          <w:color w:val="auto"/>
        </w:rPr>
      </w:pPr>
    </w:p>
    <w:p>
      <w:pPr>
        <w:ind w:left="1020" w:hanging="503"/>
        <w:spacing w:after="0" w:line="25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Cost of Services: </w:t>
      </w:r>
      <w:r>
        <w:rPr>
          <w:rFonts w:ascii="Arial" w:cs="Arial" w:eastAsia="Arial" w:hAnsi="Arial"/>
          <w:sz w:val="17"/>
          <w:szCs w:val="17"/>
          <w:color w:val="auto"/>
        </w:rPr>
        <w:t>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2" w:lineRule="exact"/>
        <w:rPr>
          <w:rFonts w:ascii="Arial" w:cs="Arial" w:eastAsia="Arial" w:hAnsi="Arial"/>
          <w:sz w:val="17"/>
          <w:szCs w:val="17"/>
          <w:color w:val="auto"/>
        </w:rPr>
      </w:pPr>
    </w:p>
    <w:p>
      <w:pPr>
        <w:ind w:left="1020" w:right="60" w:hanging="503"/>
        <w:spacing w:after="0" w:line="25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1" w:lineRule="exact"/>
        <w:rPr>
          <w:rFonts w:ascii="Arial" w:cs="Arial" w:eastAsia="Arial" w:hAnsi="Arial"/>
          <w:sz w:val="17"/>
          <w:szCs w:val="17"/>
          <w:color w:val="auto"/>
        </w:rPr>
      </w:pPr>
    </w:p>
    <w:p>
      <w:pPr>
        <w:ind w:left="1020" w:hanging="503"/>
        <w:spacing w:after="0" w:line="253"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Consists of sales, customer success,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customer success, and marketing expenses consist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5" w:lineRule="exact"/>
        <w:rPr>
          <w:rFonts w:ascii="Arial" w:cs="Arial" w:eastAsia="Arial" w:hAnsi="Arial"/>
          <w:sz w:val="17"/>
          <w:szCs w:val="17"/>
          <w:color w:val="auto"/>
        </w:rPr>
      </w:pPr>
    </w:p>
    <w:p>
      <w:pPr>
        <w:ind w:left="1020" w:right="160" w:hanging="503"/>
        <w:spacing w:after="0" w:line="24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7"/>
          <w:szCs w:val="17"/>
          <w:color w:val="auto"/>
        </w:rPr>
        <w:t>We have a flexible cost structure that allows our business to adjust quickly to the impacts of macroeconomic events and scale to meet the needs of large new customers. Operating expenses are influenced by the amount of revenues and mix of customers that contribute to our revenues for any given period. As revenues grow, we would generally expect cost of services to grow in a similar fashion, albeit influenced by the effects of automation, productivity, and other efficiency initiatives as well as customer and product mix shifts. We regularly review expenses and investments in the context of revenues growth and any shifts we see in cost of services in order to align with our overall financial objectives. While we expect operating expenses to increase in absolute dollars to support our continued growth, we believe that operating expenses will decline gradually as a percentage of total revenues in the future as our business grows and our operating efficiency continues to improve.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other expense (income) consists of the following:</w:t>
      </w:r>
    </w:p>
    <w:p>
      <w:pPr>
        <w:spacing w:after="0" w:line="158" w:lineRule="exact"/>
        <w:rPr>
          <w:sz w:val="20"/>
          <w:szCs w:val="20"/>
          <w:color w:val="auto"/>
        </w:rPr>
      </w:pPr>
    </w:p>
    <w:p>
      <w:pPr>
        <w:ind w:left="1020" w:right="260" w:hanging="503"/>
        <w:spacing w:after="0" w:line="28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Relates primarily to our debt service costs, the interest-related unrealized gains and losses of our interest rate swaps</w:t>
      </w:r>
      <w:r>
        <w:rPr>
          <w:rFonts w:ascii="Arial" w:cs="Arial" w:eastAsia="Arial" w:hAnsi="Arial"/>
          <w:sz w:val="16"/>
          <w:szCs w:val="16"/>
          <w:i w:val="1"/>
          <w:iCs w:val="1"/>
          <w:color w:val="auto"/>
        </w:rPr>
        <w:t xml:space="preserve"> </w:t>
      </w:r>
      <w:r>
        <w:rPr>
          <w:rFonts w:ascii="Arial" w:cs="Arial" w:eastAsia="Arial" w:hAnsi="Arial"/>
          <w:sz w:val="16"/>
          <w:szCs w:val="16"/>
          <w:color w:val="auto"/>
        </w:rPr>
        <w:t>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47"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certain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information contained below should be read in conjunction with our accompanying historical condensed consolidated financial statements and the related notes.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Results of Operations for the three and six months ended June 30, 2022 compared to the three and six months ended June 30,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201,561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174,826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391,442</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306,896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00"/>
              <w:spacing w:after="0" w:line="162" w:lineRule="exact"/>
              <w:rPr>
                <w:sz w:val="20"/>
                <w:szCs w:val="20"/>
                <w:color w:val="auto"/>
              </w:rPr>
            </w:pPr>
            <w:r>
              <w:rPr>
                <w:rFonts w:ascii="Arial" w:cs="Arial" w:eastAsia="Arial" w:hAnsi="Arial"/>
                <w:sz w:val="18"/>
                <w:szCs w:val="18"/>
                <w:color w:val="auto"/>
              </w:rPr>
              <w:t>Cost of services (exclusive of depreciation and amortization</w:t>
            </w:r>
          </w:p>
        </w:tc>
        <w:tc>
          <w:tcPr>
            <w:tcW w:w="320" w:type="dxa"/>
            <w:vAlign w:val="bottom"/>
          </w:tcPr>
          <w:p>
            <w:pPr>
              <w:spacing w:after="0"/>
              <w:rPr>
                <w:sz w:val="14"/>
                <w:szCs w:val="14"/>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100,292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84,868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196,723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150,813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below)</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and technology expense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12,946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11,680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26,719</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22,233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31,136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59,681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34,407</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35,918</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68,441</w:t>
            </w: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70,681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178,781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157,541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351,564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292,780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22,780</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17,285</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39,878</w:t>
            </w: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10,452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2,262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13,938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other expense (income)</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3,112</w:t>
            </w: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10,452</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2,262</w:t>
            </w: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31,107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provision for income taxes</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19,668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6,833</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37,616</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(16,991 )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5,432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3,063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10,367</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14,236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3,770</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27,249</w:t>
            </w: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0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593"/>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-1959610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-1959610</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-1959610</wp:posOffset>
            </wp:positionV>
            <wp:extent cx="603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-1685290</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-1685290</wp:posOffset>
            </wp:positionV>
            <wp:extent cx="596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-1685290</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-1162050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-1162050</wp:posOffset>
            </wp:positionV>
            <wp:extent cx="596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-1162050</wp:posOffset>
            </wp:positionV>
            <wp:extent cx="6032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-624840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-607695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-624840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-607695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-624840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-607695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170,591</w:t>
            </w:r>
          </w:p>
        </w:tc>
        <w:tc>
          <w:tcPr>
            <w:tcW w:w="4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146,300</w:t>
            </w:r>
          </w:p>
        </w:tc>
        <w:tc>
          <w:tcPr>
            <w:tcW w:w="4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330,679</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262,823</w:t>
            </w:r>
          </w:p>
        </w:tc>
      </w:tr>
      <w:tr>
        <w:trPr>
          <w:trHeight w:val="203"/>
        </w:trPr>
        <w:tc>
          <w:tcPr>
            <w:tcW w:w="49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33,044</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30,080</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64,785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46,642</w:t>
            </w:r>
          </w:p>
        </w:tc>
      </w:tr>
      <w:tr>
        <w:trPr>
          <w:trHeight w:val="203"/>
        </w:trPr>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Eliminations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(2,074 )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(4,022 )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(2,569 )</w:t>
            </w: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201,561</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174,826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391,442</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306,896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Revenues were $201.6 million for the three months ended June 30, 2022, compared to $174.8 million for the three months ended June 30, 2021. Revenues for the three months ended June 30, 2022 increased by $26.7 million, or 15.3%, compared to the three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404040"/>
        </w:rPr>
        <w:t>The increase in revenues was primarily due to:</w:t>
      </w:r>
    </w:p>
    <w:p>
      <w:pPr>
        <w:spacing w:after="0" w:line="158" w:lineRule="exact"/>
        <w:rPr>
          <w:sz w:val="20"/>
          <w:szCs w:val="20"/>
          <w:color w:val="auto"/>
        </w:rPr>
      </w:pPr>
    </w:p>
    <w:p>
      <w:pPr>
        <w:ind w:left="1020" w:right="36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increase of $9.6 million in existing customer revenues as compared to the three months ended June 30, 2021, primarily driven by continued strength across our business, which was supported by positive jobs market trends including sustained job switching and churn. These existing customer increases were offset by the impact of lost accounts;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revenues of $8.8 million attributable to new customers in both the Americas and International segments;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of $8.3 million attributable to the Company’s acquisitions in the Americas segment.</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Revenues were $391.4 million for the six months ended June 30, 2022, compared to $306.9 million for the six months ended June 30, 2021. Revenues for the six months ended June 30, 2022 increased by $84.5 million, or 27.5%, compared to the six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158" w:lineRule="exact"/>
        <w:rPr>
          <w:sz w:val="20"/>
          <w:szCs w:val="20"/>
          <w:color w:val="auto"/>
        </w:rPr>
      </w:pPr>
    </w:p>
    <w:p>
      <w:pPr>
        <w:ind w:left="1020" w:right="360" w:hanging="503"/>
        <w:spacing w:after="0" w:line="24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increase of $43.5 million in existing customer revenues as compared to the six months ended June 30, 2021, primarily driven by continued strength across our business, which was supported by positive jobs market trends including sustained job switching and churn. These existing customer increases were offset by the impact of lost accounts;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of $23.1 million attributable to the Company’s acquisitions in the Americas and International segments; and</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revenues of $17.9 million attributable to new customers in both the Americas and International segments.</w:t>
      </w:r>
    </w:p>
    <w:p>
      <w:pPr>
        <w:spacing w:after="0" w:line="10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 experienced high demand among customers across numerous industry verticals and account sizes in both its Americas and International segments. Pricing remained relatively stable across all periods.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rPr>
              <w:t>201,561</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174,826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391,442</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306,896</w:t>
            </w:r>
          </w:p>
        </w:tc>
        <w:tc>
          <w:tcPr>
            <w:tcW w:w="60" w:type="dxa"/>
            <w:vAlign w:val="bottom"/>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7"/>
                <w:szCs w:val="17"/>
                <w:color w:val="auto"/>
              </w:rPr>
            </w:pPr>
          </w:p>
        </w:tc>
        <w:tc>
          <w:tcPr>
            <w:tcW w:w="116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100,292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84,868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196,723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150,813</w:t>
            </w:r>
          </w:p>
        </w:tc>
        <w:tc>
          <w:tcPr>
            <w:tcW w:w="60" w:type="dxa"/>
            <w:vAlign w:val="bottom"/>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 as a % of revenue</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49.8 %</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48.5 %</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50.3 %</w:t>
            </w:r>
          </w:p>
        </w:tc>
        <w:tc>
          <w:tcPr>
            <w:tcW w:w="3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8"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Cost of services was $100.3 million for the three months ended June 30, 2022, compared to $84.9 million for the three months ended June 30, 2021. Cost of services for the three months ended June 30, 2022 increased by $15.4 million, or 18.2%, compared to the three months ended June 30,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38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variable third-party data expenses of $10.1 million as a direct result of increased revenues, increases in the prices of certain third-party data usage, and variation in customer ordering mix;</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$4.7 million increase in personnel related expenses in our operations and customer care functions as a result of additional operational support headcount to process and fulfill the Company’s order volume growth; and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travel, and other expenses related to the increased revenue volumes experienced in 2022. This was partially offset by foreign exchange gains.</w:t>
      </w:r>
    </w:p>
    <w:p>
      <w:pPr>
        <w:spacing w:after="0" w:line="11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Cost of services as a percentage of revenues was 49.8% for the three months ended June 30, 2022, compared to 48.5% for the three months ended June 30, 2021. The cost of services percentage of revenues in the second quarter 2022 was impacted by increases in certain third-party data costs, variation in customer ordering mix, and acquisitions having a larger mix of third-party data expenses. This increase was partially offset by cost savings from the Company’s continued internal operating efficiencies and automation.</w:t>
      </w:r>
    </w:p>
    <w:p>
      <w:pPr>
        <w:spacing w:after="0" w:line="134"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Cost of services was $196.7 million for the six months ended June 30, 2022, compared to $150.8 million for the six months ended June 30, 2021. Cost of services for the six months ended June 30, 2022 increased by $45.9 million, or 30.4%, compared to the six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380" w:hanging="503"/>
        <w:spacing w:after="0" w:line="291"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in variable third-party data expenses of $34.1 million as a direct result of increased revenues, increases in the prices of certain third-party data usage, variation in customer ordering mix, and acquisitions having a larger mix of third-party data expenses;</w:t>
      </w:r>
    </w:p>
    <w:p>
      <w:pPr>
        <w:spacing w:after="0" w:line="38" w:lineRule="exact"/>
        <w:rPr>
          <w:rFonts w:ascii="Arial" w:cs="Arial" w:eastAsia="Arial" w:hAnsi="Arial"/>
          <w:sz w:val="17"/>
          <w:szCs w:val="17"/>
          <w:color w:val="auto"/>
        </w:rPr>
      </w:pPr>
    </w:p>
    <w:p>
      <w:pPr>
        <w:ind w:left="1020" w:right="4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$10.7 million increase in personnel related expenses in our operations and customer care functions as a result of additional operational support headcount to process and fulfill the Company’s order volume growth; and</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travel, software licenses, and other expenses related to the increased revenue volumes experienced in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58"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gains of $0.8 million due to the impact of foreign exchange rate volatility.</w:t>
      </w:r>
    </w:p>
    <w:p>
      <w:pPr>
        <w:spacing w:after="0" w:line="158" w:lineRule="exact"/>
        <w:rPr>
          <w:sz w:val="20"/>
          <w:szCs w:val="20"/>
          <w:color w:val="auto"/>
        </w:rPr>
      </w:pPr>
    </w:p>
    <w:p>
      <w:pPr>
        <w:ind w:right="420"/>
        <w:spacing w:after="0" w:line="262" w:lineRule="auto"/>
        <w:rPr>
          <w:sz w:val="20"/>
          <w:szCs w:val="20"/>
          <w:color w:val="auto"/>
        </w:rPr>
      </w:pPr>
      <w:r>
        <w:rPr>
          <w:rFonts w:ascii="Arial" w:cs="Arial" w:eastAsia="Arial" w:hAnsi="Arial"/>
          <w:sz w:val="17"/>
          <w:szCs w:val="17"/>
          <w:color w:val="auto"/>
        </w:rPr>
        <w:t>Cost of services as a percentage of revenues was 50.3% for the six months ended June 30, 2022, compared to 49.1% for the six months ended June 30, 2021. The cost of services percentage of revenues for the six months ended June 30, 2022 was impacted by increases in certain third-party data costs, variation in customer ordering mix, and acquisitions having a larger mix of third-party data expenses. This increase was partially offset by cost savings from the Company’s continued internal operating efficiencies and automation.</w:t>
      </w:r>
    </w:p>
    <w:p>
      <w:pPr>
        <w:spacing w:after="0" w:line="3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and technology expense</w:t>
            </w:r>
          </w:p>
        </w:tc>
        <w:tc>
          <w:tcPr>
            <w:tcW w:w="840" w:type="dxa"/>
            <w:vAlign w:val="bottom"/>
            <w:tcBorders>
              <w:top w:val="single" w:sz="8" w:color="auto"/>
            </w:tcBorders>
            <w:shd w:val="clear" w:color="auto" w:fill="CFF0FC"/>
          </w:tcPr>
          <w:p>
            <w:pPr>
              <w:jc w:val="right"/>
              <w:ind w:right="642"/>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0"/>
              </w:rPr>
              <w:t>12,946</w:t>
            </w: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11,680</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26,719</w:t>
            </w: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22,233</w:t>
            </w:r>
          </w:p>
        </w:tc>
      </w:tr>
    </w:tbl>
    <w:p>
      <w:pPr>
        <w:spacing w:after="0" w:line="14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Product and technology expense was $12.9 million for the three months ended June 30, 2022, compared to $11.7 million for the three months ended June 30, 2021. Product and technology expense for the three months ended June 30, 2022 increased by $1.3 million, or 10.8%, compared to the three months ended June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$1.5 million increase in software licensing related expenses.</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Product and technology expense was $26.7 million for the six months ended June 30, 2022, compared to $22.2 million for the six months ended June 30, 2021. Product and technology expense for the six months ended June 30, 2022 increased by $4.5 million, or 20.2%, compared to the six months ended June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$2.6 million increase in software licensing related expenses; and</w:t>
      </w:r>
    </w:p>
    <w:p>
      <w:pPr>
        <w:spacing w:after="0" w:line="157"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$1.4 million increase in personnel-related expenses as a result of additional investments made to enhance our product, solutions, and technology platform.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840" w:type="dxa"/>
            <w:vAlign w:val="bottom"/>
            <w:tcBorders>
              <w:top w:val="single" w:sz="8" w:color="auto"/>
            </w:tcBorders>
            <w:shd w:val="clear" w:color="auto" w:fill="CFF0FC"/>
          </w:tcPr>
          <w:p>
            <w:pPr>
              <w:jc w:val="right"/>
              <w:ind w:right="642"/>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0"/>
              </w:rPr>
              <w:t>31,136</w:t>
            </w: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25,075</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59,681</w:t>
            </w: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49,053</w:t>
            </w:r>
          </w:p>
        </w:tc>
      </w:tr>
    </w:tbl>
    <w:p>
      <w:pPr>
        <w:spacing w:after="0" w:line="14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Selling, general, and administrative expense was $31.1 million for the three months ended June 30, 2022, compared to $25.1 million for the three months ended June 30, 2021. Selling, general, and administrative expense for the three months ended June 30, 2022 increased by $6.1 million, or 24.2%, compared to the three months ended June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320" w:hanging="503"/>
        <w:spacing w:after="0" w:line="29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$2.1 million increase in personnel related expenses primarily due to additional investments made in the Company’s Sales and Customer Success functions and additional headcount related to the Company’s growth and operating as a public company;</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$1.3 million increase in expenses related to litigation activities in the ordinary course of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$0.9 million increase in marketing related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$0.9 million increase in liability insurance related expenses; and</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the Company’s M&amp;A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58" w:lineRule="exact"/>
        <w:rPr>
          <w:sz w:val="20"/>
          <w:szCs w:val="20"/>
          <w:color w:val="auto"/>
        </w:rPr>
      </w:pPr>
    </w:p>
    <w:p>
      <w:pPr>
        <w:ind w:left="1020" w:right="4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$1.2 million decrease in share-based compensation expenses as a result of performance related vesting due to the Company’s IPO and incremental awards granted in conjunction with the IPO in 2021 which did not reoccur in 2022.</w:t>
      </w:r>
    </w:p>
    <w:p>
      <w:pPr>
        <w:spacing w:after="0" w:line="11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Selling, general, and administrative expense was $59.7 million for the six months ended June 30, 2022, compared to $49.1 million for the six months ended June 30, 2021. Selling, general, and administrative expense for the six months ended June 30, 2022 increased by $10.6 million, or 21.7%, compared to the six months ended June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32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$5.0 million increase in personnel related expenses primarily due to additional investments made in the Company’s Sales and Customer Success functions and additional headcount related to the Company’s growth and operating as a public company;</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$1.8 million increase in liability insurance related expenses;</w:t>
      </w:r>
    </w:p>
    <w:p>
      <w:pPr>
        <w:spacing w:after="0" w:line="103" w:lineRule="exact"/>
        <w:rPr>
          <w:rFonts w:ascii="Arial" w:cs="Arial" w:eastAsia="Arial" w:hAnsi="Arial"/>
          <w:sz w:val="18"/>
          <w:szCs w:val="18"/>
          <w:color w:val="auto"/>
        </w:rPr>
      </w:pPr>
    </w:p>
    <w:p>
      <w:pPr>
        <w:ind w:left="1020" w:right="20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$1.6 million increase in commissions and bonus related expenses due to the Company’s improved operating results during the six months ended June 30, 2022, as well as a transaction bonus expense related to one of the Company’s 2021 acquisitions;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$1.1 million increase in marketing related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$0.9 million increase in expenses related to litigation activities in the ordinary course of business; and</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the Company’s M&amp;A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58" w:lineRule="exact"/>
        <w:rPr>
          <w:sz w:val="20"/>
          <w:szCs w:val="20"/>
          <w:color w:val="auto"/>
        </w:rPr>
      </w:pPr>
    </w:p>
    <w:p>
      <w:pPr>
        <w:ind w:left="1020" w:right="3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$3.2 million decrease in professional service fees incurred related to the Company’s preparation for its 2021 IPO that did not reoccur in 2022.</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840" w:type="dxa"/>
            <w:vAlign w:val="bottom"/>
            <w:tcBorders>
              <w:top w:val="single" w:sz="8" w:color="auto"/>
            </w:tcBorders>
            <w:shd w:val="clear" w:color="auto" w:fill="CFF0FC"/>
          </w:tcPr>
          <w:p>
            <w:pPr>
              <w:jc w:val="right"/>
              <w:ind w:right="662"/>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34,407</w:t>
            </w: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35,918</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68,441</w:t>
            </w: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70,681</w:t>
            </w:r>
          </w:p>
        </w:tc>
      </w:tr>
    </w:tbl>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Depreciation and amortization was $34.4 million for the three months ended June 30, 2022, compared to $35.9 million for the three months ended June 30, 2021. Depreciation and amortization for the three months ended June 30, 2022 decreased by $1.5 million, or 4.2%, compared to the three months ended June 30, 2021. This decrease was partially offset by increases in depreciation related to assets placed in service during the three months ended June 30, 2022.</w:t>
      </w:r>
    </w:p>
    <w:p>
      <w:pPr>
        <w:spacing w:after="0" w:line="13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Depreciation and amortization was $68.4 million for the six months ended June 30, 2022, compared to $70.7 million for the six months ended June 30, 2021. Depreciation and amortization for the six months ended June 30, 2022 decreased by $2.2 million, or 3.2% compared to the six months ended June 30,</w:t>
      </w:r>
    </w:p>
    <w:p>
      <w:pPr>
        <w:spacing w:after="0" w:line="1" w:lineRule="exact"/>
        <w:rPr>
          <w:sz w:val="20"/>
          <w:szCs w:val="20"/>
          <w:color w:val="auto"/>
        </w:rPr>
      </w:pPr>
    </w:p>
    <w:p>
      <w:pPr>
        <w:ind w:right="720"/>
        <w:spacing w:after="0" w:line="424" w:lineRule="auto"/>
        <w:rPr>
          <w:sz w:val="20"/>
          <w:szCs w:val="20"/>
          <w:color w:val="auto"/>
        </w:rPr>
      </w:pPr>
      <w:r>
        <w:rPr>
          <w:rFonts w:ascii="Arial" w:cs="Arial" w:eastAsia="Arial" w:hAnsi="Arial"/>
          <w:sz w:val="18"/>
          <w:szCs w:val="18"/>
          <w:color w:val="auto"/>
        </w:rPr>
        <w:t xml:space="preserve">2021. This decrease was partially offset by increases in depreciation related to assets placed in service during the six months ended June 30, 2022. </w:t>
      </w:r>
      <w:r>
        <w:rPr>
          <w:rFonts w:ascii="Arial" w:cs="Arial" w:eastAsia="Arial" w:hAnsi="Arial"/>
          <w:sz w:val="18"/>
          <w:szCs w:val="18"/>
          <w:i w:val="1"/>
          <w:iCs w:val="1"/>
          <w:color w:val="auto"/>
        </w:rPr>
        <w:t>Interest Expense, Net</w:t>
      </w: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net</w:t>
            </w:r>
          </w:p>
        </w:tc>
        <w:tc>
          <w:tcPr>
            <w:tcW w:w="920" w:type="dxa"/>
            <w:vAlign w:val="bottom"/>
            <w:tcBorders>
              <w:top w:val="single" w:sz="8" w:color="auto"/>
            </w:tcBorders>
            <w:shd w:val="clear" w:color="auto" w:fill="CFF0FC"/>
          </w:tcPr>
          <w:p>
            <w:pPr>
              <w:jc w:val="right"/>
              <w:ind w:right="722"/>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3,112</w:t>
            </w:r>
          </w:p>
        </w:tc>
        <w:tc>
          <w:tcPr>
            <w:tcW w:w="2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10,452</w:t>
            </w:r>
          </w:p>
        </w:tc>
        <w:tc>
          <w:tcPr>
            <w:tcW w:w="2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2,262</w:t>
            </w: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17,169</w:t>
            </w:r>
          </w:p>
        </w:tc>
        <w:tc>
          <w:tcPr>
            <w:tcW w:w="10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was $3.1 million for the three months ended June 30, 2022, compared to $10.5 million for the three months ended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three months ended June 30, 2022 decreased by $7.3 million, or 70.2%, compared to the three months ended June 30, 2021.</w:t>
      </w:r>
    </w:p>
    <w:p>
      <w:pPr>
        <w:spacing w:after="0" w:line="16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decrease in interest cost was primarily attributable to $2.1 million of unrealized gains on the interest rate swap as a result of the increased interest rate volatility observed in the second quarter of 2022. This decrease was further impacted by the prepayment of $200.0 million of the Successor First Lien Credit Facility in June 2021, resulting in interest rate savings due to lower principal and more favorable interest rate margins. These decreases were partially offset by higher interest expense on the Successor First Lien Credit Facility as a result of rising interest rates.</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Interest expense, net was $2.3 million for the six months ended June 30, 2022, compared to $17.2 million for the six months ended June 30, 2021. Interest expense for the six months ended June 30, 2022 decreased by $14.9 million, or 86.8%, compared to the six months ended June 30, 2021.</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decrease in interest cost was primarily attributable to $7.4 million of unrealized gains on the interest rate swap as a result of the increased interest rate volatility observed in 2022. This decrease was further impacted by the Company’s February 2021 refinancing of the Successor First Lien Credit Facility, early repayment of the Successor Second Lien Credit Facility, and the prepayment of $200.0 million of the Successor First Lien Credit Facility in June 2021, resulting in interest rate savings due to lower principal and more favorable interest rate margins. These decreases were partially offset by higher interest expense on the Successor First Lien Credit Facility as a result of rising interest rates in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on extinguishment of debt</w:t>
            </w:r>
          </w:p>
        </w:tc>
        <w:tc>
          <w:tcPr>
            <w:tcW w:w="1020" w:type="dxa"/>
            <w:vAlign w:val="bottom"/>
            <w:tcBorders>
              <w:top w:val="single" w:sz="8" w:color="auto"/>
            </w:tcBorders>
            <w:shd w:val="clear" w:color="auto" w:fill="CFF0FC"/>
          </w:tcPr>
          <w:p>
            <w:pPr>
              <w:jc w:val="right"/>
              <w:ind w:right="84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02"/>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13,938</w:t>
            </w:r>
          </w:p>
        </w:tc>
      </w:tr>
    </w:tbl>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Loss on extinguishment of debt for the six months ended June 30, 2021 relates to expenses stemming from the write-off of debt issuance costs associated with the February 2021 refinancing of the Successor First Lien Credit Facility.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8"/>
          <w:szCs w:val="18"/>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(benefit) for income taxes</w:t>
            </w:r>
          </w:p>
        </w:tc>
        <w:tc>
          <w:tcPr>
            <w:tcW w:w="900" w:type="dxa"/>
            <w:vAlign w:val="bottom"/>
            <w:tcBorders>
              <w:top w:val="single" w:sz="8" w:color="auto"/>
            </w:tcBorders>
            <w:shd w:val="clear" w:color="auto" w:fill="CFF0FC"/>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7"/>
              </w:rPr>
              <w:t>5,432</w:t>
            </w:r>
          </w:p>
        </w:tc>
        <w:tc>
          <w:tcPr>
            <w:tcW w:w="1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3,063</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10,367</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(1,372 )</w:t>
            </w:r>
          </w:p>
        </w:tc>
      </w:tr>
    </w:tbl>
    <w:p>
      <w:pPr>
        <w:spacing w:after="0" w:line="14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Our provision for income taxes was $5.4 million for the three months ended June 30, 2022, compared to $3.1 million for the three months ended June 30, 2021. Our provision for income taxes for the three months ended June 30, 2022 increased by $2.4 million, compared to the three months ended June 30, 2021.</w:t>
      </w:r>
    </w:p>
    <w:p>
      <w:pPr>
        <w:spacing w:after="0" w:line="12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three months ended June 30, 2022, as compared to the three months ended June 30, 2021, due to improved operating results.</w:t>
      </w:r>
    </w:p>
    <w:p>
      <w:pPr>
        <w:spacing w:after="0" w:line="117"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Our provision for income taxes was $10.4 million for the six months ended June 30, 2022, compared to a (benefit) for income taxes of $(1.4) million for the six months ended June 30, 2021. Our provision for income taxes for the six months ended June 30, 2022 increased by $11.7 million, compared to the six months ended June 30, 2021.</w:t>
      </w:r>
    </w:p>
    <w:p>
      <w:pPr>
        <w:spacing w:after="0" w:line="12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six months ended June 30, 2022, as compared to the six months ended June 30, 2021, due to improved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and Net Income (Loss)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9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8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14,236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3,770</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27,249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(15,619 )</w:t>
            </w:r>
          </w:p>
        </w:tc>
        <w:tc>
          <w:tcPr>
            <w:tcW w:w="100" w:type="dxa"/>
            <w:vAlign w:val="bottom"/>
          </w:tcPr>
          <w:p>
            <w:pPr>
              <w:spacing w:after="0"/>
              <w:rPr>
                <w:sz w:val="17"/>
                <w:szCs w:val="17"/>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income (loss) margin</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7.1 %</w:t>
            </w: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3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(5.1 )%</w:t>
            </w:r>
          </w:p>
        </w:tc>
      </w:tr>
    </w:tbl>
    <w:p>
      <w:pPr>
        <w:spacing w:after="0" w:line="120"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Net income was $14.2 million for the three months ended June 30, 2022, compared to $3.8 million for the three months ended June 30, 2021. Net income for the three months ended June 30, 2022 increased by $10.5 million compared to the three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Net income margin was 7.1% for the three months ended June 30, 2022, compared to 2.2% the three months ended June 30, 2021.</w:t>
      </w:r>
    </w:p>
    <w:p>
      <w:pPr>
        <w:spacing w:after="0" w:line="15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improvement in our net income margin is attributable to our ability to leverage operating efficiencies to control our overall expenses while increasing revenues and our reduction in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$27.2 million for the six months ended June 30, 2022, compared to a net (loss) of $(15.6) million for the six months ended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six months ended June 30, 2022 increased by $42.9 million compared to the six months ended June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margin was 7.0% for the six months ended June 30, 2022, compared to (5.1)% the six months ended June 30, 2021.</w:t>
      </w:r>
    </w:p>
    <w:p>
      <w:pPr>
        <w:spacing w:after="0" w:line="15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improvement in our net income (loss) margin is attributable to our ability to leverage operating efficiencies to control our overall expenses while increasing revenues and our reduction in interest expense.</w:t>
      </w:r>
    </w:p>
    <w:p>
      <w:pPr>
        <w:spacing w:after="0" w:line="11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8" w:right="2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4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Adjusted EBITDA was $60.8 million for the three months ended June 30, 2022 and represented an Adjusted EBITDA Margin of 30.2%. Adjusted EBITDA was $56.3 million for the three months ended June 30, 2021 and represented an Adjusted EBITDA Margin of 32.2%. Adjusted EBITDA for the three months ended June 30, 2022 increased by $4.5 million, or 8.0%, compared to the three months ended June 30, 2021.</w:t>
      </w:r>
    </w:p>
    <w:p>
      <w:pPr>
        <w:spacing w:after="0" w:line="1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Adjusted EBITDA was $114.4 million for the six months ended June 30, 2022 and represented an Adjusted EBITDA Margin of 29.2%. Adjusted EBITDA was $92.9 million for the six months ended June 30, 2021 and represented an Adjusted EBITDA Margin of 30.3%. Adjusted EBITDA for the six months ended June 30, 2022 increased by $21.5 million, or 23.2%, compared to the six months ended June 30, 2021.</w:t>
      </w:r>
    </w:p>
    <w:p>
      <w:pPr>
        <w:spacing w:after="0" w:line="110"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Growth in Adjusted EBITDA was driven primarily from revenue growth attributed to new and existing customers and the cost structure benefits of increased automation, operational efficiencies, and operating leverage, but partially offset by higher third-party data costs, incremental public company costs, increased insurance premiums, additional investments in technology and sales, and lower margin results from our acquisitions.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14,236</w:t>
            </w: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3,770</w:t>
            </w: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27,249</w:t>
            </w:r>
          </w:p>
        </w:tc>
        <w:tc>
          <w:tcPr>
            <w:tcW w:w="1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(15,619 )</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7"/>
                <w:szCs w:val="17"/>
                <w:color w:val="auto"/>
              </w:rPr>
            </w:pPr>
          </w:p>
        </w:tc>
        <w:tc>
          <w:tcPr>
            <w:tcW w:w="11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3,112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10,452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17,169</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5,432</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3,063</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10,367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(1,372 )</w:t>
            </w:r>
          </w:p>
        </w:tc>
      </w:tr>
      <w:tr>
        <w:trPr>
          <w:trHeight w:val="202"/>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1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34,407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35,918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68,441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70,681</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13,938</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7"/>
                <w:szCs w:val="17"/>
                <w:color w:val="auto"/>
              </w:rPr>
            </w:pPr>
          </w:p>
        </w:tc>
        <w:tc>
          <w:tcPr>
            <w:tcW w:w="11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1,943</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3,226</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Transaction and acquisition-related charges </w:t>
            </w:r>
            <w:r>
              <w:rPr>
                <w:rFonts w:ascii="Arial" w:cs="Arial" w:eastAsia="Arial" w:hAnsi="Arial"/>
                <w:sz w:val="23"/>
                <w:szCs w:val="23"/>
                <w:color w:val="auto"/>
                <w:vertAlign w:val="superscript"/>
              </w:rPr>
              <w:t>(a)</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1,179</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2,677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4,366</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523</w:t>
            </w: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60,834</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0"/>
              </w:rPr>
              <w:t>56,322</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114,434</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92,912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20" w:right="120" w:hanging="512"/>
        <w:spacing w:after="0" w:line="247"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2022 includes a transaction bonus expense related to one of the Company’s 2021 acquisitions.</w:t>
      </w:r>
    </w:p>
    <w:p>
      <w:pPr>
        <w:ind w:left="520" w:right="440" w:hanging="512"/>
        <w:spacing w:after="0" w:line="255"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ind w:right="320"/>
        <w:spacing w:after="0" w:line="261"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8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60,834</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56,322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114,434</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92,912</w:t>
            </w:r>
          </w:p>
        </w:tc>
        <w:tc>
          <w:tcPr>
            <w:tcW w:w="80" w:type="dxa"/>
            <w:vAlign w:val="bottom"/>
          </w:tcPr>
          <w:p>
            <w:pPr>
              <w:spacing w:after="0"/>
              <w:rPr>
                <w:sz w:val="17"/>
                <w:szCs w:val="17"/>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7"/>
                <w:szCs w:val="17"/>
                <w:color w:val="auto"/>
              </w:rPr>
            </w:pPr>
          </w:p>
        </w:tc>
        <w:tc>
          <w:tcPr>
            <w:tcW w:w="11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201,561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174,826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391,442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306,896</w:t>
            </w:r>
          </w:p>
        </w:tc>
        <w:tc>
          <w:tcPr>
            <w:tcW w:w="80" w:type="dxa"/>
            <w:vAlign w:val="bottom"/>
          </w:tcPr>
          <w:p>
            <w:pPr>
              <w:spacing w:after="0"/>
              <w:rPr>
                <w:sz w:val="17"/>
                <w:szCs w:val="17"/>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30.2 %</w:t>
            </w:r>
          </w:p>
        </w:tc>
        <w:tc>
          <w:tcPr>
            <w:tcW w:w="3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32.2 %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29.2 %</w:t>
            </w:r>
          </w:p>
        </w:tc>
        <w:tc>
          <w:tcPr>
            <w:tcW w:w="3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and Adjusted EBITDA Margin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8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492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52,954</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49,208</w:t>
            </w:r>
          </w:p>
        </w:tc>
        <w:tc>
          <w:tcPr>
            <w:tcW w:w="10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99,773</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83,055</w:t>
            </w:r>
          </w:p>
        </w:tc>
        <w:tc>
          <w:tcPr>
            <w:tcW w:w="80" w:type="dxa"/>
            <w:vAlign w:val="bottom"/>
          </w:tcPr>
          <w:p>
            <w:pPr>
              <w:spacing w:after="0"/>
              <w:rPr>
                <w:sz w:val="17"/>
                <w:szCs w:val="17"/>
                <w:color w:val="auto"/>
              </w:rPr>
            </w:pPr>
          </w:p>
        </w:tc>
      </w:tr>
      <w:tr>
        <w:trPr>
          <w:trHeight w:val="203"/>
        </w:trPr>
        <w:tc>
          <w:tcPr>
            <w:tcW w:w="49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7,880</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7,114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14,661</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9,857</w:t>
            </w:r>
          </w:p>
        </w:tc>
        <w:tc>
          <w:tcPr>
            <w:tcW w:w="80" w:type="dxa"/>
            <w:vAlign w:val="bottom"/>
          </w:tcPr>
          <w:p>
            <w:pPr>
              <w:spacing w:after="0"/>
              <w:rPr>
                <w:sz w:val="17"/>
                <w:szCs w:val="17"/>
                <w:color w:val="auto"/>
              </w:rPr>
            </w:pPr>
          </w:p>
        </w:tc>
      </w:tr>
      <w:tr>
        <w:trPr>
          <w:trHeight w:val="196"/>
        </w:trPr>
        <w:tc>
          <w:tcPr>
            <w:tcW w:w="49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60,834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56,322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114,434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92,912</w:t>
            </w:r>
          </w:p>
        </w:tc>
        <w:tc>
          <w:tcPr>
            <w:tcW w:w="8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Americas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170,591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146,300</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330,679</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262,823</w:t>
            </w:r>
          </w:p>
        </w:tc>
        <w:tc>
          <w:tcPr>
            <w:tcW w:w="80" w:type="dxa"/>
            <w:vAlign w:val="bottom"/>
          </w:tcPr>
          <w:p>
            <w:pPr>
              <w:spacing w:after="0"/>
              <w:rPr>
                <w:sz w:val="17"/>
                <w:szCs w:val="17"/>
                <w:color w:val="auto"/>
              </w:rPr>
            </w:pP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33,044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64,785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46,642</w:t>
            </w:r>
          </w:p>
        </w:tc>
        <w:tc>
          <w:tcPr>
            <w:tcW w:w="80" w:type="dxa"/>
            <w:vAlign w:val="bottom"/>
          </w:tcPr>
          <w:p>
            <w:pPr>
              <w:spacing w:after="0"/>
              <w:rPr>
                <w:sz w:val="17"/>
                <w:szCs w:val="17"/>
                <w:color w:val="auto"/>
              </w:rPr>
            </w:pPr>
          </w:p>
        </w:tc>
      </w:tr>
      <w:tr>
        <w:trPr>
          <w:trHeight w:val="203"/>
        </w:trPr>
        <w:tc>
          <w:tcPr>
            <w:tcW w:w="49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Less: intersegment eliminations</w:t>
            </w: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(2,074 )</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(1,554 )</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(4,022 )</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(2,569 )</w:t>
            </w:r>
          </w:p>
        </w:tc>
        <w:tc>
          <w:tcPr>
            <w:tcW w:w="80" w:type="dxa"/>
            <w:vAlign w:val="bottom"/>
          </w:tcPr>
          <w:p>
            <w:pPr>
              <w:spacing w:after="0"/>
              <w:rPr>
                <w:sz w:val="17"/>
                <w:szCs w:val="17"/>
                <w:color w:val="auto"/>
              </w:rPr>
            </w:pPr>
          </w:p>
        </w:tc>
      </w:tr>
      <w:tr>
        <w:trPr>
          <w:trHeight w:val="196"/>
        </w:trPr>
        <w:tc>
          <w:tcPr>
            <w:tcW w:w="492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201,561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174,826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391,442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306,896</w:t>
            </w:r>
          </w:p>
        </w:tc>
        <w:tc>
          <w:tcPr>
            <w:tcW w:w="8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4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Margin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31.0 %</w:t>
            </w:r>
          </w:p>
        </w:tc>
        <w:tc>
          <w:tcPr>
            <w:tcW w:w="32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33.6 %</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30.2 %</w:t>
            </w:r>
          </w:p>
        </w:tc>
        <w:tc>
          <w:tcPr>
            <w:tcW w:w="3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31.6 %</w:t>
            </w: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23.8 %</w:t>
            </w:r>
          </w:p>
        </w:tc>
        <w:tc>
          <w:tcPr>
            <w:tcW w:w="32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23.7 %</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22.6 %</w:t>
            </w:r>
          </w:p>
        </w:tc>
        <w:tc>
          <w:tcPr>
            <w:tcW w:w="3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21.1 %</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30.2 %</w:t>
            </w:r>
          </w:p>
        </w:tc>
        <w:tc>
          <w:tcPr>
            <w:tcW w:w="32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32.2 %</w:t>
            </w:r>
          </w:p>
        </w:tc>
        <w:tc>
          <w:tcPr>
            <w:tcW w:w="34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29.2 %</w:t>
            </w:r>
          </w:p>
        </w:tc>
        <w:tc>
          <w:tcPr>
            <w:tcW w:w="3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-1607820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-1607820</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-1607820</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-802005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-802005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-802005</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3" w:lineRule="exact"/>
        <w:rPr>
          <w:sz w:val="20"/>
          <w:szCs w:val="20"/>
          <w:color w:val="auto"/>
        </w:rPr>
      </w:pPr>
    </w:p>
    <w:p>
      <w:pPr>
        <w:ind w:left="520" w:right="400" w:hanging="512"/>
        <w:spacing w:after="0" w:line="273"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the reconciliation of net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2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was $38.0 million for the three months ended June 30, 2022, compared to $33.2 million for the three months ended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for the three months ended June 30, 2022 increased by $4.8 million, or 14.5%, compared to the three months ended June 30,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Adjusted Diluted Earnings Per Share was $0.25 for the three months ended June 30, 2022 consistent with the three months ended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Adjusted Net Income was $71.5 million for the six months ended June 30, 2022, compared to $53.7 million for the six months ended June 30, 2021.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for the six months ended June 30, 2022 increased by $17.8 million, or 33.2%, compared to the six months ended June 30, 2021.</w:t>
      </w:r>
    </w:p>
    <w:p>
      <w:pPr>
        <w:spacing w:after="0" w:line="165"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Adjusted Diluted Earnings Per Share was $0.47 for the six months ended June 30, 2022, compared to $0.40 for the six months ended June 30, 2021. Adjusted Diluted Earnings Per Share for the six months ended June 30, 2022 increased by $0.07, or 17.5% compared to the six months ended June 30, 2021.</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This growth was driven primarily by the same factors contributing to Adjusted EBITDA growth, though Adjusted Net Income and Adjusted Diluted Earnings Per Share are also impacted by changes in acquisition-related depreciation and amortization and changes in our capital structure that are captured in interest expense. The prepayment of the Company’s Successor First Lien and Successor Second Lien debt and gains or losses on the Company’s interest rate swaps impact the comparability of Adjusted Net Income and Adjusted Diluted Earnings Per Share across historical periods. The IPO issuance of shares impacts the comparability of Adjusted Diluted Earnings Per Share across historical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Adjusted Net Income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180" w:type="dxa"/>
            <w:vAlign w:val="bottom"/>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14,236</w:t>
            </w:r>
          </w:p>
        </w:tc>
        <w:tc>
          <w:tcPr>
            <w:tcW w:w="1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3,770</w:t>
            </w:r>
          </w:p>
        </w:tc>
        <w:tc>
          <w:tcPr>
            <w:tcW w:w="10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27,249</w:t>
            </w:r>
          </w:p>
        </w:tc>
        <w:tc>
          <w:tcPr>
            <w:tcW w:w="1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(15,619 )</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5,432</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3,063</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87"/>
              </w:rPr>
              <w:t>10,367</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(1,372 )</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provision for income taxes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19,668</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6,833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37,616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(16,991 )</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7"/>
                <w:szCs w:val="17"/>
                <w:color w:val="auto"/>
              </w:rPr>
              <w:t>Debt-related charges</w:t>
            </w:r>
            <w:r>
              <w:rPr>
                <w:rFonts w:ascii="Arial" w:cs="Arial" w:eastAsia="Arial" w:hAnsi="Arial"/>
                <w:sz w:val="23"/>
                <w:szCs w:val="23"/>
                <w:color w:val="auto"/>
                <w:vertAlign w:val="superscript"/>
              </w:rPr>
              <w:t>(a)</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(1,669 )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4,355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3"/>
              </w:rPr>
              <w:t>(6,484 )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19,266</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Acquisition-related depreciation and amortization</w:t>
            </w:r>
            <w:r>
              <w:rPr>
                <w:rFonts w:ascii="Arial" w:cs="Arial" w:eastAsia="Arial" w:hAnsi="Arial"/>
                <w:sz w:val="23"/>
                <w:szCs w:val="23"/>
                <w:color w:val="auto"/>
                <w:vertAlign w:val="superscript"/>
              </w:rPr>
              <w:t>(b)</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29,029</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0"/>
              </w:rPr>
              <w:t>31,786</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7"/>
              </w:rPr>
              <w:t>58,144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63,298</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7"/>
                <w:szCs w:val="17"/>
                <w:color w:val="auto"/>
              </w:rPr>
            </w:pPr>
          </w:p>
        </w:tc>
        <w:tc>
          <w:tcPr>
            <w:tcW w:w="11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1,943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2,664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3,226</w:t>
            </w:r>
          </w:p>
        </w:tc>
      </w:tr>
      <w:tr>
        <w:trPr>
          <w:trHeight w:val="203"/>
        </w:trPr>
        <w:tc>
          <w:tcPr>
            <w:tcW w:w="49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Transaction and acquisition-related charges</w:t>
            </w:r>
            <w:r>
              <w:rPr>
                <w:rFonts w:ascii="Arial" w:cs="Arial" w:eastAsia="Arial" w:hAnsi="Arial"/>
                <w:sz w:val="23"/>
                <w:szCs w:val="23"/>
                <w:color w:val="auto"/>
                <w:vertAlign w:val="superscript"/>
              </w:rPr>
              <w:t>(c)</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1,179</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2,677</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4,366</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523</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Net Income before income tax effect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50,675</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0"/>
              </w:rPr>
              <w:t>46,093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95,391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73,688</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7"/>
                <w:szCs w:val="17"/>
                <w:color w:val="auto"/>
              </w:rPr>
              <w:t>Less: Income tax effect</w:t>
            </w:r>
            <w:r>
              <w:rPr>
                <w:rFonts w:ascii="Arial" w:cs="Arial" w:eastAsia="Arial" w:hAnsi="Arial"/>
                <w:sz w:val="23"/>
                <w:szCs w:val="23"/>
                <w:color w:val="auto"/>
                <w:vertAlign w:val="superscript"/>
              </w:rPr>
              <w:t>(e)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12,669</w:t>
            </w: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0"/>
              </w:rPr>
              <w:t>12,896</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87"/>
              </w:rPr>
              <w:t>23,888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19,988</w:t>
            </w:r>
          </w:p>
        </w:tc>
      </w:tr>
      <w:tr>
        <w:trPr>
          <w:trHeight w:val="236"/>
        </w:trPr>
        <w:tc>
          <w:tcPr>
            <w:tcW w:w="4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38,006</w:t>
            </w:r>
          </w:p>
        </w:tc>
        <w:tc>
          <w:tcPr>
            <w:tcW w:w="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0"/>
              </w:rPr>
              <w:t>33,197</w:t>
            </w:r>
          </w:p>
        </w:tc>
        <w:tc>
          <w:tcPr>
            <w:tcW w:w="1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87"/>
              </w:rPr>
              <w:t>71,503</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53,700</w:t>
            </w:r>
          </w:p>
        </w:tc>
      </w:tr>
      <w:tr>
        <w:trPr>
          <w:trHeight w:val="399"/>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6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4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-368300</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-351155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-368300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-351155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-368300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-351155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jc w:val="both"/>
        <w:ind w:right="40"/>
        <w:spacing w:after="0" w:line="248"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 net income (loss) per share (GAAP)</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0.03</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0.18</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Adjusted Net Income adjustments per share</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0.07</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Debt-related charges </w:t>
            </w:r>
            <w:r>
              <w:rPr>
                <w:rFonts w:ascii="Arial" w:cs="Arial" w:eastAsia="Arial" w:hAnsi="Arial"/>
                <w:sz w:val="23"/>
                <w:szCs w:val="23"/>
                <w:color w:val="auto"/>
                <w:vertAlign w:val="superscript"/>
              </w:rPr>
              <w:t>(a)</w:t>
            </w:r>
          </w:p>
        </w:tc>
        <w:tc>
          <w:tcPr>
            <w:tcW w:w="2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(0.01 )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(0.04 )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Acquisition-related depreciation and amortization </w:t>
            </w:r>
            <w:r>
              <w:rPr>
                <w:rFonts w:ascii="Arial" w:cs="Arial" w:eastAsia="Arial" w:hAnsi="Arial"/>
                <w:sz w:val="23"/>
                <w:szCs w:val="23"/>
                <w:color w:val="auto"/>
                <w:vertAlign w:val="superscript"/>
              </w:rPr>
              <w:t>(b)</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Transaction and acquisition related charges </w:t>
            </w:r>
            <w:r>
              <w:rPr>
                <w:rFonts w:ascii="Arial" w:cs="Arial" w:eastAsia="Arial" w:hAnsi="Arial"/>
                <w:sz w:val="23"/>
                <w:szCs w:val="23"/>
                <w:color w:val="auto"/>
                <w:vertAlign w:val="superscript"/>
              </w:rPr>
              <w:t>(c)</w:t>
            </w: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0.02</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Integration, restructuring, and other charges </w:t>
            </w:r>
            <w:r>
              <w:rPr>
                <w:rFonts w:ascii="Arial" w:cs="Arial" w:eastAsia="Arial" w:hAnsi="Arial"/>
                <w:sz w:val="23"/>
                <w:szCs w:val="23"/>
                <w:color w:val="auto"/>
                <w:vertAlign w:val="superscript"/>
              </w:rPr>
              <w:t>(d)</w:t>
            </w:r>
          </w:p>
        </w:tc>
        <w:tc>
          <w:tcPr>
            <w:tcW w:w="280" w:type="dxa"/>
            <w:vAlign w:val="bottom"/>
          </w:tcPr>
          <w:p>
            <w:pPr>
              <w:spacing w:after="0"/>
              <w:rPr>
                <w:sz w:val="17"/>
                <w:szCs w:val="17"/>
                <w:color w:val="auto"/>
              </w:rPr>
            </w:pPr>
          </w:p>
        </w:tc>
        <w:tc>
          <w:tcPr>
            <w:tcW w:w="12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(0.00 )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Adjusted income taxes </w:t>
            </w:r>
            <w:r>
              <w:rPr>
                <w:rFonts w:ascii="Arial" w:cs="Arial" w:eastAsia="Arial" w:hAnsi="Arial"/>
                <w:sz w:val="23"/>
                <w:szCs w:val="23"/>
                <w:color w:val="auto"/>
                <w:vertAlign w:val="superscript"/>
              </w:rPr>
              <w:t>(e)</w:t>
            </w: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(0.08 )</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(0.10 )</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(0.16 )</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196"/>
        </w:trPr>
        <w:tc>
          <w:tcPr>
            <w:tcW w:w="50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Adjusted Diluted Earnings Per Share (Non-GAAP)</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0.25</w:t>
            </w:r>
          </w:p>
        </w:tc>
        <w:tc>
          <w:tcPr>
            <w:tcW w:w="40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rPr>
              <w:t>0.25</w:t>
            </w:r>
          </w:p>
        </w:tc>
        <w:tc>
          <w:tcPr>
            <w:tcW w:w="36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0.47</w:t>
            </w:r>
          </w:p>
        </w:tc>
        <w:tc>
          <w:tcPr>
            <w:tcW w:w="36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0"/>
              <w:spacing w:after="0" w:line="162" w:lineRule="exact"/>
              <w:rPr>
                <w:sz w:val="20"/>
                <w:szCs w:val="20"/>
                <w:color w:val="auto"/>
              </w:rPr>
            </w:pPr>
            <w:r>
              <w:rPr>
                <w:rFonts w:ascii="Arial" w:cs="Arial" w:eastAsia="Arial" w:hAnsi="Arial"/>
                <w:sz w:val="18"/>
                <w:szCs w:val="18"/>
                <w:color w:val="auto"/>
              </w:rPr>
              <w:t>Weighted average number of shares outstanding used in</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computation of Adjusted Diluted Earnings Per Share: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152,360,350</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135,368,909</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152,361,788</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130,757,666</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(GAAP)</w:t>
            </w:r>
          </w:p>
        </w:tc>
        <w:tc>
          <w:tcPr>
            <w:tcW w:w="2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00"/>
              <w:spacing w:after="0" w:line="162" w:lineRule="exact"/>
              <w:rPr>
                <w:sz w:val="20"/>
                <w:szCs w:val="20"/>
                <w:color w:val="auto"/>
              </w:rPr>
            </w:pPr>
            <w:r>
              <w:rPr>
                <w:rFonts w:ascii="Arial" w:cs="Arial" w:eastAsia="Arial" w:hAnsi="Arial"/>
                <w:sz w:val="18"/>
                <w:szCs w:val="18"/>
                <w:color w:val="auto"/>
              </w:rPr>
              <w:t>Options and restricted stock not included in 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200"/>
              <w:spacing w:after="0" w:line="176" w:lineRule="exact"/>
              <w:rPr>
                <w:sz w:val="20"/>
                <w:szCs w:val="20"/>
                <w:color w:val="auto"/>
              </w:rPr>
            </w:pPr>
            <w:r>
              <w:rPr>
                <w:rFonts w:ascii="Arial" w:cs="Arial" w:eastAsia="Arial" w:hAnsi="Arial"/>
                <w:sz w:val="18"/>
                <w:szCs w:val="18"/>
                <w:color w:val="auto"/>
              </w:rPr>
              <w:t>average number of shares outstanding—diluted (GAAP)</w:t>
            </w:r>
          </w:p>
        </w:tc>
        <w:tc>
          <w:tcPr>
            <w:tcW w:w="280" w:type="dxa"/>
            <w:vAlign w:val="bottom"/>
          </w:tcPr>
          <w:p>
            <w:pPr>
              <w:spacing w:after="0"/>
              <w:rPr>
                <w:sz w:val="15"/>
                <w:szCs w:val="15"/>
                <w:color w:val="auto"/>
              </w:rPr>
            </w:pPr>
          </w:p>
        </w:tc>
        <w:tc>
          <w:tcPr>
            <w:tcW w:w="120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3,861,904</w:t>
            </w: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(using treasury stock method)</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4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rPr>
              <w:t>Adjusted weighted average number of shares outstanding—</w:t>
            </w:r>
          </w:p>
        </w:tc>
        <w:tc>
          <w:tcPr>
            <w:tcW w:w="28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152,360,350</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135,368,909</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152,361,788</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134,619,570</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8"/>
                <w:szCs w:val="18"/>
                <w:color w:val="auto"/>
              </w:rPr>
              <w:t>diluted (Non-GAAP)</w:t>
            </w: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-1359535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-1359535</wp:posOffset>
            </wp:positionV>
            <wp:extent cx="603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-1359535</wp:posOffset>
            </wp:positionV>
            <wp:extent cx="603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9" w:lineRule="exact"/>
        <w:rPr>
          <w:sz w:val="20"/>
          <w:szCs w:val="20"/>
          <w:color w:val="auto"/>
        </w:rPr>
      </w:pPr>
    </w:p>
    <w:p>
      <w:pPr>
        <w:ind w:left="520" w:right="160" w:hanging="512"/>
        <w:spacing w:after="0" w:line="263"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loss on extinguishment of debt and non-cash interest expense related to the amortization of debt issuance costs for the 2021 February refinancing and repayment of the Company’s Successor First Lien Credit Facility (as defined below) and Successor Second Lien Credit Facility (as defined below), respectively. Beginning in 2022, this adjustment also includes the impact of the change in fair value of interest rate swaps. This adjustment, which represents the fair value gains or losses on the interest rate swaps, was added as a result of the increased interest rate volatility observed in 2022. The Company determined that the impact to the previous year, ($0.1) million and $1.0 million for the three and six months ended June 30, 2021, respectively, was not significant and therefore the previously reported amounts will not be recast.</w:t>
      </w:r>
    </w:p>
    <w:p>
      <w:pPr>
        <w:spacing w:after="0" w:line="2" w:lineRule="exact"/>
        <w:rPr>
          <w:rFonts w:ascii="Arial" w:cs="Arial" w:eastAsia="Arial" w:hAnsi="Arial"/>
          <w:sz w:val="13"/>
          <w:szCs w:val="13"/>
          <w:color w:val="auto"/>
        </w:rPr>
      </w:pPr>
    </w:p>
    <w:p>
      <w:pPr>
        <w:ind w:left="520" w:hanging="512"/>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the depreciation and amortization expense related to intangible assets and developed technology assets recorded due to the application of ASC 805, Business Combinations.</w:t>
      </w:r>
    </w:p>
    <w:p>
      <w:pPr>
        <w:spacing w:after="0" w:line="12" w:lineRule="exact"/>
        <w:rPr>
          <w:rFonts w:ascii="Arial" w:cs="Arial" w:eastAsia="Arial" w:hAnsi="Arial"/>
          <w:sz w:val="13"/>
          <w:szCs w:val="13"/>
          <w:color w:val="auto"/>
        </w:rPr>
      </w:pPr>
    </w:p>
    <w:p>
      <w:pPr>
        <w:ind w:left="520" w:right="12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six months ended June 30, 2022 includes a transaction bonus expense related to one of the Company’s 2021 acquisitions.</w:t>
      </w:r>
    </w:p>
    <w:p>
      <w:pPr>
        <w:spacing w:after="0" w:line="1" w:lineRule="exact"/>
        <w:rPr>
          <w:rFonts w:ascii="Arial" w:cs="Arial" w:eastAsia="Arial" w:hAnsi="Arial"/>
          <w:sz w:val="14"/>
          <w:szCs w:val="14"/>
          <w:color w:val="auto"/>
        </w:rPr>
      </w:pPr>
    </w:p>
    <w:p>
      <w:pPr>
        <w:ind w:left="520" w:right="440" w:hanging="512"/>
        <w:spacing w:after="0" w:line="241"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ind w:left="520" w:hanging="512"/>
        <w:spacing w:after="0" w:line="244"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 tax rates of approximately 25.0% have been used to compute Adjusted Net Income and Adjusted Diluted Earnings Per Share for the three and six months ended June 30, 2022. Effective tax rates of approximately 28.0% and 27.1% have been used to compute Adjusted Net Income and Adjusted Diluted Earnings Per Share for the three and six months ended June 30, 2021, respectively. As of December 31, 2021, we had net operating loss carryforwards of approximately $120.1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of June 30, 2022, we had $352.3 million in cash and cash equivalents and $100.0 million available under our revolving credit facility. As of June 30, 2022,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8"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On August 2, 2022, the Company’s Board of Directors authorized the repurchase of up to $50.0 million of the Company’s common stock over the 12 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share repurchase program.</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all of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Cash Flows for the six months ended June 30, 2022 compared to the six months ended June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9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96,412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56,098</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(34,363 )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(19,003 )</w:t>
            </w: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187</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67,869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Net cash provided by operating activities was $96.4 million for the six months ended June 30, 20222, compared to $56.1 million for the six months ended June 30, 2021. Net cash provided by operating activities for the six months ended June 30, 2022 increased by $40.3 million compared to the six months ended June 30, 2021. Cash flows from operating activities was positively impacted by increased profitability related to the Company’s revenue growth from existing customers, new customer go-lives, and recent acquisitions and lower accounts receivable driven by increased cash collections.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Net cash used in investing activities was $34.4 million for the six months ended June 30, 2022, compared to $19.0 million for the six months ended June 30, 2021. Net cash used in investing activities for the six months ended June 30, 2022 increased by $15.4 million compared to the six months ended June</w:t>
      </w:r>
    </w:p>
    <w:p>
      <w:pPr>
        <w:spacing w:after="0" w:line="1" w:lineRule="exact"/>
        <w:rPr>
          <w:sz w:val="20"/>
          <w:szCs w:val="20"/>
          <w:color w:val="auto"/>
        </w:rPr>
      </w:pPr>
    </w:p>
    <w:p>
      <w:pPr>
        <w:jc w:val="both"/>
        <w:ind w:right="260"/>
        <w:spacing w:after="0" w:line="260" w:lineRule="auto"/>
        <w:rPr>
          <w:sz w:val="20"/>
          <w:szCs w:val="20"/>
          <w:color w:val="auto"/>
        </w:rPr>
      </w:pPr>
      <w:r>
        <w:rPr>
          <w:rFonts w:ascii="Arial" w:cs="Arial" w:eastAsia="Arial" w:hAnsi="Arial"/>
          <w:sz w:val="17"/>
          <w:szCs w:val="17"/>
          <w:color w:val="auto"/>
        </w:rPr>
        <w:t>30, 2021. The cash flows used in investing activities for the six months ended June 30, 2022 were impacted by the $19.1 million acquisition of Form I-9 Compliance, net of cash acquired. The remaining investing cash flows are driven primarily by capitalized software development costs and purchases of property and equipment, which increased in 2022 as we continued to make incremental investments in our technology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Net cash used in financing activities was $0.2 million for the six months ended June 30, 2022, compared to $67.9 million for the six months ended June 30, 2021. Net cash used in financing activities for the six months ended June 30, 2022 decreased by $67.7 million compared to the six months ended June 30,</w:t>
      </w:r>
    </w:p>
    <w:p>
      <w:pPr>
        <w:spacing w:after="0" w:line="1"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2021. Cash flows from financing activities for the six months ended June 30, 2022 were primarily driven by share-based compensation activity. These inflows were offset by cash outflows related to payments on capital lease obligations and a deferred purchase of a software platform.</w:t>
      </w:r>
    </w:p>
    <w:p>
      <w:pPr>
        <w:spacing w:after="0" w:line="11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Net cash provided by financing activities for the six months ended June 30, 2021 was primarily driven by the Company's completion of its IPO on June 25, 2021. Cash inflows related to the IPO were $320.6 million, partially offset by the use of proceeds which consisted of a $200.0 million repayment of the Company’s Successor First Lien Credit Facility and $1.0 million of offering cost payments.</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Net cash provided by financing activities for the six months ended June 30, 2021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amortizing principal payments due under the first lien term loan facility.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June 30, 2022, no material change had occurred in our market risks, compared with the disclosure in our Annual Report on Form 10-K filed with the SEC on March 23,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2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the quarter covered by this report, there were no changes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in response to this Item is included in “Part I — Item 1. — Note 12 — Commitments and Contingencies” and is incorporated by reference into Part II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June 30, 2022, no material changes had occurred in our risk factors, compared with the disclosure in our Annual Report on Form 10-K filed with the SEC on March 23,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June 25, 2021, we completed our IPO. All shares sold were registered pursuant to a registration statement on Form S-1 (File No. 333-256622), declared effective by the SEC on June 22, 2021.</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Annual Report on Form 10-K for the year ended December 31, 2021 filed with the SEC on March 23,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80" w:type="dxa"/>
            <w:vAlign w:val="bottom"/>
            <w:gridSpan w:val="12"/>
            <w:vMerge w:val="restart"/>
          </w:tcPr>
          <w:p>
            <w:pPr>
              <w:ind w:left="15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20" w:type="dxa"/>
            <w:vAlign w:val="bottom"/>
          </w:tcPr>
          <w:p>
            <w:pPr>
              <w:ind w:left="20"/>
              <w:spacing w:after="0" w:line="14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19"/>
          </w:tcPr>
          <w:p>
            <w:pPr>
              <w:spacing w:after="0" w:line="142" w:lineRule="exact"/>
              <w:rPr>
                <w:rFonts w:ascii="Arial" w:cs="Arial" w:eastAsia="Arial" w:hAnsi="Arial"/>
                <w:sz w:val="16"/>
                <w:szCs w:val="16"/>
                <w:color w:val="0000FF"/>
                <w:w w:val="95"/>
              </w:rPr>
            </w:pPr>
            <w:hyperlink r:id="rId215">
              <w:r>
                <w:rPr>
                  <w:rFonts w:ascii="Arial" w:cs="Arial" w:eastAsia="Arial" w:hAnsi="Arial"/>
                  <w:sz w:val="16"/>
                  <w:szCs w:val="16"/>
                  <w:color w:val="0000FF"/>
                  <w:w w:val="95"/>
                </w:rPr>
                <w:t>Amended and Restated Certificate of Incorporation of First Advantage Corporation (incorporated herein by reference to Exhibit 3.1 of First Advantage’s</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Form 8-K filed on June 25, 2021).</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6"/>
          </w:tcPr>
          <w:p>
            <w:pPr>
              <w:spacing w:after="0" w:line="155" w:lineRule="exact"/>
              <w:rPr>
                <w:rFonts w:ascii="Arial" w:cs="Arial" w:eastAsia="Arial" w:hAnsi="Arial"/>
                <w:sz w:val="16"/>
                <w:szCs w:val="16"/>
                <w:color w:val="0000FF"/>
                <w:w w:val="91"/>
              </w:rPr>
            </w:pPr>
            <w:hyperlink r:id="rId216">
              <w:r>
                <w:rPr>
                  <w:rFonts w:ascii="Arial" w:cs="Arial" w:eastAsia="Arial" w:hAnsi="Arial"/>
                  <w:sz w:val="16"/>
                  <w:szCs w:val="16"/>
                  <w:color w:val="0000FF"/>
                  <w:w w:val="91"/>
                </w:rPr>
                <w:t>Amended and Restated Bylaws of</w:t>
              </w:r>
            </w:hyperlink>
          </w:p>
        </w:tc>
        <w:tc>
          <w:tcPr>
            <w:tcW w:w="7980" w:type="dxa"/>
            <w:vAlign w:val="bottom"/>
            <w:gridSpan w:val="13"/>
          </w:tcPr>
          <w:p>
            <w:pPr>
              <w:ind w:left="20"/>
              <w:spacing w:after="0" w:line="155" w:lineRule="exact"/>
              <w:rPr>
                <w:rFonts w:ascii="Arial" w:cs="Arial" w:eastAsia="Arial" w:hAnsi="Arial"/>
                <w:sz w:val="16"/>
                <w:szCs w:val="16"/>
                <w:color w:val="0000FF"/>
                <w:w w:val="93"/>
              </w:rPr>
            </w:pPr>
            <w:hyperlink r:id="rId216">
              <w:r>
                <w:rPr>
                  <w:rFonts w:ascii="Arial" w:cs="Arial" w:eastAsia="Arial" w:hAnsi="Arial"/>
                  <w:sz w:val="16"/>
                  <w:szCs w:val="16"/>
                  <w:color w:val="0000FF"/>
                  <w:w w:val="93"/>
                </w:rPr>
                <w:t>First Advantage Corporation (incorporated herein by reference to Exhibit 3.2 of First Advantage’s Form 8-K filed on June</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120" w:type="dxa"/>
            <w:vAlign w:val="bottom"/>
            <w:gridSpan w:val="2"/>
          </w:tcPr>
          <w:p>
            <w:pPr>
              <w:spacing w:after="0"/>
              <w:rPr>
                <w:sz w:val="12"/>
                <w:szCs w:val="12"/>
                <w:color w:val="auto"/>
              </w:rPr>
            </w:pPr>
          </w:p>
        </w:tc>
        <w:tc>
          <w:tcPr>
            <w:tcW w:w="6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8"/>
              </w:rPr>
            </w:pPr>
            <w:hyperlink r:id="rId216">
              <w:r>
                <w:rPr>
                  <w:rFonts w:ascii="Arial" w:cs="Arial" w:eastAsia="Arial" w:hAnsi="Arial"/>
                  <w:sz w:val="16"/>
                  <w:szCs w:val="16"/>
                  <w:color w:val="0000FF"/>
                  <w:w w:val="88"/>
                </w:rPr>
                <w:t>25, 2021).</w:t>
              </w:r>
            </w:hyperlink>
          </w:p>
        </w:tc>
        <w:tc>
          <w:tcPr>
            <w:tcW w:w="20" w:type="dxa"/>
            <w:vAlign w:val="bottom"/>
            <w:tcBorders>
              <w:top w:val="single" w:sz="8" w:color="0000FF"/>
              <w:bottom w:val="single" w:sz="8" w:color="0000EE"/>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5" w:lineRule="exact"/>
              <w:rPr>
                <w:rFonts w:ascii="Arial" w:cs="Arial" w:eastAsia="Arial" w:hAnsi="Arial"/>
                <w:sz w:val="16"/>
                <w:szCs w:val="16"/>
                <w:color w:val="0000FF"/>
                <w:w w:val="95"/>
              </w:rPr>
            </w:pPr>
            <w:hyperlink w:anchor="page49">
              <w:r>
                <w:rPr>
                  <w:rFonts w:ascii="Arial" w:cs="Arial" w:eastAsia="Arial" w:hAnsi="Arial"/>
                  <w:sz w:val="16"/>
                  <w:szCs w:val="16"/>
                  <w:color w:val="0000FF"/>
                  <w:w w:val="95"/>
                </w:rPr>
                <w:t>Form of Non-Employee Director Restricted Stock Unit Initial Award Grant Notice and Agreement under the First Advantage Corporation 2021 Omnibus</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Incentive Plan</w:t>
              </w:r>
              <w:r>
                <w:rPr>
                  <w:rFonts w:ascii="Arial" w:cs="Arial" w:eastAsia="Arial" w:hAnsi="Arial"/>
                  <w:sz w:val="16"/>
                  <w:szCs w:val="16"/>
                  <w:color w:val="000000"/>
                </w:rPr>
                <w:t>.</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tcBorders>
            <w:gridSpan w:val="3"/>
          </w:tcPr>
          <w:p>
            <w:pPr>
              <w:spacing w:after="0" w:line="155" w:lineRule="exact"/>
              <w:rPr>
                <w:rFonts w:ascii="Arial" w:cs="Arial" w:eastAsia="Arial" w:hAnsi="Arial"/>
                <w:sz w:val="16"/>
                <w:szCs w:val="16"/>
                <w:color w:val="0000FF"/>
                <w:w w:val="95"/>
              </w:rPr>
            </w:pPr>
            <w:hyperlink w:anchor="page53">
              <w:r>
                <w:rPr>
                  <w:rFonts w:ascii="Arial" w:cs="Arial" w:eastAsia="Arial" w:hAnsi="Arial"/>
                  <w:sz w:val="16"/>
                  <w:szCs w:val="16"/>
                  <w:color w:val="0000FF"/>
                  <w:w w:val="95"/>
                </w:rPr>
                <w:t>Form of Non-</w:t>
              </w:r>
            </w:hyperlink>
          </w:p>
        </w:tc>
        <w:tc>
          <w:tcPr>
            <w:tcW w:w="20" w:type="dxa"/>
            <w:vAlign w:val="bottom"/>
            <w:tcBorders>
              <w:top w:val="single" w:sz="8" w:color="0000EE"/>
            </w:tcBorders>
          </w:tcPr>
          <w:p>
            <w:pPr>
              <w:spacing w:after="0"/>
              <w:rPr>
                <w:sz w:val="13"/>
                <w:szCs w:val="13"/>
                <w:color w:val="auto"/>
              </w:rPr>
            </w:pPr>
          </w:p>
        </w:tc>
        <w:tc>
          <w:tcPr>
            <w:tcW w:w="9260" w:type="dxa"/>
            <w:vAlign w:val="bottom"/>
            <w:gridSpan w:val="15"/>
          </w:tcPr>
          <w:p>
            <w:pPr>
              <w:spacing w:after="0" w:line="155" w:lineRule="exact"/>
              <w:rPr>
                <w:rFonts w:ascii="Arial" w:cs="Arial" w:eastAsia="Arial" w:hAnsi="Arial"/>
                <w:sz w:val="16"/>
                <w:szCs w:val="16"/>
                <w:color w:val="0000FF"/>
                <w:w w:val="94"/>
              </w:rPr>
            </w:pPr>
            <w:hyperlink w:anchor="page53">
              <w:r>
                <w:rPr>
                  <w:rFonts w:ascii="Arial" w:cs="Arial" w:eastAsia="Arial" w:hAnsi="Arial"/>
                  <w:sz w:val="16"/>
                  <w:szCs w:val="16"/>
                  <w:color w:val="0000FF"/>
                  <w:w w:val="94"/>
                </w:rPr>
                <w:t>Employee Director Restricted Stock Unit Annual Award Grant Notice and Agreement under the First Advantage Corporation 2021 Omnibus</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53">
              <w:r>
                <w:rPr>
                  <w:rFonts w:ascii="Arial" w:cs="Arial" w:eastAsia="Arial" w:hAnsi="Arial"/>
                  <w:sz w:val="16"/>
                  <w:szCs w:val="16"/>
                  <w:color w:val="0000FF"/>
                </w:rPr>
                <w:t>Incentive Plan.</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EE"/>
            </w:tcBorders>
            <w:gridSpan w:val="5"/>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5" w:lineRule="exact"/>
              <w:rPr>
                <w:rFonts w:ascii="Arial" w:cs="Arial" w:eastAsia="Arial" w:hAnsi="Arial"/>
                <w:sz w:val="16"/>
                <w:szCs w:val="16"/>
                <w:color w:val="0000FF"/>
              </w:rPr>
            </w:pPr>
            <w:hyperlink w:anchor="page57">
              <w:r>
                <w:rPr>
                  <w:rFonts w:ascii="Arial" w:cs="Arial" w:eastAsia="Arial" w:hAnsi="Arial"/>
                  <w:sz w:val="16"/>
                  <w:szCs w:val="16"/>
                  <w:color w:val="0000FF"/>
                </w:rPr>
                <w:t>Form of Standard Option Award Grant Notice and Agreement under the First Advantage Corporation 2021 Omnibus Incentive Plan</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8"/>
          </w:tcPr>
          <w:p>
            <w:pPr>
              <w:spacing w:after="0" w:line="155" w:lineRule="exact"/>
              <w:rPr>
                <w:rFonts w:ascii="Arial" w:cs="Arial" w:eastAsia="Arial" w:hAnsi="Arial"/>
                <w:sz w:val="16"/>
                <w:szCs w:val="16"/>
                <w:color w:val="0000FF"/>
                <w:w w:val="92"/>
              </w:rPr>
            </w:pPr>
            <w:hyperlink w:anchor="page65">
              <w:r>
                <w:rPr>
                  <w:rFonts w:ascii="Arial" w:cs="Arial" w:eastAsia="Arial" w:hAnsi="Arial"/>
                  <w:sz w:val="16"/>
                  <w:szCs w:val="16"/>
                  <w:color w:val="0000FF"/>
                  <w:w w:val="92"/>
                </w:rPr>
                <w:t>Form of Restricted Stock Unit Award Grant Notice and Agreement under the First Advantage Corporation 2021 Omnibus Incentive</w:t>
              </w:r>
            </w:hyperlink>
          </w:p>
        </w:tc>
        <w:tc>
          <w:tcPr>
            <w:tcW w:w="20" w:type="dxa"/>
            <w:vAlign w:val="bottom"/>
            <w:tcBorders>
              <w:top w:val="single" w:sz="8" w:color="0000EE"/>
            </w:tcBorders>
          </w:tcPr>
          <w:p>
            <w:pPr>
              <w:spacing w:after="0"/>
              <w:rPr>
                <w:sz w:val="13"/>
                <w:szCs w:val="13"/>
                <w:color w:val="auto"/>
              </w:rPr>
            </w:pPr>
          </w:p>
        </w:tc>
        <w:tc>
          <w:tcPr>
            <w:tcW w:w="1640" w:type="dxa"/>
            <w:vAlign w:val="bottom"/>
            <w:gridSpan w:val="10"/>
          </w:tcPr>
          <w:p>
            <w:pPr>
              <w:ind w:left="20"/>
              <w:spacing w:after="0" w:line="155" w:lineRule="exact"/>
              <w:rPr>
                <w:rFonts w:ascii="Arial" w:cs="Arial" w:eastAsia="Arial" w:hAnsi="Arial"/>
                <w:sz w:val="16"/>
                <w:szCs w:val="16"/>
                <w:color w:val="0000FF"/>
              </w:rPr>
            </w:pPr>
            <w:hyperlink w:anchor="page65">
              <w:r>
                <w:rPr>
                  <w:rFonts w:ascii="Arial" w:cs="Arial" w:eastAsia="Arial" w:hAnsi="Arial"/>
                  <w:sz w:val="16"/>
                  <w:szCs w:val="16"/>
                  <w:color w:val="0000FF"/>
                </w:rPr>
                <w:t>Plan.</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line="175" w:lineRule="exact"/>
              <w:rPr>
                <w:sz w:val="20"/>
                <w:szCs w:val="20"/>
                <w:color w:val="auto"/>
              </w:rPr>
            </w:pPr>
            <w:r>
              <w:rPr>
                <w:rFonts w:ascii="Arial" w:cs="Arial" w:eastAsia="Arial" w:hAnsi="Arial"/>
                <w:sz w:val="16"/>
                <w:szCs w:val="16"/>
                <w:color w:val="auto"/>
              </w:rPr>
              <w:t>31.1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FF"/>
            </w:tcBorders>
            <w:gridSpan w:val="7"/>
            <w:shd w:val="clear" w:color="auto" w:fill="0000FF"/>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5" w:lineRule="exact"/>
              <w:rPr>
                <w:rFonts w:ascii="Arial" w:cs="Arial" w:eastAsia="Arial" w:hAnsi="Arial"/>
                <w:sz w:val="16"/>
                <w:szCs w:val="16"/>
                <w:color w:val="0000FF"/>
                <w:w w:val="93"/>
              </w:rPr>
            </w:pPr>
            <w:hyperlink w:anchor="page73">
              <w:r>
                <w:rPr>
                  <w:rFonts w:ascii="Arial" w:cs="Arial" w:eastAsia="Arial" w:hAnsi="Arial"/>
                  <w:sz w:val="16"/>
                  <w:szCs w:val="16"/>
                  <w:color w:val="0000FF"/>
                  <w:w w:val="93"/>
                </w:rPr>
                <w:t>Certification of Principal Executive Officer Pursuant to Rules 13a-14(a) and 15d-14(a) under the Securities Exchange Act of 1934, as Adopted Pursuant to</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73">
              <w:r>
                <w:rPr>
                  <w:rFonts w:ascii="Arial" w:cs="Arial" w:eastAsia="Arial" w:hAnsi="Arial"/>
                  <w:sz w:val="16"/>
                  <w:szCs w:val="16"/>
                  <w:color w:val="0000FF"/>
                </w:rPr>
                <w:t>Section 302 of the Sarbanes-Oxley Act of 2002.</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7"/>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5" w:lineRule="exact"/>
              <w:rPr>
                <w:rFonts w:ascii="Arial" w:cs="Arial" w:eastAsia="Arial" w:hAnsi="Arial"/>
                <w:sz w:val="16"/>
                <w:szCs w:val="16"/>
                <w:color w:val="0000FF"/>
                <w:w w:val="94"/>
              </w:rPr>
            </w:pPr>
            <w:hyperlink w:anchor="page74">
              <w:r>
                <w:rPr>
                  <w:rFonts w:ascii="Arial" w:cs="Arial" w:eastAsia="Arial" w:hAnsi="Arial"/>
                  <w:sz w:val="16"/>
                  <w:szCs w:val="16"/>
                  <w:color w:val="0000FF"/>
                  <w:w w:val="94"/>
                </w:rPr>
                <w:t>Certification of Principal Financial Officer Pursuant to Rules 13a-14(a) and 15d-14(a) under the Securities Exchange Act of 1934, as Adopted Pursuant to</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74">
              <w:r>
                <w:rPr>
                  <w:rFonts w:ascii="Arial" w:cs="Arial" w:eastAsia="Arial" w:hAnsi="Arial"/>
                  <w:sz w:val="16"/>
                  <w:szCs w:val="16"/>
                  <w:color w:val="0000FF"/>
                </w:rPr>
                <w:t>Section 302 of the Sarbanes-Oxley Act of 2002.</w:t>
              </w:r>
            </w:hyperlink>
          </w:p>
        </w:tc>
        <w:tc>
          <w:tcPr>
            <w:tcW w:w="1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7"/>
            <w:shd w:val="clear" w:color="auto" w:fill="0000FF"/>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9"/>
          </w:tcPr>
          <w:p>
            <w:pPr>
              <w:spacing w:after="0" w:line="155" w:lineRule="exact"/>
              <w:rPr>
                <w:rFonts w:ascii="Arial" w:cs="Arial" w:eastAsia="Arial" w:hAnsi="Arial"/>
                <w:sz w:val="16"/>
                <w:szCs w:val="16"/>
                <w:color w:val="0000FF"/>
                <w:w w:val="95"/>
              </w:rPr>
            </w:pPr>
            <w:hyperlink w:anchor="page75">
              <w:r>
                <w:rPr>
                  <w:rFonts w:ascii="Arial" w:cs="Arial" w:eastAsia="Arial" w:hAnsi="Arial"/>
                  <w:sz w:val="16"/>
                  <w:szCs w:val="16"/>
                  <w:color w:val="0000FF"/>
                  <w:w w:val="95"/>
                </w:rPr>
                <w:t>Certification of Principal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5" w:lineRule="exact"/>
              <w:rPr>
                <w:rFonts w:ascii="Arial" w:cs="Arial" w:eastAsia="Arial" w:hAnsi="Arial"/>
                <w:sz w:val="16"/>
                <w:szCs w:val="16"/>
                <w:color w:val="0000FF"/>
                <w:w w:val="92"/>
              </w:rPr>
            </w:pPr>
            <w:hyperlink w:anchor="page76">
              <w:r>
                <w:rPr>
                  <w:rFonts w:ascii="Arial" w:cs="Arial" w:eastAsia="Arial" w:hAnsi="Arial"/>
                  <w:sz w:val="16"/>
                  <w:szCs w:val="16"/>
                  <w:color w:val="0000FF"/>
                  <w:w w:val="92"/>
                </w:rPr>
                <w:t>Certification of Principal Financial Officer Pursuant to 18 U.S.C. Section 1350, as Adopted Pursuant to Section 906 of the Sarbanes-Oxley Act of 2002.</w:t>
              </w:r>
            </w:hyperlink>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line="166" w:lineRule="exact"/>
              <w:rPr>
                <w:sz w:val="20"/>
                <w:szCs w:val="20"/>
                <w:color w:val="auto"/>
              </w:rPr>
            </w:pPr>
            <w:r>
              <w:rPr>
                <w:rFonts w:ascii="Arial" w:cs="Arial" w:eastAsia="Arial" w:hAnsi="Arial"/>
                <w:sz w:val="16"/>
                <w:szCs w:val="16"/>
                <w:color w:val="auto"/>
              </w:rPr>
              <w:t>101.INS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11"/>
            <w:shd w:val="clear" w:color="auto" w:fill="0000FF"/>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19"/>
          </w:tcPr>
          <w:p>
            <w:pPr>
              <w:spacing w:after="0" w:line="146"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XBRL document.</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75"/>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76"/>
        </w:trPr>
        <w:tc>
          <w:tcPr>
            <w:tcW w:w="920" w:type="dxa"/>
            <w:vAlign w:val="bottom"/>
          </w:tcPr>
          <w:p>
            <w:pPr>
              <w:ind w:left="20"/>
              <w:spacing w:after="0" w:line="175" w:lineRule="exact"/>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9"/>
          </w:tcPr>
          <w:p>
            <w:pPr>
              <w:spacing w:after="0" w:line="175" w:lineRule="exact"/>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06"/>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9"/>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9512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7" w:name="page48"/>
    <w:bookmarkEnd w:id="4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FIRST ADVANTAGE CORPORATION</w:t>
      </w:r>
    </w:p>
    <w:p>
      <w:pPr>
        <w:spacing w:after="0" w:line="169"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155"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15" w:lineRule="auto"/>
        <w:rPr>
          <w:sz w:val="20"/>
          <w:szCs w:val="20"/>
          <w:color w:val="auto"/>
        </w:rPr>
      </w:pPr>
      <w:r>
        <w:rPr>
          <w:rFonts w:ascii="Arial" w:cs="Arial" w:eastAsia="Arial" w:hAnsi="Arial"/>
          <w:sz w:val="17"/>
          <w:szCs w:val="17"/>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1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Grant ID: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Number of Restricted Stock Units</w:t>
            </w:r>
            <w:r>
              <w:rPr>
                <w:rFonts w:ascii="Arial" w:cs="Arial" w:eastAsia="Arial" w:hAnsi="Arial"/>
                <w:sz w:val="18"/>
                <w:szCs w:val="18"/>
                <w:color w:val="auto"/>
              </w:rPr>
              <w: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tc>
        <w:tc>
          <w:tcPr>
            <w:tcW w:w="7160" w:type="dxa"/>
            <w:vAlign w:val="bottom"/>
            <w:gridSpan w:val="5"/>
          </w:tcPr>
          <w:p>
            <w:pPr>
              <w:ind w:left="1040"/>
              <w:spacing w:after="0"/>
              <w:rPr>
                <w:sz w:val="20"/>
                <w:szCs w:val="20"/>
                <w:color w:val="auto"/>
              </w:rPr>
            </w:pPr>
            <w:r>
              <w:rPr>
                <w:rFonts w:ascii="Arial" w:cs="Arial" w:eastAsia="Arial" w:hAnsi="Arial"/>
                <w:sz w:val="18"/>
                <w:szCs w:val="18"/>
                <w:color w:val="auto"/>
                <w:w w:val="92"/>
              </w:rPr>
              <w:t>Subject to the Participant’s continued service with the Company on each applicable</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7160" w:type="dxa"/>
            <w:vAlign w:val="bottom"/>
            <w:gridSpan w:val="5"/>
          </w:tcPr>
          <w:p>
            <w:pPr>
              <w:ind w:left="1040"/>
              <w:spacing w:after="0" w:line="176" w:lineRule="exact"/>
              <w:rPr>
                <w:sz w:val="20"/>
                <w:szCs w:val="20"/>
                <w:color w:val="auto"/>
              </w:rPr>
            </w:pPr>
            <w:r>
              <w:rPr>
                <w:rFonts w:ascii="Arial" w:cs="Arial" w:eastAsia="Arial" w:hAnsi="Arial"/>
                <w:sz w:val="18"/>
                <w:szCs w:val="18"/>
                <w:color w:val="auto"/>
                <w:w w:val="92"/>
              </w:rPr>
              <w:t>vesting date, 1/3rd of the Restricted Stock Units shall vest on each of the first three</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7160" w:type="dxa"/>
            <w:vAlign w:val="bottom"/>
            <w:gridSpan w:val="5"/>
          </w:tcPr>
          <w:p>
            <w:pPr>
              <w:ind w:left="1040"/>
              <w:spacing w:after="0" w:line="189" w:lineRule="exact"/>
              <w:rPr>
                <w:sz w:val="20"/>
                <w:szCs w:val="20"/>
                <w:color w:val="auto"/>
              </w:rPr>
            </w:pPr>
            <w:r>
              <w:rPr>
                <w:rFonts w:ascii="Arial" w:cs="Arial" w:eastAsia="Arial" w:hAnsi="Arial"/>
                <w:sz w:val="18"/>
                <w:szCs w:val="18"/>
                <w:color w:val="auto"/>
                <w:w w:val="92"/>
              </w:rPr>
              <w:t>anniversaries of the Date of Grant; provided, that 100% of any unvested Restricted</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60" w:type="dxa"/>
            <w:vAlign w:val="bottom"/>
            <w:vMerge w:val="restart"/>
          </w:tcPr>
          <w:p>
            <w:pPr>
              <w:ind w:left="60"/>
              <w:spacing w:after="0" w:line="162" w:lineRule="exact"/>
              <w:rPr>
                <w:sz w:val="20"/>
                <w:szCs w:val="20"/>
                <w:color w:val="auto"/>
              </w:rPr>
            </w:pPr>
            <w:r>
              <w:rPr>
                <w:rFonts w:ascii="Arial" w:cs="Arial" w:eastAsia="Arial" w:hAnsi="Arial"/>
                <w:sz w:val="18"/>
                <w:szCs w:val="18"/>
                <w:color w:val="auto"/>
                <w:w w:val="93"/>
              </w:rPr>
              <w:t>in Control, subject to the Participant’s</w:t>
            </w:r>
          </w:p>
        </w:tc>
        <w:tc>
          <w:tcPr>
            <w:tcW w:w="0" w:type="dxa"/>
            <w:vAlign w:val="bottom"/>
          </w:tcPr>
          <w:p>
            <w:pPr>
              <w:spacing w:after="0" w:line="20" w:lineRule="exact"/>
              <w:rPr>
                <w:sz w:val="1"/>
                <w:szCs w:val="1"/>
                <w:color w:val="auto"/>
              </w:rPr>
            </w:pPr>
          </w:p>
        </w:tc>
      </w:tr>
      <w:tr>
        <w:trPr>
          <w:trHeight w:val="142"/>
        </w:trPr>
        <w:tc>
          <w:tcPr>
            <w:tcW w:w="3940" w:type="dxa"/>
            <w:vAlign w:val="bottom"/>
          </w:tcPr>
          <w:p>
            <w:pPr>
              <w:spacing w:after="0"/>
              <w:rPr>
                <w:sz w:val="12"/>
                <w:szCs w:val="12"/>
                <w:color w:val="auto"/>
              </w:rPr>
            </w:pPr>
          </w:p>
        </w:tc>
        <w:tc>
          <w:tcPr>
            <w:tcW w:w="4300" w:type="dxa"/>
            <w:vAlign w:val="bottom"/>
            <w:gridSpan w:val="4"/>
          </w:tcPr>
          <w:p>
            <w:pPr>
              <w:ind w:left="1040"/>
              <w:spacing w:after="0" w:line="142" w:lineRule="exact"/>
              <w:rPr>
                <w:sz w:val="20"/>
                <w:szCs w:val="20"/>
                <w:color w:val="auto"/>
              </w:rPr>
            </w:pPr>
            <w:r>
              <w:rPr>
                <w:rFonts w:ascii="Arial" w:cs="Arial" w:eastAsia="Arial" w:hAnsi="Arial"/>
                <w:sz w:val="16"/>
                <w:szCs w:val="16"/>
                <w:color w:val="auto"/>
              </w:rPr>
              <w:t>Stock Units shall vest in full upon a Change</w:t>
            </w: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7160" w:type="dxa"/>
            <w:vAlign w:val="bottom"/>
            <w:gridSpan w:val="5"/>
          </w:tcPr>
          <w:p>
            <w:pPr>
              <w:ind w:left="1040"/>
              <w:spacing w:after="0"/>
              <w:rPr>
                <w:sz w:val="20"/>
                <w:szCs w:val="20"/>
                <w:color w:val="auto"/>
              </w:rPr>
            </w:pPr>
            <w:r>
              <w:rPr>
                <w:rFonts w:ascii="Arial" w:cs="Arial" w:eastAsia="Arial" w:hAnsi="Arial"/>
                <w:sz w:val="18"/>
                <w:szCs w:val="18"/>
                <w:color w:val="auto"/>
              </w:rPr>
              <w:t>continued service with the Company upon such Change in Control.</w:t>
            </w:r>
          </w:p>
        </w:tc>
        <w:tc>
          <w:tcPr>
            <w:tcW w:w="0" w:type="dxa"/>
            <w:vAlign w:val="bottom"/>
          </w:tcPr>
          <w:p>
            <w:pPr>
              <w:spacing w:after="0"/>
              <w:rPr>
                <w:sz w:val="1"/>
                <w:szCs w:val="1"/>
                <w:color w:val="auto"/>
              </w:rPr>
            </w:pPr>
          </w:p>
        </w:tc>
      </w:tr>
      <w:tr>
        <w:trPr>
          <w:trHeight w:val="823"/>
        </w:trPr>
        <w:tc>
          <w:tcPr>
            <w:tcW w:w="3940" w:type="dxa"/>
            <w:vAlign w:val="bottom"/>
            <w:vMerge w:val="restart"/>
          </w:tcPr>
          <w:p>
            <w:pPr>
              <w:spacing w:after="0"/>
              <w:rPr>
                <w:sz w:val="20"/>
                <w:szCs w:val="20"/>
                <w:color w:val="auto"/>
              </w:rPr>
            </w:pPr>
            <w:r>
              <w:rPr>
                <w:rFonts w:ascii="Arial" w:cs="Arial" w:eastAsia="Arial" w:hAnsi="Arial"/>
                <w:sz w:val="18"/>
                <w:szCs w:val="18"/>
                <w:color w:val="auto"/>
              </w:rPr>
              <w:t>FIRST ADVANTAGE CORPORATION</w:t>
            </w:r>
          </w:p>
        </w:tc>
        <w:tc>
          <w:tcPr>
            <w:tcW w:w="1360" w:type="dxa"/>
            <w:vAlign w:val="bottom"/>
          </w:tcPr>
          <w:p>
            <w:pPr>
              <w:ind w:left="10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Title:</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r>
        <w:rPr>
          <w:rFonts w:ascii="Arial" w:cs="Arial" w:eastAsia="Arial" w:hAnsi="Arial"/>
          <w:sz w:val="24"/>
          <w:szCs w:val="24"/>
          <w:color w:val="auto"/>
          <w:vertAlign w:val="superscript"/>
        </w:rPr>
        <w:t>1</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Date:</w:t>
      </w:r>
    </w:p>
    <w:p>
      <w:pPr>
        <w:spacing w:after="0" w:line="196" w:lineRule="exact"/>
        <w:rPr>
          <w:sz w:val="20"/>
          <w:szCs w:val="20"/>
          <w:color w:val="auto"/>
        </w:rPr>
      </w:pPr>
    </w:p>
    <w:p>
      <w:pPr>
        <w:ind w:left="480" w:right="20" w:hanging="459"/>
        <w:spacing w:after="0" w:line="201" w:lineRule="auto"/>
        <w:tabs>
          <w:tab w:leader="none" w:pos="480" w:val="left"/>
        </w:tabs>
        <w:numPr>
          <w:ilvl w:val="0"/>
          <w:numId w:val="27"/>
        </w:numPr>
        <w:rPr>
          <w:rFonts w:ascii="Arial" w:cs="Arial" w:eastAsia="Arial" w:hAnsi="Arial"/>
          <w:sz w:val="24"/>
          <w:szCs w:val="24"/>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delivered to the Participant (as defined in the Grant Notice), and subject to the terms of this Restricted Stock Unit Agreement (this “</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and First Advantage Corporation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agree as follows. Capitalized terms not otherwise defined herein shall have the same meaning as set forth in the Plan</w:t>
      </w:r>
    </w:p>
    <w:p>
      <w:pPr>
        <w:spacing w:after="0" w:line="76" w:lineRule="exact"/>
        <w:rPr>
          <w:sz w:val="20"/>
          <w:szCs w:val="20"/>
          <w:color w:val="auto"/>
        </w:rPr>
      </w:pPr>
    </w:p>
    <w:p>
      <w:pPr>
        <w:jc w:val="both"/>
        <w:ind w:firstLine="8"/>
        <w:spacing w:after="0" w:line="258" w:lineRule="auto"/>
        <w:tabs>
          <w:tab w:leader="none" w:pos="225"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Subject to the terms and conditions set forth herein and in the Plan, the Company hereby grants to the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62" w:lineRule="exact"/>
        <w:rPr>
          <w:rFonts w:ascii="Arial" w:cs="Arial" w:eastAsia="Arial" w:hAnsi="Arial"/>
          <w:sz w:val="17"/>
          <w:szCs w:val="17"/>
          <w:b w:val="1"/>
          <w:bCs w:val="1"/>
          <w:color w:val="auto"/>
        </w:rPr>
      </w:pPr>
    </w:p>
    <w:p>
      <w:pPr>
        <w:ind w:left="240" w:hanging="232"/>
        <w:spacing w:after="0"/>
        <w:tabs>
          <w:tab w:leader="none" w:pos="2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the conditions contained herein and in the Plan, the Restricted Stock Units shall vest as provided in the Grant Notice.</w:t>
      </w:r>
    </w:p>
    <w:p>
      <w:pPr>
        <w:spacing w:after="0" w:line="103" w:lineRule="exact"/>
        <w:rPr>
          <w:rFonts w:ascii="Arial" w:cs="Arial" w:eastAsia="Arial" w:hAnsi="Arial"/>
          <w:sz w:val="18"/>
          <w:szCs w:val="18"/>
          <w:b w:val="1"/>
          <w:bCs w:val="1"/>
          <w:color w:val="auto"/>
        </w:rPr>
      </w:pPr>
    </w:p>
    <w:p>
      <w:pPr>
        <w:jc w:val="both"/>
        <w:ind w:firstLine="8"/>
        <w:spacing w:after="0" w:line="273" w:lineRule="auto"/>
        <w:tabs>
          <w:tab w:leader="none" w:pos="238"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 of Restricted Stock Units</w:t>
      </w:r>
      <w:r>
        <w:rPr>
          <w:rFonts w:ascii="Arial" w:cs="Arial" w:eastAsia="Arial" w:hAnsi="Arial"/>
          <w:sz w:val="16"/>
          <w:szCs w:val="16"/>
          <w:color w:val="auto"/>
        </w:rPr>
        <w:t>. Subject to any election by the Committee pursuant to Section 9(d)(ii) of the Plan, the Company will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53" w:lineRule="exact"/>
        <w:rPr>
          <w:rFonts w:ascii="Arial" w:cs="Arial" w:eastAsia="Arial" w:hAnsi="Arial"/>
          <w:sz w:val="16"/>
          <w:szCs w:val="16"/>
          <w:b w:val="1"/>
          <w:bCs w:val="1"/>
          <w:color w:val="auto"/>
        </w:rPr>
      </w:pPr>
    </w:p>
    <w:p>
      <w:pPr>
        <w:jc w:val="both"/>
        <w:ind w:firstLine="8"/>
        <w:spacing w:after="0" w:line="245" w:lineRule="auto"/>
        <w:tabs>
          <w:tab w:leader="none" w:pos="23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Except as otherwise provided in the Grant Notice or as otherwise may be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72" w:lineRule="exact"/>
        <w:rPr>
          <w:rFonts w:ascii="Arial" w:cs="Arial" w:eastAsia="Arial" w:hAnsi="Arial"/>
          <w:sz w:val="18"/>
          <w:szCs w:val="18"/>
          <w:b w:val="1"/>
          <w:bCs w:val="1"/>
          <w:color w:val="auto"/>
        </w:rPr>
      </w:pPr>
    </w:p>
    <w:p>
      <w:pPr>
        <w:jc w:val="both"/>
        <w:ind w:firstLine="8"/>
        <w:spacing w:after="0" w:line="241" w:lineRule="auto"/>
        <w:tabs>
          <w:tab w:leader="none" w:pos="22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Issuance of Common Stock</w:t>
      </w:r>
      <w:r>
        <w:rPr>
          <w:rFonts w:ascii="Arial" w:cs="Arial" w:eastAsia="Arial" w:hAnsi="Arial"/>
          <w:sz w:val="18"/>
          <w:szCs w:val="18"/>
          <w:color w:val="auto"/>
        </w:rPr>
        <w:t>. The Company shall not be required to record the ownership by the Participant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75" w:lineRule="exact"/>
        <w:rPr>
          <w:rFonts w:ascii="Arial" w:cs="Arial" w:eastAsia="Arial" w:hAnsi="Arial"/>
          <w:sz w:val="18"/>
          <w:szCs w:val="18"/>
          <w:b w:val="1"/>
          <w:bCs w:val="1"/>
          <w:color w:val="auto"/>
        </w:rPr>
      </w:pPr>
    </w:p>
    <w:p>
      <w:pPr>
        <w:jc w:val="both"/>
        <w:ind w:firstLine="8"/>
        <w:spacing w:after="0" w:line="272" w:lineRule="auto"/>
        <w:tabs>
          <w:tab w:leader="none" w:pos="279"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Participant</w:t>
      </w:r>
      <w:r>
        <w:rPr>
          <w:rFonts w:ascii="Arial" w:cs="Arial" w:eastAsia="Arial" w:hAnsi="Arial"/>
          <w:sz w:val="17"/>
          <w:szCs w:val="17"/>
          <w:color w:val="auto"/>
        </w:rPr>
        <w:t>. Whenever the word “Participant” is used in any provision of this Restricted Stock Unit Agreement under circumstances where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50" w:lineRule="exact"/>
        <w:rPr>
          <w:rFonts w:ascii="Arial" w:cs="Arial" w:eastAsia="Arial" w:hAnsi="Arial"/>
          <w:sz w:val="17"/>
          <w:szCs w:val="17"/>
          <w:b w:val="1"/>
          <w:bCs w:val="1"/>
          <w:color w:val="auto"/>
        </w:rPr>
      </w:pPr>
    </w:p>
    <w:p>
      <w:pPr>
        <w:jc w:val="both"/>
        <w:ind w:firstLine="8"/>
        <w:spacing w:after="0" w:line="264" w:lineRule="auto"/>
        <w:tabs>
          <w:tab w:leader="none" w:pos="252"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Non-Transferability</w:t>
      </w:r>
      <w:r>
        <w:rPr>
          <w:rFonts w:ascii="Arial" w:cs="Arial" w:eastAsia="Arial" w:hAnsi="Arial"/>
          <w:sz w:val="17"/>
          <w:szCs w:val="17"/>
          <w:color w:val="auto"/>
        </w:rPr>
        <w:t>. The Restricted Stock Units are not transferable by the Participant except to Permitted Transferees in accordance with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57" w:lineRule="exact"/>
        <w:rPr>
          <w:rFonts w:ascii="Arial" w:cs="Arial" w:eastAsia="Arial" w:hAnsi="Arial"/>
          <w:sz w:val="17"/>
          <w:szCs w:val="17"/>
          <w:b w:val="1"/>
          <w:bCs w:val="1"/>
          <w:color w:val="auto"/>
        </w:rPr>
      </w:pPr>
    </w:p>
    <w:p>
      <w:pPr>
        <w:jc w:val="both"/>
        <w:ind w:firstLine="8"/>
        <w:spacing w:after="0" w:line="286" w:lineRule="auto"/>
        <w:tabs>
          <w:tab w:leader="none" w:pos="22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Shareholder</w:t>
      </w:r>
      <w:r>
        <w:rPr>
          <w:rFonts w:ascii="Arial" w:cs="Arial" w:eastAsia="Arial" w:hAnsi="Arial"/>
          <w:sz w:val="16"/>
          <w:szCs w:val="16"/>
          <w:color w:val="auto"/>
        </w:rPr>
        <w:t>. The Participant or a Permitted Transferee of the Restricted Stock Units shall have no rights as a shareholder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0" w:name="page51"/>
    <w:bookmarkEnd w:id="50"/>
    <w:p>
      <w:pPr>
        <w:jc w:val="both"/>
        <w:ind w:left="-8" w:firstLine="8"/>
        <w:spacing w:after="0" w:line="241" w:lineRule="auto"/>
        <w:tabs>
          <w:tab w:leader="none" w:pos="21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Participant may be required to pay to the Company and the Company shall have the right and is hereby authorized to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75" w:lineRule="exact"/>
        <w:rPr>
          <w:rFonts w:ascii="Arial" w:cs="Arial" w:eastAsia="Arial" w:hAnsi="Arial"/>
          <w:sz w:val="18"/>
          <w:szCs w:val="18"/>
          <w:b w:val="1"/>
          <w:bCs w:val="1"/>
          <w:color w:val="auto"/>
        </w:rPr>
      </w:pPr>
    </w:p>
    <w:p>
      <w:pPr>
        <w:jc w:val="both"/>
        <w:ind w:left="-8" w:firstLine="8"/>
        <w:spacing w:after="0" w:line="273" w:lineRule="auto"/>
        <w:tabs>
          <w:tab w:leader="none" w:pos="3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Every notice or other communication relating to this Restricted Stock Unit Agreement between the Company and the Participant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53" w:lineRule="exact"/>
        <w:rPr>
          <w:rFonts w:ascii="Arial" w:cs="Arial" w:eastAsia="Arial" w:hAnsi="Arial"/>
          <w:sz w:val="16"/>
          <w:szCs w:val="16"/>
          <w:b w:val="1"/>
          <w:bCs w:val="1"/>
          <w:color w:val="auto"/>
        </w:rPr>
      </w:pPr>
    </w:p>
    <w:p>
      <w:pPr>
        <w:ind w:left="-8" w:firstLine="8"/>
        <w:spacing w:after="0" w:line="266" w:lineRule="auto"/>
        <w:tabs>
          <w:tab w:leader="none" w:pos="311"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Restricted Stock Unit Agreement does not confer upon the Participant any right to continue as an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 provider to the Company or any of its Subsidiaries.</w:t>
      </w:r>
    </w:p>
    <w:p>
      <w:pPr>
        <w:spacing w:after="0" w:line="54" w:lineRule="exact"/>
        <w:rPr>
          <w:rFonts w:ascii="Arial" w:cs="Arial" w:eastAsia="Arial" w:hAnsi="Arial"/>
          <w:sz w:val="18"/>
          <w:szCs w:val="18"/>
          <w:b w:val="1"/>
          <w:bCs w:val="1"/>
          <w:color w:val="auto"/>
        </w:rPr>
      </w:pPr>
    </w:p>
    <w:p>
      <w:pPr>
        <w:ind w:left="312" w:hanging="312"/>
        <w:spacing w:after="0"/>
        <w:tabs>
          <w:tab w:leader="none" w:pos="312"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Restricted Stock Unit Agreement shall be binding upon the heirs, executors, administrators and successors of the parties hereto.</w:t>
      </w:r>
    </w:p>
    <w:p>
      <w:pPr>
        <w:spacing w:after="0" w:line="126" w:lineRule="exact"/>
        <w:rPr>
          <w:rFonts w:ascii="Arial" w:cs="Arial" w:eastAsia="Arial" w:hAnsi="Arial"/>
          <w:sz w:val="16"/>
          <w:szCs w:val="16"/>
          <w:b w:val="1"/>
          <w:bCs w:val="1"/>
          <w:color w:val="auto"/>
        </w:rPr>
      </w:pPr>
    </w:p>
    <w:p>
      <w:pPr>
        <w:jc w:val="both"/>
        <w:ind w:left="-8" w:firstLine="8"/>
        <w:spacing w:after="0" w:line="242" w:lineRule="auto"/>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 modification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76" w:lineRule="exact"/>
        <w:rPr>
          <w:rFonts w:ascii="Arial" w:cs="Arial" w:eastAsia="Arial" w:hAnsi="Arial"/>
          <w:sz w:val="18"/>
          <w:szCs w:val="18"/>
          <w:b w:val="1"/>
          <w:bCs w:val="1"/>
          <w:color w:val="auto"/>
        </w:rPr>
      </w:pPr>
    </w:p>
    <w:p>
      <w:pPr>
        <w:jc w:val="both"/>
        <w:ind w:left="-8" w:firstLine="8"/>
        <w:spacing w:after="0" w:line="252" w:lineRule="auto"/>
        <w:tabs>
          <w:tab w:leader="none" w:pos="32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Clawback; Forfeiture</w:t>
      </w:r>
      <w:r>
        <w:rPr>
          <w:rFonts w:ascii="Arial" w:cs="Arial" w:eastAsia="Arial" w:hAnsi="Arial"/>
          <w:sz w:val="17"/>
          <w:szCs w:val="17"/>
          <w:color w:val="auto"/>
        </w:rPr>
        <w:t>. Notwithstanding anything to the contrary contained herein or in the Plan, if the Participant has engaged in or engages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7"/>
          <w:szCs w:val="17"/>
          <w:u w:val="single" w:color="auto"/>
          <w:color w:val="auto"/>
        </w:rPr>
        <w:t>Detrimental Activity</w:t>
      </w:r>
      <w:r>
        <w:rPr>
          <w:rFonts w:ascii="Arial" w:cs="Arial" w:eastAsia="Arial" w:hAnsi="Arial"/>
          <w:sz w:val="17"/>
          <w:szCs w:val="17"/>
          <w:color w:val="auto"/>
        </w:rPr>
        <w:t>” means any, offset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75" w:lineRule="exact"/>
        <w:rPr>
          <w:rFonts w:ascii="Arial" w:cs="Arial" w:eastAsia="Arial" w:hAnsi="Arial"/>
          <w:sz w:val="17"/>
          <w:szCs w:val="17"/>
          <w:b w:val="1"/>
          <w:bCs w:val="1"/>
          <w:color w:val="auto"/>
        </w:rPr>
      </w:pPr>
    </w:p>
    <w:p>
      <w:pPr>
        <w:jc w:val="both"/>
        <w:ind w:left="-8" w:firstLine="8"/>
        <w:spacing w:after="0" w:line="264" w:lineRule="auto"/>
        <w:tabs>
          <w:tab w:leader="none" w:pos="36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Venue</w:t>
      </w:r>
      <w:r>
        <w:rPr>
          <w:rFonts w:ascii="Arial" w:cs="Arial" w:eastAsia="Arial" w:hAnsi="Arial"/>
          <w:sz w:val="17"/>
          <w:szCs w:val="17"/>
          <w:color w:val="auto"/>
        </w:rPr>
        <w:t>. This Restricted Stock Unit Agreement shall be construed and interpreted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Atlanta, Georgia.</w:t>
      </w:r>
    </w:p>
    <w:p>
      <w:pPr>
        <w:spacing w:after="0" w:line="57" w:lineRule="exact"/>
        <w:rPr>
          <w:rFonts w:ascii="Arial" w:cs="Arial" w:eastAsia="Arial" w:hAnsi="Arial"/>
          <w:sz w:val="17"/>
          <w:szCs w:val="17"/>
          <w:b w:val="1"/>
          <w:bCs w:val="1"/>
          <w:color w:val="auto"/>
        </w:rPr>
      </w:pPr>
    </w:p>
    <w:p>
      <w:pPr>
        <w:jc w:val="both"/>
        <w:ind w:left="-8" w:firstLine="8"/>
        <w:spacing w:after="0" w:line="256" w:lineRule="auto"/>
        <w:tabs>
          <w:tab w:leader="none" w:pos="32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Subject to Plan</w:t>
      </w:r>
      <w:r>
        <w:rPr>
          <w:rFonts w:ascii="Arial" w:cs="Arial" w:eastAsia="Arial" w:hAnsi="Arial"/>
          <w:sz w:val="17"/>
          <w:szCs w:val="17"/>
          <w:color w:val="auto"/>
        </w:rPr>
        <w:t>. The Restricted Stock Units granted hereunder, and the shares of Common Stock issued to the Participant upon settlement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86" w:right="339" w:bottom="1440" w:gutter="0" w:footer="0" w:header="0"/>
        </w:sectPr>
      </w:pPr>
    </w:p>
    <w:bookmarkStart w:id="51" w:name="page52"/>
    <w:bookmarkEnd w:id="51"/>
    <w:p>
      <w:pPr>
        <w:ind w:left="-8" w:firstLine="8"/>
        <w:spacing w:after="0" w:line="329" w:lineRule="auto"/>
        <w:tabs>
          <w:tab w:leader="none" w:pos="307"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spacing w:after="0" w:line="8" w:lineRule="exact"/>
        <w:rPr>
          <w:rFonts w:ascii="Arial" w:cs="Arial" w:eastAsia="Arial" w:hAnsi="Arial"/>
          <w:sz w:val="16"/>
          <w:szCs w:val="16"/>
          <w:b w:val="1"/>
          <w:bCs w:val="1"/>
          <w:color w:val="auto"/>
        </w:rPr>
      </w:pPr>
    </w:p>
    <w:p>
      <w:pPr>
        <w:jc w:val="both"/>
        <w:ind w:left="-8" w:firstLine="8"/>
        <w:spacing w:after="0" w:line="245" w:lineRule="auto"/>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72" w:lineRule="exact"/>
        <w:rPr>
          <w:rFonts w:ascii="Arial" w:cs="Arial" w:eastAsia="Arial" w:hAnsi="Arial"/>
          <w:sz w:val="18"/>
          <w:szCs w:val="18"/>
          <w:b w:val="1"/>
          <w:bCs w:val="1"/>
          <w:color w:val="auto"/>
        </w:rPr>
      </w:pPr>
    </w:p>
    <w:p>
      <w:pPr>
        <w:jc w:val="both"/>
        <w:ind w:left="-8" w:firstLine="8"/>
        <w:spacing w:after="0" w:line="245" w:lineRule="auto"/>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Transmission Acknowledgement</w:t>
      </w:r>
      <w:r>
        <w:rPr>
          <w:rFonts w:ascii="Arial" w:cs="Arial" w:eastAsia="Arial" w:hAnsi="Arial"/>
          <w:sz w:val="18"/>
          <w:szCs w:val="18"/>
          <w:color w:val="auto"/>
        </w:rPr>
        <w:t>. To the extent necessary, the Participant authorizes, agrees and unambiguously consents to the transmission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72" w:lineRule="exact"/>
        <w:rPr>
          <w:rFonts w:ascii="Arial" w:cs="Arial" w:eastAsia="Arial" w:hAnsi="Arial"/>
          <w:sz w:val="18"/>
          <w:szCs w:val="18"/>
          <w:b w:val="1"/>
          <w:bCs w:val="1"/>
          <w:color w:val="auto"/>
        </w:rPr>
      </w:pPr>
    </w:p>
    <w:p>
      <w:pPr>
        <w:jc w:val="both"/>
        <w:ind w:left="-8" w:firstLine="8"/>
        <w:spacing w:after="0" w:line="258" w:lineRule="auto"/>
        <w:tabs>
          <w:tab w:leader="none" w:pos="37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current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17"/>
          <w:szCs w:val="17"/>
          <w:u w:val="single" w:color="auto"/>
          <w:color w:val="auto"/>
        </w:rPr>
        <w:t>Restricted Stock Unit Governing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the Restricted Stock Unit Governing Documents shall control.</w:t>
      </w:r>
    </w:p>
    <w:p>
      <w:pPr>
        <w:spacing w:after="0" w:line="62" w:lineRule="exact"/>
        <w:rPr>
          <w:rFonts w:ascii="Arial" w:cs="Arial" w:eastAsia="Arial" w:hAnsi="Arial"/>
          <w:sz w:val="17"/>
          <w:szCs w:val="17"/>
          <w:b w:val="1"/>
          <w:bCs w:val="1"/>
          <w:color w:val="auto"/>
        </w:rPr>
      </w:pPr>
    </w:p>
    <w:p>
      <w:pPr>
        <w:ind w:left="-8" w:right="20" w:firstLine="8"/>
        <w:spacing w:after="0" w:line="329" w:lineRule="auto"/>
        <w:tabs>
          <w:tab w:leader="none" w:pos="33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The Restricted Stock Unit Governing Documents constitute the entire agreement of the parties hereto in respect of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132715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48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Grant ID: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First Advantage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2021 Omnibus Incentive Plan, as it may be amended and restated from time to time (the</w:t>
      </w:r>
    </w:p>
    <w:p>
      <w:pPr>
        <w:spacing w:after="0" w:line="3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of Grant: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Number of</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Stock Units:</w:t>
      </w:r>
    </w:p>
    <w:p>
      <w:pPr>
        <w:sectPr>
          <w:pgSz w:w="11900" w:h="16838" w:orient="portrait"/>
          <w:cols w:equalWidth="0" w:num="1">
            <w:col w:w="11240"/>
          </w:cols>
          <w:pgMar w:left="320" w:top="324" w:right="339" w:bottom="1440" w:gutter="0" w:footer="0" w:header="0"/>
        </w:sectPr>
      </w:pPr>
    </w:p>
    <w:p>
      <w:pPr>
        <w:spacing w:after="0" w:line="17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300"/>
        <w:spacing w:after="0" w:line="232" w:lineRule="auto"/>
        <w:rPr>
          <w:sz w:val="20"/>
          <w:szCs w:val="20"/>
          <w:color w:val="auto"/>
        </w:rPr>
      </w:pPr>
      <w:r>
        <w:rPr>
          <w:rFonts w:ascii="Arial" w:cs="Arial" w:eastAsia="Arial" w:hAnsi="Arial"/>
          <w:sz w:val="17"/>
          <w:szCs w:val="17"/>
          <w:color w:val="auto"/>
        </w:rPr>
        <w:t>Subject to the Participant’s continued service with the Company on each applicable vesting date, 100% of the Restricted Stock Units shall vest on the earlier of (i) the first anniversary of the Date of Grant, or, if earlier, the date which is the business day immediately preceding the date of the annual meeting of the Company’s stockholders in #GrantCustom1#, or (ii) a Change in Control.</w:t>
      </w:r>
    </w:p>
    <w:p>
      <w:pPr>
        <w:spacing w:after="0" w:line="189" w:lineRule="exact"/>
        <w:rPr>
          <w:sz w:val="20"/>
          <w:szCs w:val="20"/>
          <w:color w:val="auto"/>
        </w:rPr>
      </w:pPr>
    </w:p>
    <w:p>
      <w:pPr>
        <w:sectPr>
          <w:pgSz w:w="11900" w:h="16838" w:orient="portrait"/>
          <w:cols w:equalWidth="0" w:num="2">
            <w:col w:w="2600" w:space="720"/>
            <w:col w:w="7920"/>
          </w:cols>
          <w:pgMar w:left="320" w:top="324" w:right="339" w:bottom="1440" w:gutter="0" w:footer="0" w:header="0"/>
          <w:type w:val="continuous"/>
        </w:sectPr>
      </w:pPr>
    </w:p>
    <w:p>
      <w:pPr>
        <w:ind w:left="4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5020" w:space="540"/>
            <w:col w:w="80" w:space="600"/>
            <w:col w:w="5000"/>
          </w:cols>
          <w:pgMar w:left="320" w:top="324" w:right="339" w:bottom="1440" w:gutter="0" w:footer="0" w:header="0"/>
          <w:type w:val="continuous"/>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ADVANTAGE CORPORATION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Title:</w:t>
      </w:r>
    </w:p>
    <w:p>
      <w:pPr>
        <w:spacing w:after="0" w:line="19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r>
        <w:rPr>
          <w:rFonts w:ascii="Arial" w:cs="Arial" w:eastAsia="Arial" w:hAnsi="Arial"/>
          <w:sz w:val="24"/>
          <w:szCs w:val="24"/>
          <w:color w:val="auto"/>
          <w:vertAlign w:val="superscript"/>
        </w:rPr>
        <w:t>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Date:</w:t>
      </w:r>
    </w:p>
    <w:p>
      <w:pPr>
        <w:spacing w:after="0" w:line="196" w:lineRule="exact"/>
        <w:rPr>
          <w:sz w:val="20"/>
          <w:szCs w:val="20"/>
          <w:color w:val="auto"/>
        </w:rPr>
      </w:pPr>
    </w:p>
    <w:p>
      <w:pPr>
        <w:ind w:left="480" w:right="20" w:hanging="459"/>
        <w:spacing w:after="0" w:line="201" w:lineRule="auto"/>
        <w:tabs>
          <w:tab w:leader="none" w:pos="480" w:val="left"/>
        </w:tabs>
        <w:numPr>
          <w:ilvl w:val="0"/>
          <w:numId w:val="31"/>
        </w:numPr>
        <w:rPr>
          <w:rFonts w:ascii="Arial" w:cs="Arial" w:eastAsia="Arial" w:hAnsi="Arial"/>
          <w:sz w:val="24"/>
          <w:szCs w:val="24"/>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jc w:val="center"/>
        <w:spacing w:after="0" w:line="234" w:lineRule="auto"/>
        <w:rPr>
          <w:sz w:val="20"/>
          <w:szCs w:val="20"/>
          <w:color w:val="auto"/>
        </w:rPr>
      </w:pPr>
      <w:r>
        <w:rPr>
          <w:rFonts w:ascii="Arial" w:cs="Arial" w:eastAsia="Arial" w:hAnsi="Arial"/>
          <w:sz w:val="18"/>
          <w:szCs w:val="18"/>
          <w:b w:val="1"/>
          <w:bCs w:val="1"/>
          <w:color w:val="auto"/>
        </w:rPr>
        <w:t>FIRST ADVANTAGE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delivered to the Participant (as defined in the Grant Notice), and subject to the terms of this Restricted Stock Unit Agreement (this “</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and First Advantage Corporation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agree as follows. Capitalized terms not otherwise defined herein shall have the same meaning as set forth in the Plan.</w:t>
      </w:r>
    </w:p>
    <w:p>
      <w:pPr>
        <w:spacing w:after="0" w:line="76" w:lineRule="exact"/>
        <w:rPr>
          <w:sz w:val="20"/>
          <w:szCs w:val="20"/>
          <w:color w:val="auto"/>
        </w:rPr>
      </w:pPr>
    </w:p>
    <w:p>
      <w:pPr>
        <w:ind w:right="80" w:firstLine="8"/>
        <w:spacing w:after="0" w:line="258" w:lineRule="auto"/>
        <w:tabs>
          <w:tab w:leader="none" w:pos="22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Subject to the terms and conditions set forth herein and in the Plan, the Company hereby grants to the Participant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62" w:lineRule="exact"/>
        <w:rPr>
          <w:rFonts w:ascii="Arial" w:cs="Arial" w:eastAsia="Arial" w:hAnsi="Arial"/>
          <w:sz w:val="17"/>
          <w:szCs w:val="17"/>
          <w:b w:val="1"/>
          <w:bCs w:val="1"/>
          <w:color w:val="auto"/>
        </w:rPr>
      </w:pPr>
    </w:p>
    <w:p>
      <w:pPr>
        <w:ind w:left="240" w:hanging="232"/>
        <w:spacing w:after="0"/>
        <w:tabs>
          <w:tab w:leader="none" w:pos="2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the conditions contained herein and in the Plan, the Restricted Stock Units shall vest as provided in the Grant Notice.</w:t>
      </w:r>
    </w:p>
    <w:p>
      <w:pPr>
        <w:spacing w:after="0" w:line="103" w:lineRule="exact"/>
        <w:rPr>
          <w:rFonts w:ascii="Arial" w:cs="Arial" w:eastAsia="Arial" w:hAnsi="Arial"/>
          <w:sz w:val="18"/>
          <w:szCs w:val="18"/>
          <w:b w:val="1"/>
          <w:bCs w:val="1"/>
          <w:color w:val="auto"/>
        </w:rPr>
      </w:pPr>
    </w:p>
    <w:p>
      <w:pPr>
        <w:ind w:right="20" w:firstLine="8"/>
        <w:spacing w:after="0" w:line="273" w:lineRule="auto"/>
        <w:tabs>
          <w:tab w:leader="none" w:pos="22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Settlement of Restricted Stock Units</w:t>
      </w:r>
      <w:r>
        <w:rPr>
          <w:rFonts w:ascii="Arial" w:cs="Arial" w:eastAsia="Arial" w:hAnsi="Arial"/>
          <w:sz w:val="16"/>
          <w:szCs w:val="16"/>
          <w:color w:val="auto"/>
        </w:rPr>
        <w:t>. Subject to any election by the Committee pursuant to Section 9(d)(ii) of the Plan, the Company will deliver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53" w:lineRule="exact"/>
        <w:rPr>
          <w:rFonts w:ascii="Arial" w:cs="Arial" w:eastAsia="Arial" w:hAnsi="Arial"/>
          <w:sz w:val="16"/>
          <w:szCs w:val="16"/>
          <w:b w:val="1"/>
          <w:bCs w:val="1"/>
          <w:color w:val="auto"/>
        </w:rPr>
      </w:pPr>
    </w:p>
    <w:p>
      <w:pPr>
        <w:jc w:val="both"/>
        <w:ind w:right="180" w:firstLine="8"/>
        <w:spacing w:after="0" w:line="245" w:lineRule="auto"/>
        <w:tabs>
          <w:tab w:leader="none" w:pos="22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Grant Notice or as otherwise may be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72" w:lineRule="exact"/>
        <w:rPr>
          <w:rFonts w:ascii="Arial" w:cs="Arial" w:eastAsia="Arial" w:hAnsi="Arial"/>
          <w:sz w:val="18"/>
          <w:szCs w:val="18"/>
          <w:b w:val="1"/>
          <w:bCs w:val="1"/>
          <w:color w:val="auto"/>
        </w:rPr>
      </w:pPr>
    </w:p>
    <w:p>
      <w:pPr>
        <w:ind w:right="40" w:firstLine="8"/>
        <w:spacing w:after="0" w:line="258" w:lineRule="auto"/>
        <w:tabs>
          <w:tab w:leader="none" w:pos="22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Conditions to Issuance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not be required to record the ownership by the Participant of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62" w:lineRule="exact"/>
        <w:rPr>
          <w:rFonts w:ascii="Arial" w:cs="Arial" w:eastAsia="Arial" w:hAnsi="Arial"/>
          <w:sz w:val="17"/>
          <w:szCs w:val="17"/>
          <w:b w:val="1"/>
          <w:bCs w:val="1"/>
          <w:color w:val="auto"/>
        </w:rPr>
      </w:pPr>
    </w:p>
    <w:p>
      <w:pPr>
        <w:ind w:right="200" w:firstLine="8"/>
        <w:spacing w:after="0" w:line="272" w:lineRule="auto"/>
        <w:tabs>
          <w:tab w:leader="none" w:pos="22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word “Participant” is used in any provision of this Restricted Stock Unit Agreement under circumstances where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50" w:lineRule="exact"/>
        <w:rPr>
          <w:rFonts w:ascii="Arial" w:cs="Arial" w:eastAsia="Arial" w:hAnsi="Arial"/>
          <w:sz w:val="17"/>
          <w:szCs w:val="17"/>
          <w:b w:val="1"/>
          <w:bCs w:val="1"/>
          <w:color w:val="auto"/>
        </w:rPr>
      </w:pPr>
    </w:p>
    <w:p>
      <w:pPr>
        <w:ind w:firstLine="8"/>
        <w:spacing w:after="0" w:line="264" w:lineRule="auto"/>
        <w:tabs>
          <w:tab w:leader="none" w:pos="22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Stock Units are not transferable by the Participant except to Permitted Transferees in accordance with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57" w:lineRule="exact"/>
        <w:rPr>
          <w:rFonts w:ascii="Arial" w:cs="Arial" w:eastAsia="Arial" w:hAnsi="Arial"/>
          <w:sz w:val="17"/>
          <w:szCs w:val="17"/>
          <w:b w:val="1"/>
          <w:bCs w:val="1"/>
          <w:color w:val="auto"/>
        </w:rPr>
      </w:pPr>
    </w:p>
    <w:p>
      <w:pPr>
        <w:ind w:right="60" w:firstLine="8"/>
        <w:spacing w:after="0" w:line="286" w:lineRule="auto"/>
        <w:tabs>
          <w:tab w:leader="none" w:pos="22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Shareholder</w:t>
      </w:r>
      <w:r>
        <w:rPr>
          <w:rFonts w:ascii="Arial" w:cs="Arial" w:eastAsia="Arial" w:hAnsi="Arial"/>
          <w:sz w:val="16"/>
          <w:szCs w:val="16"/>
          <w:color w:val="auto"/>
        </w:rPr>
        <w:t>. The Participant or a Permitted Transferee of the Restricted Stock Units shall have no rights as a shareholder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4" w:name="page55"/>
    <w:bookmarkEnd w:id="54"/>
    <w:p>
      <w:pPr>
        <w:ind w:left="-8" w:right="40" w:firstLine="8"/>
        <w:spacing w:after="0" w:line="241" w:lineRule="auto"/>
        <w:tabs>
          <w:tab w:leader="none" w:pos="21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Participant may be required to pay to the Company and the Company shall have the right and is hereby authorized to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75" w:lineRule="exact"/>
        <w:rPr>
          <w:rFonts w:ascii="Arial" w:cs="Arial" w:eastAsia="Arial" w:hAnsi="Arial"/>
          <w:sz w:val="18"/>
          <w:szCs w:val="18"/>
          <w:b w:val="1"/>
          <w:bCs w:val="1"/>
          <w:color w:val="auto"/>
        </w:rPr>
      </w:pPr>
    </w:p>
    <w:p>
      <w:pPr>
        <w:ind w:left="-8" w:right="60" w:firstLine="8"/>
        <w:spacing w:after="0" w:line="273" w:lineRule="auto"/>
        <w:tabs>
          <w:tab w:leader="none" w:pos="30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notice or other communication relating to this Restricted Stock Unit Agreement between the Company and the Participant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53" w:lineRule="exact"/>
        <w:rPr>
          <w:rFonts w:ascii="Arial" w:cs="Arial" w:eastAsia="Arial" w:hAnsi="Arial"/>
          <w:sz w:val="16"/>
          <w:szCs w:val="16"/>
          <w:b w:val="1"/>
          <w:bCs w:val="1"/>
          <w:color w:val="auto"/>
        </w:rPr>
      </w:pPr>
    </w:p>
    <w:p>
      <w:pPr>
        <w:ind w:left="-8" w:right="180" w:firstLine="8"/>
        <w:spacing w:after="0" w:line="266" w:lineRule="auto"/>
        <w:tabs>
          <w:tab w:leader="none" w:pos="29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This Restricted Stock Unit Agreement does not confer upon the Participant any right to continue as an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 provider to the Company or any of its Subsidiaries.</w:t>
      </w:r>
    </w:p>
    <w:p>
      <w:pPr>
        <w:spacing w:after="0" w:line="54" w:lineRule="exact"/>
        <w:rPr>
          <w:rFonts w:ascii="Arial" w:cs="Arial" w:eastAsia="Arial" w:hAnsi="Arial"/>
          <w:sz w:val="18"/>
          <w:szCs w:val="18"/>
          <w:b w:val="1"/>
          <w:bCs w:val="1"/>
          <w:color w:val="auto"/>
        </w:rPr>
      </w:pPr>
    </w:p>
    <w:p>
      <w:pPr>
        <w:ind w:left="312" w:hanging="312"/>
        <w:spacing w:after="0"/>
        <w:tabs>
          <w:tab w:leader="none" w:pos="31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This Restricted Stock Unit Agreement shall be binding upon the heirs, executors, administrators and successors of the parties hereto.</w:t>
      </w:r>
    </w:p>
    <w:p>
      <w:pPr>
        <w:spacing w:after="0" w:line="126" w:lineRule="exact"/>
        <w:rPr>
          <w:rFonts w:ascii="Arial" w:cs="Arial" w:eastAsia="Arial" w:hAnsi="Arial"/>
          <w:sz w:val="16"/>
          <w:szCs w:val="16"/>
          <w:b w:val="1"/>
          <w:bCs w:val="1"/>
          <w:color w:val="auto"/>
        </w:rPr>
      </w:pPr>
    </w:p>
    <w:p>
      <w:pPr>
        <w:ind w:left="-8" w:right="120" w:firstLine="8"/>
        <w:spacing w:after="0" w:line="242" w:lineRule="auto"/>
        <w:tabs>
          <w:tab w:leader="none" w:pos="30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Section 13 of the Plan, any waiver, alteration, amendment or modification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76" w:lineRule="exact"/>
        <w:rPr>
          <w:rFonts w:ascii="Arial" w:cs="Arial" w:eastAsia="Arial" w:hAnsi="Arial"/>
          <w:sz w:val="18"/>
          <w:szCs w:val="18"/>
          <w:b w:val="1"/>
          <w:bCs w:val="1"/>
          <w:color w:val="auto"/>
        </w:rPr>
      </w:pPr>
    </w:p>
    <w:p>
      <w:pPr>
        <w:ind w:left="-8" w:firstLine="8"/>
        <w:spacing w:after="0" w:line="252" w:lineRule="auto"/>
        <w:tabs>
          <w:tab w:leader="none" w:pos="307"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Clawback;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or in the Plan, if the Participant has engaged in or engages in any</w:t>
      </w:r>
      <w:r>
        <w:rPr>
          <w:rFonts w:ascii="Arial" w:cs="Arial" w:eastAsia="Arial" w:hAnsi="Arial"/>
          <w:sz w:val="17"/>
          <w:szCs w:val="17"/>
          <w:b w:val="1"/>
          <w:bCs w:val="1"/>
          <w:color w:val="auto"/>
        </w:rPr>
        <w:t xml:space="preserve"> </w:t>
      </w:r>
      <w:r>
        <w:rPr>
          <w:rFonts w:ascii="Arial" w:cs="Arial" w:eastAsia="Arial" w:hAnsi="Arial"/>
          <w:sz w:val="17"/>
          <w:szCs w:val="17"/>
          <w:color w:val="auto"/>
        </w:rPr>
        <w:t>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7"/>
          <w:szCs w:val="17"/>
          <w:u w:val="single" w:color="auto"/>
          <w:color w:val="auto"/>
        </w:rPr>
        <w:t>Detrimental Activity</w:t>
      </w:r>
      <w:r>
        <w:rPr>
          <w:rFonts w:ascii="Arial" w:cs="Arial" w:eastAsia="Arial" w:hAnsi="Arial"/>
          <w:sz w:val="17"/>
          <w:szCs w:val="17"/>
          <w:color w:val="auto"/>
        </w:rPr>
        <w:t>” means any, offset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75" w:lineRule="exact"/>
        <w:rPr>
          <w:rFonts w:ascii="Arial" w:cs="Arial" w:eastAsia="Arial" w:hAnsi="Arial"/>
          <w:sz w:val="17"/>
          <w:szCs w:val="17"/>
          <w:b w:val="1"/>
          <w:bCs w:val="1"/>
          <w:color w:val="auto"/>
        </w:rPr>
      </w:pPr>
    </w:p>
    <w:p>
      <w:pPr>
        <w:ind w:left="-8" w:right="320" w:firstLine="8"/>
        <w:spacing w:after="0" w:line="286" w:lineRule="auto"/>
        <w:tabs>
          <w:tab w:leader="none" w:pos="30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Restricted Stock Unit Agreement shall be construed and interpreted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Atlanta, Georgia.</w:t>
      </w:r>
    </w:p>
    <w:p>
      <w:pPr>
        <w:spacing w:after="0" w:line="41" w:lineRule="exact"/>
        <w:rPr>
          <w:rFonts w:ascii="Arial" w:cs="Arial" w:eastAsia="Arial" w:hAnsi="Arial"/>
          <w:sz w:val="16"/>
          <w:szCs w:val="16"/>
          <w:b w:val="1"/>
          <w:bCs w:val="1"/>
          <w:color w:val="auto"/>
        </w:rPr>
      </w:pPr>
    </w:p>
    <w:p>
      <w:pPr>
        <w:ind w:left="-8" w:right="80" w:firstLine="8"/>
        <w:spacing w:after="0" w:line="256" w:lineRule="auto"/>
        <w:tabs>
          <w:tab w:leader="none" w:pos="307"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Subject to Plan</w:t>
      </w:r>
      <w:r>
        <w:rPr>
          <w:rFonts w:ascii="Arial" w:cs="Arial" w:eastAsia="Arial" w:hAnsi="Arial"/>
          <w:sz w:val="17"/>
          <w:szCs w:val="17"/>
          <w:color w:val="auto"/>
        </w:rPr>
        <w:t>. The Restricted Stock Units granted hereunder, and the shares of Common Stock issued to the Participant upon settlement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238125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86" w:right="359" w:bottom="1440" w:gutter="0" w:footer="0" w:header="0"/>
        </w:sectPr>
      </w:pPr>
    </w:p>
    <w:bookmarkStart w:id="55" w:name="page56"/>
    <w:bookmarkEnd w:id="55"/>
    <w:p>
      <w:pPr>
        <w:ind w:left="-8" w:right="120" w:firstLine="8"/>
        <w:spacing w:after="0" w:line="329" w:lineRule="auto"/>
        <w:tabs>
          <w:tab w:leader="none" w:pos="307"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spacing w:after="0" w:line="8" w:lineRule="exact"/>
        <w:rPr>
          <w:rFonts w:ascii="Arial" w:cs="Arial" w:eastAsia="Arial" w:hAnsi="Arial"/>
          <w:sz w:val="16"/>
          <w:szCs w:val="16"/>
          <w:b w:val="1"/>
          <w:bCs w:val="1"/>
          <w:color w:val="auto"/>
        </w:rPr>
      </w:pPr>
    </w:p>
    <w:p>
      <w:pPr>
        <w:ind w:left="-8" w:firstLine="8"/>
        <w:spacing w:after="0" w:line="245" w:lineRule="auto"/>
        <w:tabs>
          <w:tab w:leader="none" w:pos="30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72" w:lineRule="exact"/>
        <w:rPr>
          <w:rFonts w:ascii="Arial" w:cs="Arial" w:eastAsia="Arial" w:hAnsi="Arial"/>
          <w:sz w:val="18"/>
          <w:szCs w:val="18"/>
          <w:b w:val="1"/>
          <w:bCs w:val="1"/>
          <w:color w:val="auto"/>
        </w:rPr>
      </w:pPr>
    </w:p>
    <w:p>
      <w:pPr>
        <w:ind w:left="-8" w:right="120" w:firstLine="8"/>
        <w:spacing w:after="0" w:line="245" w:lineRule="auto"/>
        <w:tabs>
          <w:tab w:leader="none" w:pos="30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Transmission 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the Participant authorizes, agrees and unambiguously consents to the transmission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72" w:lineRule="exact"/>
        <w:rPr>
          <w:rFonts w:ascii="Arial" w:cs="Arial" w:eastAsia="Arial" w:hAnsi="Arial"/>
          <w:sz w:val="18"/>
          <w:szCs w:val="18"/>
          <w:b w:val="1"/>
          <w:bCs w:val="1"/>
          <w:color w:val="auto"/>
        </w:rPr>
      </w:pPr>
    </w:p>
    <w:p>
      <w:pPr>
        <w:ind w:left="-8" w:right="60" w:firstLine="8"/>
        <w:spacing w:after="0" w:line="258" w:lineRule="auto"/>
        <w:tabs>
          <w:tab w:leader="none" w:pos="307"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current or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17"/>
          <w:szCs w:val="17"/>
          <w:u w:val="single" w:color="auto"/>
          <w:color w:val="auto"/>
        </w:rPr>
        <w:t>Restricted Stock Unit Governing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the Restricted Stock Unit Governing Documents shall control.</w:t>
      </w:r>
    </w:p>
    <w:p>
      <w:pPr>
        <w:spacing w:after="0" w:line="62" w:lineRule="exact"/>
        <w:rPr>
          <w:rFonts w:ascii="Arial" w:cs="Arial" w:eastAsia="Arial" w:hAnsi="Arial"/>
          <w:sz w:val="17"/>
          <w:szCs w:val="17"/>
          <w:b w:val="1"/>
          <w:bCs w:val="1"/>
          <w:color w:val="auto"/>
        </w:rPr>
      </w:pPr>
    </w:p>
    <w:p>
      <w:pPr>
        <w:ind w:left="-8" w:right="380" w:firstLine="8"/>
        <w:spacing w:after="0" w:line="329" w:lineRule="auto"/>
        <w:tabs>
          <w:tab w:leader="none" w:pos="307"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Unit Governing Documents constitute the entire agreement of the parties hereto in respect of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86" w:right="359"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t>Exhibit 10.3</w:t>
      </w:r>
    </w:p>
    <w:p>
      <w:pPr>
        <w:spacing w:after="0" w:line="221"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Grant ID: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GRANT NOTICE</w:t>
      </w:r>
    </w:p>
    <w:p>
      <w:pPr>
        <w:jc w:val="center"/>
        <w:ind w:right="40"/>
        <w:spacing w:after="0" w:line="233" w:lineRule="auto"/>
        <w:rPr>
          <w:sz w:val="20"/>
          <w:szCs w:val="20"/>
          <w:color w:val="auto"/>
        </w:rPr>
      </w:pPr>
      <w:r>
        <w:rPr>
          <w:rFonts w:ascii="Arial" w:cs="Arial" w:eastAsia="Arial" w:hAnsi="Arial"/>
          <w:sz w:val="20"/>
          <w:szCs w:val="20"/>
          <w:b w:val="1"/>
          <w:bCs w:val="1"/>
          <w:color w:val="auto"/>
        </w:rPr>
        <w:t>UNDER</w:t>
      </w:r>
    </w:p>
    <w:p>
      <w:pPr>
        <w:jc w:val="center"/>
        <w:spacing w:after="0" w:line="226" w:lineRule="auto"/>
        <w:rPr>
          <w:sz w:val="20"/>
          <w:szCs w:val="20"/>
          <w:color w:val="auto"/>
        </w:rPr>
      </w:pPr>
      <w:r>
        <w:rPr>
          <w:rFonts w:ascii="Arial" w:cs="Arial" w:eastAsia="Arial" w:hAnsi="Arial"/>
          <w:sz w:val="20"/>
          <w:szCs w:val="20"/>
          <w:b w:val="1"/>
          <w:bCs w:val="1"/>
          <w:color w:val="auto"/>
        </w:rPr>
        <w:t>FIRST ADVANTAGE CORPORATION</w:t>
      </w:r>
    </w:p>
    <w:p>
      <w:pPr>
        <w:jc w:val="center"/>
        <w:spacing w:after="0"/>
        <w:rPr>
          <w:sz w:val="20"/>
          <w:szCs w:val="20"/>
          <w:color w:val="auto"/>
        </w:rPr>
      </w:pPr>
      <w:r>
        <w:rPr>
          <w:rFonts w:ascii="Arial" w:cs="Arial" w:eastAsia="Arial" w:hAnsi="Arial"/>
          <w:sz w:val="20"/>
          <w:szCs w:val="20"/>
          <w:b w:val="1"/>
          <w:bCs w:val="1"/>
          <w:color w:val="auto"/>
        </w:rPr>
        <w:t>2021 OMNIBUS INCENTIVE PLAN</w:t>
      </w:r>
    </w:p>
    <w:p>
      <w:pPr>
        <w:spacing w:after="0" w:line="18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First Advantage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pursuant to its 2021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hereby grants to the Participant set forth below the number of Options (each Option representing the right to purchase one share of Common Stock) set forth below, at an Exercise Price per share as set forth below.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tc>
        <w:tc>
          <w:tcPr>
            <w:tcW w:w="3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419"/>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p>
        </w:tc>
        <w:tc>
          <w:tcPr>
            <w:tcW w:w="3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8"/>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Number of Options</w:t>
            </w:r>
            <w:r>
              <w:rPr>
                <w:rFonts w:ascii="Arial" w:cs="Arial" w:eastAsia="Arial" w:hAnsi="Arial"/>
                <w:sz w:val="20"/>
                <w:szCs w:val="20"/>
                <w:color w:val="auto"/>
              </w:rPr>
              <w:t>:</w:t>
            </w:r>
          </w:p>
        </w:tc>
        <w:tc>
          <w:tcPr>
            <w:tcW w:w="3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8"/>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Exercise Price per Share</w:t>
            </w:r>
            <w:r>
              <w:rPr>
                <w:rFonts w:ascii="Arial" w:cs="Arial" w:eastAsia="Arial" w:hAnsi="Arial"/>
                <w:sz w:val="20"/>
                <w:szCs w:val="20"/>
                <w:color w:val="auto"/>
              </w:rPr>
              <w:t>:</w:t>
            </w:r>
          </w:p>
        </w:tc>
        <w:tc>
          <w:tcPr>
            <w:tcW w:w="3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56"/>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Option Period Expiration Date</w:t>
            </w:r>
            <w:r>
              <w:rPr>
                <w:rFonts w:ascii="Arial" w:cs="Arial" w:eastAsia="Arial" w:hAnsi="Arial"/>
                <w:sz w:val="20"/>
                <w:szCs w:val="20"/>
                <w:color w:val="auto"/>
              </w:rPr>
              <w:t>:</w:t>
            </w:r>
          </w:p>
        </w:tc>
        <w:tc>
          <w:tcPr>
            <w:tcW w:w="5080" w:type="dxa"/>
            <w:vAlign w:val="bottom"/>
            <w:gridSpan w:val="2"/>
          </w:tcPr>
          <w:p>
            <w:pPr>
              <w:spacing w:after="0"/>
              <w:rPr>
                <w:sz w:val="20"/>
                <w:szCs w:val="20"/>
                <w:color w:val="auto"/>
              </w:rPr>
            </w:pPr>
            <w:r>
              <w:rPr>
                <w:rFonts w:ascii="Arial" w:cs="Arial" w:eastAsia="Arial" w:hAnsi="Arial"/>
                <w:sz w:val="20"/>
                <w:szCs w:val="20"/>
                <w:color w:val="auto"/>
              </w:rPr>
              <w:t>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Date of Grant</w:t>
            </w:r>
          </w:p>
        </w:tc>
        <w:tc>
          <w:tcPr>
            <w:tcW w:w="2320" w:type="dxa"/>
            <w:vAlign w:val="bottom"/>
          </w:tcPr>
          <w:p>
            <w:pPr>
              <w:spacing w:after="0"/>
              <w:rPr>
                <w:sz w:val="24"/>
                <w:szCs w:val="24"/>
                <w:color w:val="auto"/>
              </w:rPr>
            </w:pPr>
          </w:p>
        </w:tc>
      </w:tr>
      <w:tr>
        <w:trPr>
          <w:trHeight w:val="354"/>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Type of Option</w:t>
            </w:r>
            <w:r>
              <w:rPr>
                <w:rFonts w:ascii="Arial" w:cs="Arial" w:eastAsia="Arial" w:hAnsi="Arial"/>
                <w:sz w:val="20"/>
                <w:szCs w:val="20"/>
                <w:color w:val="auto"/>
              </w:rPr>
              <w:t>:</w:t>
            </w:r>
          </w:p>
        </w:tc>
        <w:tc>
          <w:tcPr>
            <w:tcW w:w="5080" w:type="dxa"/>
            <w:vAlign w:val="bottom"/>
            <w:gridSpan w:val="2"/>
          </w:tcPr>
          <w:p>
            <w:pPr>
              <w:spacing w:after="0"/>
              <w:rPr>
                <w:sz w:val="20"/>
                <w:szCs w:val="20"/>
                <w:color w:val="auto"/>
              </w:rPr>
            </w:pPr>
            <w:r>
              <w:rPr>
                <w:rFonts w:ascii="Arial" w:cs="Arial" w:eastAsia="Arial" w:hAnsi="Arial"/>
                <w:sz w:val="20"/>
                <w:szCs w:val="20"/>
                <w:color w:val="auto"/>
              </w:rPr>
              <w:t>Nonqualified Stock Option</w:t>
            </w:r>
          </w:p>
        </w:tc>
        <w:tc>
          <w:tcPr>
            <w:tcW w:w="2320" w:type="dxa"/>
            <w:vAlign w:val="bottom"/>
          </w:tcPr>
          <w:p>
            <w:pPr>
              <w:spacing w:after="0"/>
              <w:rPr>
                <w:sz w:val="24"/>
                <w:szCs w:val="24"/>
                <w:color w:val="auto"/>
              </w:rPr>
            </w:pPr>
          </w:p>
        </w:tc>
      </w:tr>
      <w:tr>
        <w:trPr>
          <w:trHeight w:val="371"/>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7400" w:type="dxa"/>
            <w:vAlign w:val="bottom"/>
            <w:gridSpan w:val="3"/>
          </w:tcPr>
          <w:p>
            <w:pPr>
              <w:spacing w:after="0"/>
              <w:rPr>
                <w:sz w:val="20"/>
                <w:szCs w:val="20"/>
                <w:color w:val="auto"/>
              </w:rPr>
            </w:pPr>
            <w:r>
              <w:rPr>
                <w:rFonts w:ascii="Arial" w:cs="Arial" w:eastAsia="Arial" w:hAnsi="Arial"/>
                <w:sz w:val="20"/>
                <w:szCs w:val="20"/>
                <w:color w:val="auto"/>
                <w:w w:val="95"/>
              </w:rPr>
              <w:t>Subject to the Participant’s continued service with the Company and its Subsidiaries on</w:t>
            </w:r>
          </w:p>
        </w:tc>
      </w:tr>
      <w:tr>
        <w:trPr>
          <w:trHeight w:val="250"/>
        </w:trPr>
        <w:tc>
          <w:tcPr>
            <w:tcW w:w="384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20"/>
                <w:szCs w:val="20"/>
                <w:color w:val="auto"/>
                <w:w w:val="91"/>
              </w:rPr>
              <w:t>each applicable vesting date, the Options shall vest as follows:</w:t>
            </w:r>
          </w:p>
        </w:tc>
        <w:tc>
          <w:tcPr>
            <w:tcW w:w="2320" w:type="dxa"/>
            <w:vAlign w:val="bottom"/>
          </w:tcPr>
          <w:p>
            <w:pPr>
              <w:spacing w:after="0"/>
              <w:rPr>
                <w:sz w:val="21"/>
                <w:szCs w:val="21"/>
                <w:color w:val="auto"/>
              </w:rPr>
            </w:pPr>
          </w:p>
        </w:tc>
      </w:tr>
      <w:tr>
        <w:trPr>
          <w:trHeight w:val="438"/>
        </w:trPr>
        <w:tc>
          <w:tcPr>
            <w:tcW w:w="384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r>
        <w:trPr>
          <w:trHeight w:val="169"/>
        </w:trPr>
        <w:tc>
          <w:tcPr>
            <w:tcW w:w="3840" w:type="dxa"/>
            <w:vAlign w:val="bottom"/>
            <w:tcBorders>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ind w:left="1360"/>
              <w:spacing w:after="0" w:line="170" w:lineRule="exact"/>
              <w:rPr>
                <w:sz w:val="20"/>
                <w:szCs w:val="20"/>
                <w:color w:val="auto"/>
              </w:rPr>
            </w:pPr>
            <w:r>
              <w:rPr>
                <w:rFonts w:ascii="Arial" w:cs="Arial" w:eastAsia="Arial" w:hAnsi="Arial"/>
                <w:sz w:val="19"/>
                <w:szCs w:val="19"/>
                <w:b w:val="1"/>
                <w:bCs w:val="1"/>
                <w:color w:val="auto"/>
              </w:rPr>
              <w:t>Vesting Date</w:t>
            </w:r>
          </w:p>
        </w:tc>
        <w:tc>
          <w:tcPr>
            <w:tcW w:w="1260" w:type="dxa"/>
            <w:vAlign w:val="bottom"/>
            <w:tcBorders>
              <w:bottom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ind w:left="140"/>
              <w:spacing w:after="0" w:line="170" w:lineRule="exact"/>
              <w:rPr>
                <w:sz w:val="20"/>
                <w:szCs w:val="20"/>
                <w:color w:val="auto"/>
              </w:rPr>
            </w:pPr>
            <w:r>
              <w:rPr>
                <w:rFonts w:ascii="Arial" w:cs="Arial" w:eastAsia="Arial" w:hAnsi="Arial"/>
                <w:sz w:val="19"/>
                <w:szCs w:val="19"/>
                <w:b w:val="1"/>
                <w:bCs w:val="1"/>
                <w:color w:val="auto"/>
              </w:rPr>
              <w:t>Quantity</w:t>
            </w:r>
          </w:p>
        </w:tc>
      </w:tr>
      <w:tr>
        <w:trPr>
          <w:trHeight w:val="226"/>
        </w:trPr>
        <w:tc>
          <w:tcPr>
            <w:tcW w:w="3840" w:type="dxa"/>
            <w:vAlign w:val="bottom"/>
            <w:tcBorders>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r>
      <w:tr>
        <w:trPr>
          <w:trHeight w:val="513"/>
        </w:trPr>
        <w:tc>
          <w:tcPr>
            <w:tcW w:w="38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w w:val="92"/>
              </w:rPr>
              <w:t>Notwithstanding any of the foregoing, upon a Termination at any time by reason of death</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0"/>
              </w:rPr>
              <w:t>or Disability, any unvested Options that would have become vested and exercisable on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7"/>
              </w:rPr>
              <w:t>vesting date immediately following the date of such Termination, had the Participant</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remained in service with the Company and its Subsidiaries through such vesting date, will</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become vested and exercisable as of the Participant’s Termination.</w:t>
            </w: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w w:val="93"/>
              </w:rPr>
              <w:t>If a Change in Control occurs and during the 24 month period following such Change in</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Control, the Participant’s service is terminated by the Service Recipient without Cause or</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6"/>
              </w:rPr>
              <w:t>due to the Participant’s resignation for Good Reason (as defined below), all unvested</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7"/>
              </w:rPr>
              <w:t>Options shall become fully vested and exercisable upon the date of the Participant’s</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Termination.</w:t>
            </w:r>
          </w:p>
        </w:tc>
        <w:tc>
          <w:tcPr>
            <w:tcW w:w="0" w:type="dxa"/>
            <w:vAlign w:val="bottom"/>
          </w:tcPr>
          <w:p>
            <w:pPr>
              <w:spacing w:after="0"/>
              <w:rPr>
                <w:sz w:val="1"/>
                <w:szCs w:val="1"/>
                <w:color w:val="auto"/>
              </w:rPr>
            </w:pPr>
          </w:p>
        </w:tc>
      </w:tr>
      <w:tr>
        <w:trPr>
          <w:trHeight w:val="468"/>
        </w:trPr>
        <w:tc>
          <w:tcPr>
            <w:tcW w:w="2400" w:type="dxa"/>
            <w:vAlign w:val="bottom"/>
          </w:tcPr>
          <w:p>
            <w:pPr>
              <w:spacing w:after="0"/>
              <w:rPr>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“Good Reason” shall have the meaning given to such term in any employment or</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4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7180" w:type="dxa"/>
            <w:vAlign w:val="bottom"/>
            <w:gridSpan w:val="2"/>
          </w:tcPr>
          <w:p>
            <w:pPr>
              <w:spacing w:after="0" w:line="179" w:lineRule="exact"/>
              <w:rPr>
                <w:sz w:val="20"/>
                <w:szCs w:val="20"/>
                <w:color w:val="auto"/>
              </w:rPr>
            </w:pPr>
            <w:r>
              <w:rPr>
                <w:rFonts w:ascii="Arial" w:cs="Arial" w:eastAsia="Arial" w:hAnsi="Arial"/>
                <w:sz w:val="20"/>
                <w:szCs w:val="20"/>
                <w:color w:val="auto"/>
                <w:w w:val="92"/>
              </w:rPr>
              <w:t>consulting agreement between the Participant and the Service Recipient in effect at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0"/>
              </w:rPr>
              <w:t>time of the Participant’s Termination. In the absence of any such employment or consulting</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4"/>
              </w:rPr>
              <w:t>agreement or the absence of any definition of “Good Reason” contained therein, “Good</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Reason” means the occurrence of one or more of the following events arising without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3"/>
              </w:rPr>
              <w:t>express written consent of the Participant, but only if the Participant notifies the Service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Recipient in writing of the event within 60 days following the occurrence of the event,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event remains uncured after the expiration of 30 days from receipt of such notice, and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Participant resigns effective no later than 30 days following the Service Recipient’s failure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to cure the event: (i) a material diminution in the Participant’s base salary or target bonus</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opportunity, (ii) the relocation of the Participant’s principal place of employment or service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7"/>
              </w:rPr>
              <w:t>to a location more than 35 miles from the Participant’s then current principal place of</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employment or service, if a move to such other location materially increases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Participant’s commute, or (iii) any material breach by the Company or the Service</w:t>
            </w: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Recipient of this Option Agreement or the Participant’s offer letter or employment</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agreement with the Service Recipient.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tabs>
          <w:tab w:leader="none" w:pos="280" w:val="left"/>
          <w:tab w:leader="none" w:pos="280" w:val="left"/>
        </w:tabs>
        <w:rPr>
          <w:sz w:val="20"/>
          <w:szCs w:val="20"/>
          <w:color w:val="auto"/>
        </w:rPr>
      </w:pPr>
      <w:r>
        <w:rPr>
          <w:rFonts w:ascii="Arial" w:cs="Arial" w:eastAsia="Arial" w:hAnsi="Arial"/>
          <w:sz w:val="20"/>
          <w:szCs w:val="20"/>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589280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25"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FIRST ADVANTAGE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sectPr>
      </w:pPr>
    </w:p>
    <w:bookmarkStart w:id="59" w:name="page60"/>
    <w:bookmarkEnd w:id="59"/>
    <w:p>
      <w:pPr>
        <w:jc w:val="both"/>
        <w:spacing w:after="0" w:line="235" w:lineRule="auto"/>
        <w:rPr>
          <w:sz w:val="20"/>
          <w:szCs w:val="20"/>
          <w:color w:val="auto"/>
        </w:rPr>
      </w:pPr>
      <w:r>
        <w:rPr>
          <w:rFonts w:ascii="Arial" w:cs="Arial" w:eastAsia="Arial" w:hAnsi="Arial"/>
          <w:sz w:val="20"/>
          <w:szCs w:val="20"/>
          <w:b w:val="1"/>
          <w:bCs w:val="1"/>
          <w:color w:val="auto"/>
        </w:rPr>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right="20" w:hanging="459"/>
        <w:spacing w:after="0" w:line="201" w:lineRule="auto"/>
        <w:tabs>
          <w:tab w:leader="none" w:pos="480" w:val="left"/>
        </w:tabs>
        <w:numPr>
          <w:ilvl w:val="0"/>
          <w:numId w:val="35"/>
        </w:numPr>
        <w:rPr>
          <w:rFonts w:ascii="Arial" w:cs="Arial" w:eastAsia="Arial" w:hAnsi="Arial"/>
          <w:sz w:val="24"/>
          <w:szCs w:val="24"/>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OPTION AGREEMENT</w:t>
      </w:r>
    </w:p>
    <w:p>
      <w:pPr>
        <w:jc w:val="center"/>
        <w:ind w:right="40"/>
        <w:spacing w:after="0" w:line="233" w:lineRule="auto"/>
        <w:rPr>
          <w:sz w:val="20"/>
          <w:szCs w:val="20"/>
          <w:color w:val="auto"/>
        </w:rPr>
      </w:pPr>
      <w:r>
        <w:rPr>
          <w:rFonts w:ascii="Arial" w:cs="Arial" w:eastAsia="Arial" w:hAnsi="Arial"/>
          <w:sz w:val="20"/>
          <w:szCs w:val="20"/>
          <w:b w:val="1"/>
          <w:bCs w:val="1"/>
          <w:color w:val="auto"/>
        </w:rPr>
        <w:t>UNDER</w:t>
      </w:r>
    </w:p>
    <w:p>
      <w:pPr>
        <w:jc w:val="center"/>
        <w:spacing w:after="0" w:line="226" w:lineRule="auto"/>
        <w:rPr>
          <w:sz w:val="20"/>
          <w:szCs w:val="20"/>
          <w:color w:val="auto"/>
        </w:rPr>
      </w:pPr>
      <w:r>
        <w:rPr>
          <w:rFonts w:ascii="Arial" w:cs="Arial" w:eastAsia="Arial" w:hAnsi="Arial"/>
          <w:sz w:val="20"/>
          <w:szCs w:val="20"/>
          <w:b w:val="1"/>
          <w:bCs w:val="1"/>
          <w:color w:val="auto"/>
        </w:rPr>
        <w:t>FIRST ADVANTAGE CORPORATION</w:t>
      </w:r>
    </w:p>
    <w:p>
      <w:pPr>
        <w:jc w:val="center"/>
        <w:spacing w:after="0"/>
        <w:rPr>
          <w:sz w:val="20"/>
          <w:szCs w:val="20"/>
          <w:color w:val="auto"/>
        </w:rPr>
      </w:pPr>
      <w:r>
        <w:rPr>
          <w:rFonts w:ascii="Arial" w:cs="Arial" w:eastAsia="Arial" w:hAnsi="Arial"/>
          <w:sz w:val="20"/>
          <w:szCs w:val="20"/>
          <w:b w:val="1"/>
          <w:bCs w:val="1"/>
          <w:color w:val="auto"/>
        </w:rPr>
        <w:t>2021 OMNIBUS INCENTIVE PLAN</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Pursuant to the Option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delivered to the Participant (as defined in the Grant Notice), and subject to the terms of this Option Agreement (this “</w:t>
      </w:r>
      <w:r>
        <w:rPr>
          <w:rFonts w:ascii="Arial" w:cs="Arial" w:eastAsia="Arial" w:hAnsi="Arial"/>
          <w:sz w:val="19"/>
          <w:szCs w:val="19"/>
          <w:u w:val="single" w:color="auto"/>
          <w:color w:val="auto"/>
        </w:rPr>
        <w:t>Option Agreement</w:t>
      </w:r>
      <w:r>
        <w:rPr>
          <w:rFonts w:ascii="Arial" w:cs="Arial" w:eastAsia="Arial" w:hAnsi="Arial"/>
          <w:sz w:val="19"/>
          <w:szCs w:val="19"/>
          <w:color w:val="auto"/>
        </w:rPr>
        <w:t>”) and First Advantage Corporation 2021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First Advantage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 agree as follows. Capitalized terms not otherwise defined herein shall have the same meaning as set forth in the Plan.</w:t>
      </w:r>
    </w:p>
    <w:p>
      <w:pPr>
        <w:spacing w:after="0" w:line="63" w:lineRule="exact"/>
        <w:rPr>
          <w:sz w:val="20"/>
          <w:szCs w:val="20"/>
          <w:color w:val="auto"/>
        </w:rPr>
      </w:pPr>
    </w:p>
    <w:p>
      <w:pPr>
        <w:jc w:val="both"/>
        <w:ind w:firstLine="8"/>
        <w:spacing w:after="0" w:line="245" w:lineRule="auto"/>
        <w:tabs>
          <w:tab w:leader="none" w:pos="26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Option</w:t>
      </w:r>
      <w:r>
        <w:rPr>
          <w:rFonts w:ascii="Arial" w:cs="Arial" w:eastAsia="Arial" w:hAnsi="Arial"/>
          <w:sz w:val="19"/>
          <w:szCs w:val="19"/>
          <w:color w:val="auto"/>
        </w:rPr>
        <w:t>. Subject to the terms and conditions set forth herein and in the Plan, the Company hereby grants to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Options provided in the Grant Notice (with each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65" w:lineRule="exact"/>
        <w:rPr>
          <w:rFonts w:ascii="Arial" w:cs="Arial" w:eastAsia="Arial" w:hAnsi="Arial"/>
          <w:sz w:val="19"/>
          <w:szCs w:val="19"/>
          <w:b w:val="1"/>
          <w:bCs w:val="1"/>
          <w:color w:val="auto"/>
        </w:rPr>
      </w:pPr>
    </w:p>
    <w:p>
      <w:pPr>
        <w:ind w:left="260" w:hanging="252"/>
        <w:spacing w:after="0"/>
        <w:tabs>
          <w:tab w:leader="none" w:pos="2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Subject to the conditions contained herein and in the Plan, the Options shall vest as provided in the Grant Notice.</w:t>
      </w:r>
    </w:p>
    <w:p>
      <w:pPr>
        <w:spacing w:after="0" w:line="94" w:lineRule="exact"/>
        <w:rPr>
          <w:rFonts w:ascii="Arial" w:cs="Arial" w:eastAsia="Arial" w:hAnsi="Arial"/>
          <w:sz w:val="20"/>
          <w:szCs w:val="20"/>
          <w:b w:val="1"/>
          <w:bCs w:val="1"/>
          <w:color w:val="auto"/>
        </w:rPr>
      </w:pPr>
    </w:p>
    <w:p>
      <w:pPr>
        <w:jc w:val="both"/>
        <w:ind w:firstLine="8"/>
        <w:spacing w:after="0" w:line="241" w:lineRule="auto"/>
        <w:tabs>
          <w:tab w:leader="none" w:pos="247"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Options Following Termination</w:t>
      </w:r>
      <w:r>
        <w:rPr>
          <w:rFonts w:ascii="Arial" w:cs="Arial" w:eastAsia="Arial" w:hAnsi="Arial"/>
          <w:sz w:val="19"/>
          <w:szCs w:val="19"/>
          <w:color w:val="auto"/>
        </w:rPr>
        <w:t>. Except as otherwise provided in the Grant Notice or as otherwise may be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and (D) a Participant’s Termination for any other reason (including, for the avoidance of doubt, termination by the Company without Cause or by the Participant for Good Reason), each outstanding unvested Option granted to such Participant shall immediately terminate and expire, and each outstanding vested Option shall remain exercisable for one hundred eighty (180) days thereafter (but in no event beyond the expiration of the Option Period).</w:t>
      </w:r>
    </w:p>
    <w:p>
      <w:pPr>
        <w:spacing w:after="0" w:line="70" w:lineRule="exact"/>
        <w:rPr>
          <w:rFonts w:ascii="Arial" w:cs="Arial" w:eastAsia="Arial" w:hAnsi="Arial"/>
          <w:sz w:val="19"/>
          <w:szCs w:val="19"/>
          <w:b w:val="1"/>
          <w:bCs w:val="1"/>
          <w:color w:val="auto"/>
        </w:rPr>
      </w:pPr>
    </w:p>
    <w:p>
      <w:pPr>
        <w:jc w:val="both"/>
        <w:ind w:firstLine="8"/>
        <w:spacing w:after="0" w:line="263" w:lineRule="auto"/>
        <w:tabs>
          <w:tab w:leader="none" w:pos="30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Options</w:t>
      </w:r>
      <w:r>
        <w:rPr>
          <w:rFonts w:ascii="Arial" w:cs="Arial" w:eastAsia="Arial" w:hAnsi="Arial"/>
          <w:sz w:val="18"/>
          <w:szCs w:val="18"/>
          <w:color w:val="auto"/>
        </w:rPr>
        <w:t>. The Options may be exercised by the delivery of notice of the number of Options that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accompanied by payment in full of the Exercise Price applicable to the Options so exercised. Such notice shall be delivered either</w:t>
      </w:r>
    </w:p>
    <w:p>
      <w:pPr>
        <w:jc w:val="both"/>
        <w:spacing w:after="0"/>
        <w:rPr>
          <w:rFonts w:ascii="Arial" w:cs="Arial" w:eastAsia="Arial" w:hAnsi="Arial"/>
          <w:sz w:val="18"/>
          <w:szCs w:val="18"/>
          <w:b w:val="1"/>
          <w:bCs w:val="1"/>
          <w:color w:val="auto"/>
        </w:rPr>
      </w:pPr>
      <w:r>
        <w:rPr>
          <w:rFonts w:ascii="Arial" w:cs="Arial" w:eastAsia="Arial" w:hAnsi="Arial"/>
          <w:sz w:val="19"/>
          <w:szCs w:val="19"/>
          <w:color w:val="auto"/>
        </w:rPr>
        <w:t xml:space="preserve">(a)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Arial" w:cs="Arial" w:eastAsia="Arial" w:hAnsi="Arial"/>
          <w:sz w:val="19"/>
          <w:szCs w:val="19"/>
          <w:u w:val="single" w:color="auto"/>
          <w:color w:val="auto"/>
        </w:rPr>
        <w:t>provided</w:t>
      </w:r>
      <w:r>
        <w:rPr>
          <w:rFonts w:ascii="Arial" w:cs="Arial" w:eastAsia="Arial" w:hAnsi="Arial"/>
          <w:sz w:val="19"/>
          <w:szCs w:val="19"/>
          <w:color w:val="auto"/>
        </w:rPr>
        <w:t>, that the Participant shall obtain written consent from the Committee prior to the use of the method described in Section 7(d)(ii)(A) of the Plan.</w:t>
      </w:r>
    </w:p>
    <w:p>
      <w:pPr>
        <w:spacing w:after="0" w:line="71" w:lineRule="exact"/>
        <w:rPr>
          <w:rFonts w:ascii="Arial" w:cs="Arial" w:eastAsia="Arial" w:hAnsi="Arial"/>
          <w:sz w:val="18"/>
          <w:szCs w:val="18"/>
          <w:b w:val="1"/>
          <w:bCs w:val="1"/>
          <w:color w:val="auto"/>
        </w:rPr>
      </w:pPr>
    </w:p>
    <w:p>
      <w:pPr>
        <w:jc w:val="both"/>
        <w:ind w:firstLine="8"/>
        <w:spacing w:after="0" w:line="223" w:lineRule="exact"/>
        <w:tabs>
          <w:tab w:leader="none" w:pos="274"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Issuance of Shares of Common Stock</w:t>
      </w:r>
      <w:r>
        <w:rPr>
          <w:rFonts w:ascii="Arial" w:cs="Arial" w:eastAsia="Arial" w:hAnsi="Arial"/>
          <w:sz w:val="20"/>
          <w:szCs w:val="20"/>
          <w:color w:val="auto"/>
        </w:rPr>
        <w:t>. Following the exercise of an Option hereunder, as promptly as practical after receipt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w:t>
      </w:r>
      <w:r>
        <w:rPr>
          <w:rFonts w:ascii="MS PGothic" w:cs="MS PGothic" w:eastAsia="MS PGothic" w:hAnsi="MS PGothic"/>
          <w:sz w:val="20"/>
          <w:szCs w:val="20"/>
          <w:color w:val="auto"/>
        </w:rPr>
        <w:t>‑</w:t>
      </w:r>
      <w:r>
        <w:rPr>
          <w:rFonts w:ascii="Arial" w:cs="Arial" w:eastAsia="Arial" w:hAnsi="Arial"/>
          <w:sz w:val="20"/>
          <w:szCs w:val="20"/>
          <w:color w:val="auto"/>
        </w:rPr>
        <w:t>party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1" w:name="page62"/>
    <w:bookmarkEnd w:id="61"/>
    <w:p>
      <w:pPr>
        <w:jc w:val="both"/>
        <w:ind w:left="-8" w:firstLine="8"/>
        <w:spacing w:after="0" w:line="261" w:lineRule="auto"/>
        <w:tabs>
          <w:tab w:leader="none" w:pos="25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Issuance of Common Stock</w:t>
      </w:r>
      <w:r>
        <w:rPr>
          <w:rFonts w:ascii="Arial" w:cs="Arial" w:eastAsia="Arial" w:hAnsi="Arial"/>
          <w:sz w:val="18"/>
          <w:szCs w:val="18"/>
          <w:color w:val="auto"/>
        </w:rPr>
        <w:t>. The Company shall not be required to record the ownership by the Participant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spacing w:after="0" w:line="53" w:lineRule="exact"/>
        <w:rPr>
          <w:rFonts w:ascii="Arial" w:cs="Arial" w:eastAsia="Arial" w:hAnsi="Arial"/>
          <w:sz w:val="18"/>
          <w:szCs w:val="18"/>
          <w:b w:val="1"/>
          <w:bCs w:val="1"/>
          <w:color w:val="auto"/>
        </w:rPr>
      </w:pPr>
    </w:p>
    <w:p>
      <w:pPr>
        <w:jc w:val="both"/>
        <w:ind w:left="-8" w:firstLine="8"/>
        <w:spacing w:after="0" w:line="279" w:lineRule="auto"/>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Whenever the word “Participant” is used in any provision of this Option Agreement under circumstances where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should logically be construed to apply to the executors, the administrators, or the person or persons to whom the Options may be transferred in accordance with Section 14(b) of the Plan, the word “Participant” shall be deemed to include such person or persons.</w:t>
      </w:r>
    </w:p>
    <w:p>
      <w:pPr>
        <w:spacing w:after="0" w:line="34" w:lineRule="exact"/>
        <w:rPr>
          <w:rFonts w:ascii="Arial" w:cs="Arial" w:eastAsia="Arial" w:hAnsi="Arial"/>
          <w:sz w:val="18"/>
          <w:szCs w:val="18"/>
          <w:b w:val="1"/>
          <w:bCs w:val="1"/>
          <w:color w:val="auto"/>
        </w:rPr>
      </w:pPr>
    </w:p>
    <w:p>
      <w:pPr>
        <w:jc w:val="both"/>
        <w:ind w:left="-8" w:firstLine="8"/>
        <w:spacing w:after="0" w:line="233" w:lineRule="auto"/>
        <w:tabs>
          <w:tab w:leader="none" w:pos="307"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Options are not transferable by the Participant;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to the extent permitted by the Committee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71" w:lineRule="exact"/>
        <w:rPr>
          <w:rFonts w:ascii="Arial" w:cs="Arial" w:eastAsia="Arial" w:hAnsi="Arial"/>
          <w:sz w:val="20"/>
          <w:szCs w:val="20"/>
          <w:b w:val="1"/>
          <w:bCs w:val="1"/>
          <w:color w:val="auto"/>
        </w:rPr>
      </w:pPr>
    </w:p>
    <w:p>
      <w:pPr>
        <w:jc w:val="both"/>
        <w:ind w:left="-8" w:firstLine="8"/>
        <w:spacing w:after="0" w:line="269" w:lineRule="auto"/>
        <w:tabs>
          <w:tab w:leader="none" w:pos="23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Shareholder</w:t>
      </w:r>
      <w:r>
        <w:rPr>
          <w:rFonts w:ascii="Arial" w:cs="Arial" w:eastAsia="Arial" w:hAnsi="Arial"/>
          <w:sz w:val="18"/>
          <w:szCs w:val="18"/>
          <w:color w:val="auto"/>
        </w:rPr>
        <w:t>. The Participant shall have no rights as a shareholder with respect to any share of Common Stock covered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44" w:lineRule="exact"/>
        <w:rPr>
          <w:rFonts w:ascii="Arial" w:cs="Arial" w:eastAsia="Arial" w:hAnsi="Arial"/>
          <w:sz w:val="18"/>
          <w:szCs w:val="18"/>
          <w:b w:val="1"/>
          <w:bCs w:val="1"/>
          <w:color w:val="auto"/>
        </w:rPr>
      </w:pPr>
    </w:p>
    <w:p>
      <w:pPr>
        <w:jc w:val="both"/>
        <w:ind w:left="-8" w:firstLine="8"/>
        <w:spacing w:after="0" w:line="241" w:lineRule="auto"/>
        <w:tabs>
          <w:tab w:leader="none" w:pos="338"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Concurrently with the exercise of an Option, the Participant must pay to the Company any amount that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it is required to withhold under applicable federal, state or local or foreign tax laws in respect of the exercise or the transfer of the shares of Common Stock in connection therewith (“</w:t>
      </w:r>
      <w:r>
        <w:rPr>
          <w:rFonts w:ascii="Arial" w:cs="Arial" w:eastAsia="Arial" w:hAnsi="Arial"/>
          <w:sz w:val="19"/>
          <w:szCs w:val="19"/>
          <w:u w:val="single" w:color="auto"/>
          <w:color w:val="auto"/>
        </w:rPr>
        <w:t>Withholding Taxes</w:t>
      </w:r>
      <w:r>
        <w:rPr>
          <w:rFonts w:ascii="Arial" w:cs="Arial" w:eastAsia="Arial" w:hAnsi="Arial"/>
          <w:sz w:val="19"/>
          <w:szCs w:val="19"/>
          <w:color w:val="auto"/>
        </w:rPr>
        <w:t xml:space="preserve">”). The Participant may elect to make payment: (i) in cash or by check or wire transfer (or any combination thereof) or (ii) and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 of such proceeds is then made to the Company upon settlement of such sale;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Committee may, in its sole discretion, allow such withholding obligation to be satisfied by any other method described in Section 14 of the Plan and, if Participant is a Section 16 officer of the Company under the Exchange Act, then the Committee shall establish the method of withholding required to be utilized by the Participant from alternatives available under the Plan prior to the exercise of any Options.</w:t>
      </w:r>
    </w:p>
    <w:p>
      <w:pPr>
        <w:spacing w:after="0" w:line="70" w:lineRule="exact"/>
        <w:rPr>
          <w:rFonts w:ascii="Arial" w:cs="Arial" w:eastAsia="Arial" w:hAnsi="Arial"/>
          <w:sz w:val="19"/>
          <w:szCs w:val="19"/>
          <w:b w:val="1"/>
          <w:bCs w:val="1"/>
          <w:color w:val="auto"/>
        </w:rPr>
      </w:pPr>
    </w:p>
    <w:p>
      <w:pPr>
        <w:jc w:val="both"/>
        <w:ind w:left="-8" w:firstLine="8"/>
        <w:spacing w:after="0" w:line="257" w:lineRule="auto"/>
        <w:tabs>
          <w:tab w:leader="none" w:pos="35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Option Agreement between the Company and the Participant shall be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57" w:lineRule="exact"/>
        <w:rPr>
          <w:rFonts w:ascii="Arial" w:cs="Arial" w:eastAsia="Arial" w:hAnsi="Arial"/>
          <w:sz w:val="18"/>
          <w:szCs w:val="18"/>
          <w:b w:val="1"/>
          <w:bCs w:val="1"/>
          <w:color w:val="auto"/>
        </w:rPr>
      </w:pPr>
    </w:p>
    <w:p>
      <w:pPr>
        <w:ind w:left="-8" w:right="20" w:firstLine="8"/>
        <w:spacing w:after="0" w:line="252" w:lineRule="auto"/>
        <w:tabs>
          <w:tab w:leader="none" w:pos="35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Option Agreement does not confer upon the Participant any right to continue as an employee or</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provider to the Company or any of its Subsidiaries.</w:t>
      </w:r>
    </w:p>
    <w:p>
      <w:pPr>
        <w:spacing w:after="0" w:line="57" w:lineRule="exact"/>
        <w:rPr>
          <w:rFonts w:ascii="Arial" w:cs="Arial" w:eastAsia="Arial" w:hAnsi="Arial"/>
          <w:sz w:val="20"/>
          <w:szCs w:val="20"/>
          <w:b w:val="1"/>
          <w:bCs w:val="1"/>
          <w:color w:val="auto"/>
        </w:rPr>
      </w:pPr>
    </w:p>
    <w:p>
      <w:pPr>
        <w:ind w:left="352" w:hanging="352"/>
        <w:spacing w:after="0"/>
        <w:tabs>
          <w:tab w:leader="none" w:pos="3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Option Agreement shall be binding upon the heirs, executors, administrators and successors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401955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75" w:right="339" w:bottom="1440" w:gutter="0" w:footer="0" w:header="0"/>
        </w:sectPr>
      </w:pPr>
    </w:p>
    <w:bookmarkStart w:id="62" w:name="page63"/>
    <w:bookmarkEnd w:id="62"/>
    <w:p>
      <w:pPr>
        <w:jc w:val="both"/>
        <w:ind w:left="-8" w:firstLine="8"/>
        <w:spacing w:after="0" w:line="247" w:lineRule="auto"/>
        <w:tabs>
          <w:tab w:leader="none" w:pos="352"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and Amendments</w:t>
      </w:r>
      <w:r>
        <w:rPr>
          <w:rFonts w:ascii="Arial" w:cs="Arial" w:eastAsia="Arial" w:hAnsi="Arial"/>
          <w:sz w:val="19"/>
          <w:szCs w:val="19"/>
          <w:color w:val="auto"/>
        </w:rPr>
        <w:t>. Except as otherwise set forth in Section 13 of the Plan, any waiver, alteration, amendment or modification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any of the terms of this Option Agreement shall be valid only if made in writing and signed by the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63" w:lineRule="exact"/>
        <w:rPr>
          <w:rFonts w:ascii="Arial" w:cs="Arial" w:eastAsia="Arial" w:hAnsi="Arial"/>
          <w:sz w:val="19"/>
          <w:szCs w:val="19"/>
          <w:b w:val="1"/>
          <w:bCs w:val="1"/>
          <w:color w:val="auto"/>
        </w:rPr>
      </w:pPr>
    </w:p>
    <w:p>
      <w:pPr>
        <w:jc w:val="both"/>
        <w:ind w:left="-8" w:firstLine="8"/>
        <w:spacing w:after="0" w:line="255" w:lineRule="auto"/>
        <w:tabs>
          <w:tab w:leader="none" w:pos="36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 Forfeiture</w:t>
      </w:r>
      <w:r>
        <w:rPr>
          <w:rFonts w:ascii="Arial" w:cs="Arial" w:eastAsia="Arial" w:hAnsi="Arial"/>
          <w:sz w:val="18"/>
          <w:szCs w:val="18"/>
          <w:color w:val="auto"/>
        </w:rPr>
        <w:t>. Notwithstanding anything to the contrary contained herein or in the Plan, if the Participant has engaged in 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57" w:lineRule="exact"/>
        <w:rPr>
          <w:rFonts w:ascii="Arial" w:cs="Arial" w:eastAsia="Arial" w:hAnsi="Arial"/>
          <w:sz w:val="18"/>
          <w:szCs w:val="18"/>
          <w:b w:val="1"/>
          <w:bCs w:val="1"/>
          <w:color w:val="auto"/>
        </w:rPr>
      </w:pPr>
    </w:p>
    <w:p>
      <w:pPr>
        <w:jc w:val="both"/>
        <w:ind w:left="-8" w:firstLine="8"/>
        <w:spacing w:after="0" w:line="269" w:lineRule="auto"/>
        <w:tabs>
          <w:tab w:leader="none" w:pos="40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Venue</w:t>
      </w:r>
      <w:r>
        <w:rPr>
          <w:rFonts w:ascii="Arial" w:cs="Arial" w:eastAsia="Arial" w:hAnsi="Arial"/>
          <w:sz w:val="18"/>
          <w:szCs w:val="18"/>
          <w:color w:val="auto"/>
        </w:rPr>
        <w:t>. This Option Agreement shall be construed and interpreted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Atlanta, Georgia.</w:t>
      </w:r>
    </w:p>
    <w:p>
      <w:pPr>
        <w:spacing w:after="0" w:line="44" w:lineRule="exact"/>
        <w:rPr>
          <w:rFonts w:ascii="Arial" w:cs="Arial" w:eastAsia="Arial" w:hAnsi="Arial"/>
          <w:sz w:val="18"/>
          <w:szCs w:val="18"/>
          <w:b w:val="1"/>
          <w:bCs w:val="1"/>
          <w:color w:val="auto"/>
        </w:rPr>
      </w:pPr>
    </w:p>
    <w:p>
      <w:pPr>
        <w:jc w:val="both"/>
        <w:ind w:left="-8" w:firstLine="8"/>
        <w:spacing w:after="0" w:line="244" w:lineRule="auto"/>
        <w:tabs>
          <w:tab w:leader="none" w:pos="338"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Plan</w:t>
      </w:r>
      <w:r>
        <w:rPr>
          <w:rFonts w:ascii="Arial" w:cs="Arial" w:eastAsia="Arial" w:hAnsi="Arial"/>
          <w:sz w:val="19"/>
          <w:szCs w:val="19"/>
          <w:color w:val="auto"/>
        </w:rPr>
        <w:t>. The Options granted hereunder, and the shares of Common Stock issued to the Participant upon exercise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w:t>
      </w:r>
    </w:p>
    <w:p>
      <w:pPr>
        <w:spacing w:after="0" w:line="65" w:lineRule="exact"/>
        <w:rPr>
          <w:rFonts w:ascii="Arial" w:cs="Arial" w:eastAsia="Arial" w:hAnsi="Arial"/>
          <w:sz w:val="19"/>
          <w:szCs w:val="19"/>
          <w:b w:val="1"/>
          <w:bCs w:val="1"/>
          <w:color w:val="auto"/>
        </w:rPr>
      </w:pPr>
    </w:p>
    <w:p>
      <w:pPr>
        <w:jc w:val="both"/>
        <w:ind w:left="-8" w:firstLine="8"/>
        <w:spacing w:after="0" w:line="235" w:lineRule="auto"/>
        <w:tabs>
          <w:tab w:leader="none" w:pos="338"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71" w:lineRule="exact"/>
        <w:rPr>
          <w:rFonts w:ascii="Arial" w:cs="Arial" w:eastAsia="Arial" w:hAnsi="Arial"/>
          <w:sz w:val="20"/>
          <w:szCs w:val="20"/>
          <w:b w:val="1"/>
          <w:bCs w:val="1"/>
          <w:color w:val="auto"/>
        </w:rPr>
      </w:pPr>
    </w:p>
    <w:p>
      <w:pPr>
        <w:jc w:val="both"/>
        <w:ind w:left="-8" w:firstLine="8"/>
        <w:spacing w:after="0" w:line="235" w:lineRule="auto"/>
        <w:tabs>
          <w:tab w:leader="none" w:pos="419"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Transmission Acknowledgement</w:t>
      </w:r>
      <w:r>
        <w:rPr>
          <w:rFonts w:ascii="Arial" w:cs="Arial" w:eastAsia="Arial" w:hAnsi="Arial"/>
          <w:sz w:val="20"/>
          <w:szCs w:val="20"/>
          <w:color w:val="auto"/>
        </w:rPr>
        <w:t>. To the extent necessary, the Participant authorizes, agrees and unambiguously consents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372745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75" w:right="339" w:bottom="1440" w:gutter="0" w:footer="0" w:header="0"/>
        </w:sectPr>
      </w:pPr>
    </w:p>
    <w:bookmarkStart w:id="63" w:name="page64"/>
    <w:bookmarkEnd w:id="63"/>
    <w:p>
      <w:pPr>
        <w:jc w:val="both"/>
        <w:ind w:left="-8" w:firstLine="8"/>
        <w:spacing w:after="0" w:line="245" w:lineRule="auto"/>
        <w:tabs>
          <w:tab w:leader="none" w:pos="352"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current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Arial" w:cs="Arial" w:eastAsia="Arial" w:hAnsi="Arial"/>
          <w:sz w:val="19"/>
          <w:szCs w:val="19"/>
          <w:u w:val="single" w:color="auto"/>
          <w:color w:val="auto"/>
        </w:rPr>
        <w:t>Option Governing Documents</w:t>
      </w:r>
      <w:r>
        <w:rPr>
          <w:rFonts w:ascii="Arial" w:cs="Arial" w:eastAsia="Arial" w:hAnsi="Arial"/>
          <w:sz w:val="19"/>
          <w:szCs w:val="19"/>
          <w:color w:val="auto"/>
        </w:rPr>
        <w:t>”), the Option Governing Documents shall control.</w:t>
      </w:r>
    </w:p>
    <w:p>
      <w:pPr>
        <w:spacing w:after="0" w:line="65" w:lineRule="exact"/>
        <w:rPr>
          <w:rFonts w:ascii="Arial" w:cs="Arial" w:eastAsia="Arial" w:hAnsi="Arial"/>
          <w:sz w:val="19"/>
          <w:szCs w:val="19"/>
          <w:b w:val="1"/>
          <w:bCs w:val="1"/>
          <w:color w:val="auto"/>
        </w:rPr>
      </w:pPr>
    </w:p>
    <w:p>
      <w:pPr>
        <w:jc w:val="both"/>
        <w:ind w:left="-8" w:firstLine="8"/>
        <w:spacing w:after="0" w:line="239" w:lineRule="auto"/>
        <w:tabs>
          <w:tab w:leader="none" w:pos="379"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Option Governing Documents constitute the entire agreement of the parties hereto in respect of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371475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75"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ind w:left="10420"/>
        <w:spacing w:after="0"/>
        <w:rPr>
          <w:sz w:val="20"/>
          <w:szCs w:val="20"/>
          <w:color w:val="auto"/>
        </w:rPr>
      </w:pPr>
      <w:r>
        <w:rPr>
          <w:rFonts w:ascii="Arial" w:cs="Arial" w:eastAsia="Arial" w:hAnsi="Arial"/>
          <w:sz w:val="18"/>
          <w:szCs w:val="18"/>
          <w:b w:val="1"/>
          <w:bCs w:val="1"/>
          <w:color w:val="auto"/>
        </w:rPr>
        <w:t>Grant ID: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jc w:val="center"/>
        <w:ind w:right="40"/>
        <w:spacing w:after="0" w:line="233" w:lineRule="auto"/>
        <w:rPr>
          <w:sz w:val="20"/>
          <w:szCs w:val="20"/>
          <w:color w:val="auto"/>
        </w:rPr>
      </w:pPr>
      <w:r>
        <w:rPr>
          <w:rFonts w:ascii="Arial" w:cs="Arial" w:eastAsia="Arial" w:hAnsi="Arial"/>
          <w:sz w:val="20"/>
          <w:szCs w:val="20"/>
          <w:b w:val="1"/>
          <w:bCs w:val="1"/>
          <w:color w:val="auto"/>
        </w:rPr>
        <w:t>UNDER</w:t>
      </w:r>
    </w:p>
    <w:p>
      <w:pPr>
        <w:jc w:val="center"/>
        <w:spacing w:after="0" w:line="226" w:lineRule="auto"/>
        <w:rPr>
          <w:sz w:val="20"/>
          <w:szCs w:val="20"/>
          <w:color w:val="auto"/>
        </w:rPr>
      </w:pPr>
      <w:r>
        <w:rPr>
          <w:rFonts w:ascii="Arial" w:cs="Arial" w:eastAsia="Arial" w:hAnsi="Arial"/>
          <w:sz w:val="20"/>
          <w:szCs w:val="20"/>
          <w:b w:val="1"/>
          <w:bCs w:val="1"/>
          <w:color w:val="auto"/>
        </w:rPr>
        <w:t>FIRST ADVANTAGE CORPORATION</w:t>
      </w:r>
    </w:p>
    <w:p>
      <w:pPr>
        <w:jc w:val="center"/>
        <w:spacing w:after="0"/>
        <w:rPr>
          <w:sz w:val="20"/>
          <w:szCs w:val="20"/>
          <w:color w:val="auto"/>
        </w:rPr>
      </w:pPr>
      <w:r>
        <w:rPr>
          <w:rFonts w:ascii="Arial" w:cs="Arial" w:eastAsia="Arial" w:hAnsi="Arial"/>
          <w:sz w:val="20"/>
          <w:szCs w:val="20"/>
          <w:b w:val="1"/>
          <w:bCs w:val="1"/>
          <w:color w:val="auto"/>
        </w:rPr>
        <w:t>2021 OMNIBUS INCENTIVE PLAN</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First Advantage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2021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tc>
        <w:tc>
          <w:tcPr>
            <w:tcW w:w="37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418"/>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65"/>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Number of</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56"/>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Restricted Stock Units</w:t>
            </w:r>
            <w:r>
              <w:rPr>
                <w:rFonts w:ascii="Arial" w:cs="Arial" w:eastAsia="Arial" w:hAnsi="Arial"/>
                <w:sz w:val="20"/>
                <w:szCs w:val="20"/>
                <w:color w:val="auto"/>
              </w:rPr>
              <w:t>:</w:t>
            </w:r>
          </w:p>
        </w:tc>
        <w:tc>
          <w:tcPr>
            <w:tcW w:w="37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371"/>
        </w:trPr>
        <w:tc>
          <w:tcPr>
            <w:tcW w:w="3840" w:type="dxa"/>
            <w:vAlign w:val="bottom"/>
          </w:tcPr>
          <w:p>
            <w:pPr>
              <w:ind w:left="20"/>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7400" w:type="dxa"/>
            <w:vAlign w:val="bottom"/>
            <w:gridSpan w:val="2"/>
          </w:tcPr>
          <w:p>
            <w:pPr>
              <w:spacing w:after="0"/>
              <w:rPr>
                <w:sz w:val="20"/>
                <w:szCs w:val="20"/>
                <w:color w:val="auto"/>
              </w:rPr>
            </w:pPr>
            <w:r>
              <w:rPr>
                <w:rFonts w:ascii="Arial" w:cs="Arial" w:eastAsia="Arial" w:hAnsi="Arial"/>
                <w:sz w:val="20"/>
                <w:szCs w:val="20"/>
                <w:color w:val="auto"/>
                <w:w w:val="93"/>
              </w:rPr>
              <w:t>Subject to the Participant’s continued employment or service with the Company Group on</w:t>
            </w:r>
          </w:p>
        </w:tc>
      </w:tr>
      <w:tr>
        <w:trPr>
          <w:trHeight w:val="250"/>
        </w:trPr>
        <w:tc>
          <w:tcPr>
            <w:tcW w:w="38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20"/>
                <w:szCs w:val="20"/>
                <w:color w:val="auto"/>
              </w:rPr>
              <w:t>each applicable vesting date, the Restricted Stock Units shall vest as follows:</w:t>
            </w:r>
          </w:p>
        </w:tc>
      </w:tr>
      <w:tr>
        <w:trPr>
          <w:trHeight w:val="438"/>
        </w:trPr>
        <w:tc>
          <w:tcPr>
            <w:tcW w:w="384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169"/>
        </w:trPr>
        <w:tc>
          <w:tcPr>
            <w:tcW w:w="3840" w:type="dxa"/>
            <w:vAlign w:val="bottom"/>
            <w:tcBorders>
              <w:right w:val="single" w:sz="8" w:color="auto"/>
            </w:tcBorders>
          </w:tcPr>
          <w:p>
            <w:pPr>
              <w:spacing w:after="0"/>
              <w:rPr>
                <w:sz w:val="14"/>
                <w:szCs w:val="14"/>
                <w:color w:val="auto"/>
              </w:rPr>
            </w:pPr>
          </w:p>
        </w:tc>
        <w:tc>
          <w:tcPr>
            <w:tcW w:w="3700" w:type="dxa"/>
            <w:vAlign w:val="bottom"/>
            <w:tcBorders>
              <w:bottom w:val="single" w:sz="8" w:color="auto"/>
              <w:right w:val="single" w:sz="8" w:color="auto"/>
            </w:tcBorders>
          </w:tcPr>
          <w:p>
            <w:pPr>
              <w:ind w:left="1320"/>
              <w:spacing w:after="0" w:line="170" w:lineRule="exact"/>
              <w:rPr>
                <w:sz w:val="20"/>
                <w:szCs w:val="20"/>
                <w:color w:val="auto"/>
              </w:rPr>
            </w:pPr>
            <w:r>
              <w:rPr>
                <w:rFonts w:ascii="Arial" w:cs="Arial" w:eastAsia="Arial" w:hAnsi="Arial"/>
                <w:sz w:val="19"/>
                <w:szCs w:val="19"/>
                <w:b w:val="1"/>
                <w:bCs w:val="1"/>
                <w:color w:val="auto"/>
              </w:rPr>
              <w:t>Vesting Date</w:t>
            </w:r>
          </w:p>
        </w:tc>
        <w:tc>
          <w:tcPr>
            <w:tcW w:w="3700" w:type="dxa"/>
            <w:vAlign w:val="bottom"/>
            <w:tcBorders>
              <w:bottom w:val="single" w:sz="8" w:color="auto"/>
              <w:right w:val="single" w:sz="8" w:color="auto"/>
            </w:tcBorders>
          </w:tcPr>
          <w:p>
            <w:pPr>
              <w:ind w:left="1460"/>
              <w:spacing w:after="0" w:line="170" w:lineRule="exact"/>
              <w:rPr>
                <w:sz w:val="20"/>
                <w:szCs w:val="20"/>
                <w:color w:val="auto"/>
              </w:rPr>
            </w:pPr>
            <w:r>
              <w:rPr>
                <w:rFonts w:ascii="Arial" w:cs="Arial" w:eastAsia="Arial" w:hAnsi="Arial"/>
                <w:sz w:val="19"/>
                <w:szCs w:val="19"/>
                <w:b w:val="1"/>
                <w:bCs w:val="1"/>
                <w:color w:val="auto"/>
              </w:rPr>
              <w:t>Quantity</w:t>
            </w:r>
          </w:p>
        </w:tc>
      </w:tr>
      <w:tr>
        <w:trPr>
          <w:trHeight w:val="226"/>
        </w:trPr>
        <w:tc>
          <w:tcPr>
            <w:tcW w:w="384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223"/>
        </w:trPr>
        <w:tc>
          <w:tcPr>
            <w:tcW w:w="3840" w:type="dxa"/>
            <w:vAlign w:val="bottom"/>
            <w:tcBorders>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spacing w:after="0"/>
              <w:rPr>
                <w:sz w:val="19"/>
                <w:szCs w:val="19"/>
                <w:color w:val="auto"/>
              </w:rPr>
            </w:pPr>
          </w:p>
        </w:tc>
      </w:tr>
      <w:tr>
        <w:trPr>
          <w:trHeight w:val="513"/>
        </w:trPr>
        <w:tc>
          <w:tcPr>
            <w:tcW w:w="38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w w:val="92"/>
              </w:rPr>
              <w:t>Notwithstanding any of the foregoing, upon a Termination at any time by reason of death</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or Disability, any unvested Restricted Stock Units that would have become vested on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7"/>
              </w:rPr>
              <w:t>vesting date immediately following the date of such Termination, had the Participant</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6"/>
              </w:rPr>
              <w:t>remained in service with the Company Group through such vesting date, will become</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vested as of the Participant’s Termination.</w:t>
            </w:r>
          </w:p>
        </w:tc>
        <w:tc>
          <w:tcPr>
            <w:tcW w:w="0" w:type="dxa"/>
            <w:vAlign w:val="bottom"/>
          </w:tcPr>
          <w:p>
            <w:pPr>
              <w:spacing w:after="0"/>
              <w:rPr>
                <w:sz w:val="1"/>
                <w:szCs w:val="1"/>
                <w:color w:val="auto"/>
              </w:rPr>
            </w:pPr>
          </w:p>
        </w:tc>
      </w:tr>
      <w:tr>
        <w:trPr>
          <w:trHeight w:val="263"/>
        </w:trPr>
        <w:tc>
          <w:tcPr>
            <w:tcW w:w="2400" w:type="dxa"/>
            <w:vAlign w:val="bottom"/>
          </w:tcPr>
          <w:p>
            <w:pPr>
              <w:spacing w:after="0"/>
              <w:rPr>
                <w:sz w:val="22"/>
                <w:szCs w:val="22"/>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w w:val="93"/>
              </w:rPr>
              <w:t>If a Change in Control occurs and during the 24 month period following such Change in</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Control, the Participant’s service is terminated by the Service Recipient without Cause or</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6"/>
              </w:rPr>
              <w:t>due to the Participant’s resignation for Good Reason (as defined below), all unvested</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Restricted Stock Units shall become fully vested upon the date of the Participant’s</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Termination.</w:t>
            </w:r>
          </w:p>
        </w:tc>
        <w:tc>
          <w:tcPr>
            <w:tcW w:w="0" w:type="dxa"/>
            <w:vAlign w:val="bottom"/>
          </w:tcPr>
          <w:p>
            <w:pPr>
              <w:spacing w:after="0"/>
              <w:rPr>
                <w:sz w:val="1"/>
                <w:szCs w:val="1"/>
                <w:color w:val="auto"/>
              </w:rPr>
            </w:pPr>
          </w:p>
        </w:tc>
      </w:tr>
      <w:tr>
        <w:trPr>
          <w:trHeight w:val="468"/>
        </w:trPr>
        <w:tc>
          <w:tcPr>
            <w:tcW w:w="2400" w:type="dxa"/>
            <w:vAlign w:val="bottom"/>
          </w:tcPr>
          <w:p>
            <w:pPr>
              <w:spacing w:after="0"/>
              <w:rPr>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“Good Reason” shall have the meaning given to such term in any employment or</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4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7180" w:type="dxa"/>
            <w:vAlign w:val="bottom"/>
            <w:gridSpan w:val="2"/>
          </w:tcPr>
          <w:p>
            <w:pPr>
              <w:spacing w:after="0" w:line="179" w:lineRule="exact"/>
              <w:rPr>
                <w:sz w:val="20"/>
                <w:szCs w:val="20"/>
                <w:color w:val="auto"/>
              </w:rPr>
            </w:pPr>
            <w:r>
              <w:rPr>
                <w:rFonts w:ascii="Arial" w:cs="Arial" w:eastAsia="Arial" w:hAnsi="Arial"/>
                <w:sz w:val="20"/>
                <w:szCs w:val="20"/>
                <w:color w:val="auto"/>
                <w:w w:val="92"/>
              </w:rPr>
              <w:t>consulting agreement between the Participant and the Service Recipient in effect at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0"/>
              </w:rPr>
              <w:t>time of the Participant’s Termination. In the absence of any such employment or consulting</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4"/>
              </w:rPr>
              <w:t>agreement or the absence of any definition of “Good Reason” contained therein, “Good</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Reason” means the occurrence of one or more of the following events arising without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3"/>
              </w:rPr>
              <w:t>express written consent of the Participant, but only if the Participant notifies the Service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Recipient in writing of the event within 60 days following the occurrence of the event,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event remains uncured after the expiration of 30 days from receipt of such notice, and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Participant resigns effective no later than 30 days following the Service Recipient’s failure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2"/>
              </w:rPr>
              <w:t>to cure the event: (i) a material diminution in the Participant’s base salary or target bonus</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1"/>
              </w:rPr>
              <w:t>opportunity, (ii) the relocation of the Participant’s principal place of employment or service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7"/>
              </w:rPr>
              <w:t>to a location more than 35 miles from the Participant’s then current principal place of</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employment or service, if a move to such other location materially increases the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rPr>
              <w:t>Participant’s commute, or (iii) any material breach by the Company or the Service</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8680" w:type="dxa"/>
            <w:vAlign w:val="bottom"/>
            <w:gridSpan w:val="3"/>
          </w:tcPr>
          <w:p>
            <w:pPr>
              <w:ind w:left="1420"/>
              <w:spacing w:after="0" w:line="203" w:lineRule="exact"/>
              <w:rPr>
                <w:sz w:val="20"/>
                <w:szCs w:val="20"/>
                <w:color w:val="auto"/>
              </w:rPr>
            </w:pPr>
            <w:r>
              <w:rPr>
                <w:rFonts w:ascii="Arial" w:cs="Arial" w:eastAsia="Arial" w:hAnsi="Arial"/>
                <w:sz w:val="20"/>
                <w:szCs w:val="20"/>
                <w:color w:val="auto"/>
                <w:w w:val="99"/>
              </w:rPr>
              <w:t>Recipient of this Restricted Stock Unit Agreement or the Participant’s offer letter or</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8680" w:type="dxa"/>
            <w:vAlign w:val="bottom"/>
            <w:gridSpan w:val="3"/>
          </w:tcPr>
          <w:p>
            <w:pPr>
              <w:ind w:left="1420"/>
              <w:spacing w:after="0"/>
              <w:rPr>
                <w:sz w:val="20"/>
                <w:szCs w:val="20"/>
                <w:color w:val="auto"/>
              </w:rPr>
            </w:pPr>
            <w:r>
              <w:rPr>
                <w:rFonts w:ascii="Arial" w:cs="Arial" w:eastAsia="Arial" w:hAnsi="Arial"/>
                <w:sz w:val="20"/>
                <w:szCs w:val="20"/>
                <w:color w:val="auto"/>
              </w:rPr>
              <w:t>employment agreement with the Service Recipient.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tabs>
          <w:tab w:leader="none" w:pos="280" w:val="left"/>
          <w:tab w:leader="none" w:pos="280" w:val="left"/>
        </w:tabs>
        <w:rPr>
          <w:sz w:val="20"/>
          <w:szCs w:val="20"/>
          <w:color w:val="auto"/>
        </w:rPr>
      </w:pPr>
      <w:r>
        <w:rPr>
          <w:rFonts w:ascii="Arial" w:cs="Arial" w:eastAsia="Arial" w:hAnsi="Arial"/>
          <w:sz w:val="20"/>
          <w:szCs w:val="20"/>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452120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284"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FIRST ADVANTAGE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8" w:right="1440" w:bottom="1440" w:gutter="0" w:footer="0" w:header="0"/>
        </w:sectPr>
      </w:pPr>
    </w:p>
    <w:bookmarkStart w:id="67" w:name="page68"/>
    <w:bookmarkEnd w:id="67"/>
    <w:p>
      <w:pPr>
        <w:jc w:val="both"/>
        <w:spacing w:after="0" w:line="235"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4"/>
          <w:szCs w:val="2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9" w:lineRule="exact"/>
        <w:rPr>
          <w:sz w:val="20"/>
          <w:szCs w:val="20"/>
          <w:color w:val="auto"/>
        </w:rPr>
      </w:pPr>
    </w:p>
    <w:p>
      <w:pPr>
        <w:ind w:left="480" w:right="20" w:hanging="459"/>
        <w:spacing w:after="0" w:line="201" w:lineRule="auto"/>
        <w:tabs>
          <w:tab w:leader="none" w:pos="480" w:val="left"/>
        </w:tabs>
        <w:numPr>
          <w:ilvl w:val="0"/>
          <w:numId w:val="40"/>
        </w:numPr>
        <w:rPr>
          <w:rFonts w:ascii="Arial" w:cs="Arial" w:eastAsia="Arial" w:hAnsi="Arial"/>
          <w:sz w:val="24"/>
          <w:szCs w:val="24"/>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ind w:right="40"/>
        <w:spacing w:after="0" w:line="233" w:lineRule="auto"/>
        <w:rPr>
          <w:sz w:val="20"/>
          <w:szCs w:val="20"/>
          <w:color w:val="auto"/>
        </w:rPr>
      </w:pPr>
      <w:r>
        <w:rPr>
          <w:rFonts w:ascii="Arial" w:cs="Arial" w:eastAsia="Arial" w:hAnsi="Arial"/>
          <w:sz w:val="20"/>
          <w:szCs w:val="20"/>
          <w:b w:val="1"/>
          <w:bCs w:val="1"/>
          <w:color w:val="auto"/>
        </w:rPr>
        <w:t>UNDER</w:t>
      </w:r>
    </w:p>
    <w:p>
      <w:pPr>
        <w:jc w:val="center"/>
        <w:spacing w:after="0" w:line="226" w:lineRule="auto"/>
        <w:rPr>
          <w:sz w:val="20"/>
          <w:szCs w:val="20"/>
          <w:color w:val="auto"/>
        </w:rPr>
      </w:pPr>
      <w:r>
        <w:rPr>
          <w:rFonts w:ascii="Arial" w:cs="Arial" w:eastAsia="Arial" w:hAnsi="Arial"/>
          <w:sz w:val="20"/>
          <w:szCs w:val="20"/>
          <w:b w:val="1"/>
          <w:bCs w:val="1"/>
          <w:color w:val="auto"/>
        </w:rPr>
        <w:t>FIRST ADVANTAGE CORPORATION</w:t>
      </w:r>
    </w:p>
    <w:p>
      <w:pPr>
        <w:jc w:val="center"/>
        <w:spacing w:after="0"/>
        <w:rPr>
          <w:sz w:val="20"/>
          <w:szCs w:val="20"/>
          <w:color w:val="auto"/>
        </w:rPr>
      </w:pPr>
      <w:r>
        <w:rPr>
          <w:rFonts w:ascii="Arial" w:cs="Arial" w:eastAsia="Arial" w:hAnsi="Arial"/>
          <w:sz w:val="20"/>
          <w:szCs w:val="20"/>
          <w:b w:val="1"/>
          <w:bCs w:val="1"/>
          <w:color w:val="auto"/>
        </w:rPr>
        <w:t>2021 OMNIBUS INCENTIVE PLAN</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delivered to the Participant (as defined in the Grant Notice), and subject to the terms of this Restricted Stock Unit Agreement (this “</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and First Advantage Corporation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First Advantage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agree as follows. Capitalized terms not otherwise defined herein shall have the same meaning as set forth in the Plan.</w:t>
      </w:r>
    </w:p>
    <w:p>
      <w:pPr>
        <w:spacing w:after="0" w:line="45" w:lineRule="exact"/>
        <w:rPr>
          <w:sz w:val="20"/>
          <w:szCs w:val="20"/>
          <w:color w:val="auto"/>
        </w:rPr>
      </w:pPr>
    </w:p>
    <w:p>
      <w:pPr>
        <w:jc w:val="both"/>
        <w:ind w:firstLine="8"/>
        <w:spacing w:after="0" w:line="231" w:lineRule="auto"/>
        <w:tabs>
          <w:tab w:leader="none" w:pos="247"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 hereby grants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70" w:lineRule="exact"/>
        <w:rPr>
          <w:rFonts w:ascii="Arial" w:cs="Arial" w:eastAsia="Arial" w:hAnsi="Arial"/>
          <w:sz w:val="20"/>
          <w:szCs w:val="20"/>
          <w:b w:val="1"/>
          <w:bCs w:val="1"/>
          <w:color w:val="auto"/>
        </w:rPr>
      </w:pPr>
    </w:p>
    <w:p>
      <w:pPr>
        <w:ind w:left="260" w:hanging="252"/>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the conditions contained herein and in the Plan, the Restricted Stock Units shall vest as provided in the Grant Notice.</w:t>
      </w:r>
    </w:p>
    <w:p>
      <w:pPr>
        <w:spacing w:after="0" w:line="117" w:lineRule="exact"/>
        <w:rPr>
          <w:rFonts w:ascii="Arial" w:cs="Arial" w:eastAsia="Arial" w:hAnsi="Arial"/>
          <w:sz w:val="18"/>
          <w:szCs w:val="18"/>
          <w:b w:val="1"/>
          <w:bCs w:val="1"/>
          <w:color w:val="auto"/>
        </w:rPr>
      </w:pPr>
    </w:p>
    <w:p>
      <w:pPr>
        <w:jc w:val="both"/>
        <w:ind w:firstLine="8"/>
        <w:spacing w:after="0" w:line="257" w:lineRule="auto"/>
        <w:tabs>
          <w:tab w:leader="none" w:pos="26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color w:val="auto"/>
        </w:rPr>
        <w:t>. Subject to any election by the Committee pursuant to Section 9(d)(ii) of the Plan,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57" w:lineRule="exact"/>
        <w:rPr>
          <w:rFonts w:ascii="Arial" w:cs="Arial" w:eastAsia="Arial" w:hAnsi="Arial"/>
          <w:sz w:val="18"/>
          <w:szCs w:val="18"/>
          <w:b w:val="1"/>
          <w:bCs w:val="1"/>
          <w:color w:val="auto"/>
        </w:rPr>
      </w:pPr>
    </w:p>
    <w:p>
      <w:pPr>
        <w:jc w:val="both"/>
        <w:ind w:firstLine="8"/>
        <w:spacing w:after="0" w:line="269" w:lineRule="auto"/>
        <w:tabs>
          <w:tab w:leader="none" w:pos="27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Except as otherwise provided in the Grant Notice or as otherwise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44" w:lineRule="exact"/>
        <w:rPr>
          <w:rFonts w:ascii="Arial" w:cs="Arial" w:eastAsia="Arial" w:hAnsi="Arial"/>
          <w:sz w:val="18"/>
          <w:szCs w:val="18"/>
          <w:b w:val="1"/>
          <w:bCs w:val="1"/>
          <w:color w:val="auto"/>
        </w:rPr>
      </w:pPr>
    </w:p>
    <w:p>
      <w:pPr>
        <w:jc w:val="both"/>
        <w:ind w:firstLine="8"/>
        <w:spacing w:after="0" w:line="261" w:lineRule="auto"/>
        <w:tabs>
          <w:tab w:leader="none" w:pos="261"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Issuance of Common Stock</w:t>
      </w:r>
      <w:r>
        <w:rPr>
          <w:rFonts w:ascii="Arial" w:cs="Arial" w:eastAsia="Arial" w:hAnsi="Arial"/>
          <w:sz w:val="18"/>
          <w:szCs w:val="18"/>
          <w:color w:val="auto"/>
        </w:rPr>
        <w:t>. The Company shall not be required to record the ownership by the Participant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53" w:lineRule="exact"/>
        <w:rPr>
          <w:rFonts w:ascii="Arial" w:cs="Arial" w:eastAsia="Arial" w:hAnsi="Arial"/>
          <w:sz w:val="18"/>
          <w:szCs w:val="18"/>
          <w:b w:val="1"/>
          <w:bCs w:val="1"/>
          <w:color w:val="auto"/>
        </w:rPr>
      </w:pPr>
    </w:p>
    <w:p>
      <w:pPr>
        <w:jc w:val="both"/>
        <w:ind w:firstLine="8"/>
        <w:spacing w:after="0" w:line="235" w:lineRule="auto"/>
        <w:tabs>
          <w:tab w:leader="none" w:pos="288"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Whenever the word “Participant” is used in any provision of this Restricted Stock Unit Agreement under circumstances</w:t>
      </w:r>
      <w:r>
        <w:rPr>
          <w:rFonts w:ascii="Arial" w:cs="Arial" w:eastAsia="Arial" w:hAnsi="Arial"/>
          <w:sz w:val="20"/>
          <w:szCs w:val="20"/>
          <w:b w:val="1"/>
          <w:bCs w:val="1"/>
          <w:color w:val="auto"/>
        </w:rPr>
        <w:t xml:space="preserve"> </w:t>
      </w:r>
      <w:r>
        <w:rPr>
          <w:rFonts w:ascii="Arial" w:cs="Arial" w:eastAsia="Arial" w:hAnsi="Arial"/>
          <w:sz w:val="20"/>
          <w:szCs w:val="20"/>
          <w:color w:val="auto"/>
        </w:rPr>
        <w:t>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372745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both"/>
        <w:ind w:left="-8" w:firstLine="8"/>
        <w:spacing w:after="0" w:line="233" w:lineRule="auto"/>
        <w:tabs>
          <w:tab w:leader="none" w:pos="266"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 Transferees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71" w:lineRule="exact"/>
        <w:rPr>
          <w:rFonts w:ascii="Arial" w:cs="Arial" w:eastAsia="Arial" w:hAnsi="Arial"/>
          <w:sz w:val="20"/>
          <w:szCs w:val="20"/>
          <w:b w:val="1"/>
          <w:bCs w:val="1"/>
          <w:color w:val="auto"/>
        </w:rPr>
      </w:pPr>
    </w:p>
    <w:p>
      <w:pPr>
        <w:jc w:val="both"/>
        <w:ind w:left="-8" w:firstLine="8"/>
        <w:spacing w:after="0" w:line="233" w:lineRule="auto"/>
        <w:tabs>
          <w:tab w:leader="none" w:pos="239"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 shareholder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71" w:lineRule="exact"/>
        <w:rPr>
          <w:rFonts w:ascii="Arial" w:cs="Arial" w:eastAsia="Arial" w:hAnsi="Arial"/>
          <w:sz w:val="20"/>
          <w:szCs w:val="20"/>
          <w:b w:val="1"/>
          <w:bCs w:val="1"/>
          <w:color w:val="auto"/>
        </w:rPr>
      </w:pPr>
    </w:p>
    <w:p>
      <w:pPr>
        <w:jc w:val="both"/>
        <w:ind w:left="-8" w:firstLine="8"/>
        <w:spacing w:after="0" w:line="261" w:lineRule="auto"/>
        <w:tabs>
          <w:tab w:leader="none" w:pos="23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Participant may be required to pay to the Company and the Company shall have the right and is hereby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w:t>
      </w:r>
    </w:p>
    <w:p>
      <w:pPr>
        <w:spacing w:after="0" w:line="53" w:lineRule="exact"/>
        <w:rPr>
          <w:rFonts w:ascii="Arial" w:cs="Arial" w:eastAsia="Arial" w:hAnsi="Arial"/>
          <w:sz w:val="18"/>
          <w:szCs w:val="18"/>
          <w:b w:val="1"/>
          <w:bCs w:val="1"/>
          <w:color w:val="auto"/>
        </w:rPr>
      </w:pPr>
    </w:p>
    <w:p>
      <w:pPr>
        <w:jc w:val="both"/>
        <w:ind w:left="-8" w:firstLine="8"/>
        <w:spacing w:after="0" w:line="257" w:lineRule="auto"/>
        <w:tabs>
          <w:tab w:leader="none" w:pos="33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57" w:lineRule="exact"/>
        <w:rPr>
          <w:rFonts w:ascii="Arial" w:cs="Arial" w:eastAsia="Arial" w:hAnsi="Arial"/>
          <w:sz w:val="18"/>
          <w:szCs w:val="18"/>
          <w:b w:val="1"/>
          <w:bCs w:val="1"/>
          <w:color w:val="auto"/>
        </w:rPr>
      </w:pPr>
    </w:p>
    <w:p>
      <w:pPr>
        <w:ind w:left="-8" w:firstLine="8"/>
        <w:spacing w:after="0" w:line="252" w:lineRule="auto"/>
        <w:tabs>
          <w:tab w:leader="none" w:pos="327"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 any right to continue as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or other service provider to the Company Group.</w:t>
      </w:r>
    </w:p>
    <w:p>
      <w:pPr>
        <w:spacing w:after="0" w:line="57" w:lineRule="exact"/>
        <w:rPr>
          <w:rFonts w:ascii="Arial" w:cs="Arial" w:eastAsia="Arial" w:hAnsi="Arial"/>
          <w:sz w:val="20"/>
          <w:szCs w:val="20"/>
          <w:b w:val="1"/>
          <w:bCs w:val="1"/>
          <w:color w:val="auto"/>
        </w:rPr>
      </w:pPr>
    </w:p>
    <w:p>
      <w:pPr>
        <w:ind w:left="-8" w:firstLine="8"/>
        <w:spacing w:after="0" w:line="252" w:lineRule="auto"/>
        <w:tabs>
          <w:tab w:leader="none" w:pos="352"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 administrators and successors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w:t>
      </w:r>
    </w:p>
    <w:p>
      <w:pPr>
        <w:spacing w:after="0" w:line="57" w:lineRule="exact"/>
        <w:rPr>
          <w:rFonts w:ascii="Arial" w:cs="Arial" w:eastAsia="Arial" w:hAnsi="Arial"/>
          <w:sz w:val="20"/>
          <w:szCs w:val="20"/>
          <w:b w:val="1"/>
          <w:bCs w:val="1"/>
          <w:color w:val="auto"/>
        </w:rPr>
      </w:pPr>
    </w:p>
    <w:p>
      <w:pPr>
        <w:jc w:val="both"/>
        <w:ind w:left="-8" w:firstLine="8"/>
        <w:spacing w:after="0" w:line="264" w:lineRule="auto"/>
        <w:tabs>
          <w:tab w:leader="none" w:pos="3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of the 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358775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70" w:name="page71"/>
    <w:bookmarkEnd w:id="70"/>
    <w:p>
      <w:pPr>
        <w:jc w:val="both"/>
        <w:ind w:left="-8" w:firstLine="8"/>
        <w:spacing w:after="0" w:line="255" w:lineRule="auto"/>
        <w:tabs>
          <w:tab w:leader="none" w:pos="36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 Forfeiture</w:t>
      </w:r>
      <w:r>
        <w:rPr>
          <w:rFonts w:ascii="Arial" w:cs="Arial" w:eastAsia="Arial" w:hAnsi="Arial"/>
          <w:sz w:val="18"/>
          <w:szCs w:val="18"/>
          <w:color w:val="auto"/>
        </w:rPr>
        <w:t>. Notwithstanding anything to the contrary contained herein or in the Plan, if the Participant has engaged in 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8"/>
          <w:szCs w:val="18"/>
          <w:u w:val="single" w:color="auto"/>
          <w:color w:val="auto"/>
        </w:rPr>
        <w:t>Detrimental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Activity</w:t>
      </w:r>
      <w:r>
        <w:rPr>
          <w:rFonts w:ascii="Arial" w:cs="Arial" w:eastAsia="Arial" w:hAnsi="Arial"/>
          <w:sz w:val="18"/>
          <w:szCs w:val="18"/>
          <w:color w:val="auto"/>
        </w:rPr>
        <w:t>” means any, offset of the following: (i) unauthorized disclosure of any confidential or proprietary information of any member of the Company Group; (ii) any activity that would be grounds to terminate the Participant’s employment or service with the Company Group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57" w:lineRule="exact"/>
        <w:rPr>
          <w:rFonts w:ascii="Arial" w:cs="Arial" w:eastAsia="Arial" w:hAnsi="Arial"/>
          <w:sz w:val="18"/>
          <w:szCs w:val="18"/>
          <w:b w:val="1"/>
          <w:bCs w:val="1"/>
          <w:color w:val="auto"/>
        </w:rPr>
      </w:pPr>
    </w:p>
    <w:p>
      <w:pPr>
        <w:jc w:val="both"/>
        <w:ind w:left="-8" w:firstLine="8"/>
        <w:spacing w:after="0" w:line="233" w:lineRule="auto"/>
        <w:tabs>
          <w:tab w:leader="none" w:pos="35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Venue</w:t>
      </w:r>
      <w:r>
        <w:rPr>
          <w:rFonts w:ascii="Arial" w:cs="Arial" w:eastAsia="Arial" w:hAnsi="Arial"/>
          <w:sz w:val="20"/>
          <w:szCs w:val="20"/>
          <w:color w:val="auto"/>
        </w:rPr>
        <w:t>. This Restricted Stock Unit Agreement shall be construed and interpreted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Atlanta, Georgia.</w:t>
      </w:r>
    </w:p>
    <w:p>
      <w:pPr>
        <w:spacing w:after="0" w:line="71" w:lineRule="exact"/>
        <w:rPr>
          <w:rFonts w:ascii="Arial" w:cs="Arial" w:eastAsia="Arial" w:hAnsi="Arial"/>
          <w:sz w:val="20"/>
          <w:szCs w:val="20"/>
          <w:b w:val="1"/>
          <w:bCs w:val="1"/>
          <w:color w:val="auto"/>
        </w:rPr>
      </w:pPr>
    </w:p>
    <w:p>
      <w:pPr>
        <w:jc w:val="both"/>
        <w:ind w:left="-8" w:firstLine="8"/>
        <w:spacing w:after="0" w:line="230" w:lineRule="auto"/>
        <w:tabs>
          <w:tab w:leader="none" w:pos="35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Plan</w:t>
      </w:r>
      <w:r>
        <w:rPr>
          <w:rFonts w:ascii="Arial" w:cs="Arial" w:eastAsia="Arial" w:hAnsi="Arial"/>
          <w:sz w:val="20"/>
          <w:szCs w:val="20"/>
          <w:color w:val="auto"/>
        </w:rPr>
        <w:t>. The Restricted Stock Units granted hereunder, and the shares of Common Stock issued to the Participant upon</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72" w:lineRule="exact"/>
        <w:rPr>
          <w:rFonts w:ascii="Arial" w:cs="Arial" w:eastAsia="Arial" w:hAnsi="Arial"/>
          <w:sz w:val="20"/>
          <w:szCs w:val="20"/>
          <w:b w:val="1"/>
          <w:bCs w:val="1"/>
          <w:color w:val="auto"/>
        </w:rPr>
      </w:pPr>
    </w:p>
    <w:p>
      <w:pPr>
        <w:jc w:val="both"/>
        <w:ind w:left="-8" w:firstLine="8"/>
        <w:spacing w:after="0" w:line="239" w:lineRule="auto"/>
        <w:tabs>
          <w:tab w:leader="none" w:pos="33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Restricted Stock Units granted hereunder shall be exempt from Section 409A of the Code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“short-term deferral” rule applicable to such section, as set forth in the regulations or other guidance published by the Internal Revenue Service thereunder.</w:t>
      </w:r>
    </w:p>
    <w:p>
      <w:pPr>
        <w:spacing w:after="0" w:line="68" w:lineRule="exact"/>
        <w:rPr>
          <w:rFonts w:ascii="Arial" w:cs="Arial" w:eastAsia="Arial" w:hAnsi="Arial"/>
          <w:sz w:val="20"/>
          <w:szCs w:val="20"/>
          <w:b w:val="1"/>
          <w:bCs w:val="1"/>
          <w:color w:val="auto"/>
        </w:rPr>
      </w:pPr>
    </w:p>
    <w:p>
      <w:pPr>
        <w:jc w:val="both"/>
        <w:ind w:left="-8" w:firstLine="8"/>
        <w:spacing w:after="0" w:line="235" w:lineRule="auto"/>
        <w:tabs>
          <w:tab w:leader="none" w:pos="338"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71" w:lineRule="exact"/>
        <w:rPr>
          <w:rFonts w:ascii="Arial" w:cs="Arial" w:eastAsia="Arial" w:hAnsi="Arial"/>
          <w:sz w:val="20"/>
          <w:szCs w:val="20"/>
          <w:b w:val="1"/>
          <w:bCs w:val="1"/>
          <w:color w:val="auto"/>
        </w:rPr>
      </w:pPr>
    </w:p>
    <w:p>
      <w:pPr>
        <w:jc w:val="both"/>
        <w:ind w:left="-8" w:firstLine="8"/>
        <w:spacing w:after="0" w:line="235" w:lineRule="auto"/>
        <w:tabs>
          <w:tab w:leader="none" w:pos="419"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Transmission Acknowledgement</w:t>
      </w:r>
      <w:r>
        <w:rPr>
          <w:rFonts w:ascii="Arial" w:cs="Arial" w:eastAsia="Arial" w:hAnsi="Arial"/>
          <w:sz w:val="20"/>
          <w:szCs w:val="20"/>
          <w:color w:val="auto"/>
        </w:rPr>
        <w:t>. To the extent necessary, the Participant authorizes, agrees and unambiguously consents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71" w:lineRule="exact"/>
        <w:rPr>
          <w:rFonts w:ascii="Arial" w:cs="Arial" w:eastAsia="Arial" w:hAnsi="Arial"/>
          <w:sz w:val="20"/>
          <w:szCs w:val="20"/>
          <w:b w:val="1"/>
          <w:bCs w:val="1"/>
          <w:color w:val="auto"/>
        </w:rPr>
      </w:pPr>
    </w:p>
    <w:p>
      <w:pPr>
        <w:jc w:val="both"/>
        <w:ind w:left="-8" w:firstLine="8"/>
        <w:spacing w:after="0" w:line="231" w:lineRule="auto"/>
        <w:tabs>
          <w:tab w:leader="none" w:pos="35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20"/>
          <w:szCs w:val="20"/>
          <w:u w:val="single" w:color="auto"/>
          <w:color w:val="auto"/>
        </w:rPr>
        <w:t>Restricted Stock Unit Governing Documents</w:t>
      </w:r>
      <w:r>
        <w:rPr>
          <w:rFonts w:ascii="Arial" w:cs="Arial" w:eastAsia="Arial" w:hAnsi="Arial"/>
          <w:sz w:val="20"/>
          <w:szCs w:val="20"/>
          <w:color w:val="auto"/>
        </w:rPr>
        <w:t>”), the Restricted Stock Unit Governing Documents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372110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71" w:name="page72"/>
    <w:bookmarkEnd w:id="71"/>
    <w:p>
      <w:pPr>
        <w:jc w:val="both"/>
        <w:ind w:left="-8" w:firstLine="8"/>
        <w:spacing w:after="0" w:line="239" w:lineRule="auto"/>
        <w:tabs>
          <w:tab w:leader="none" w:pos="352"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Restricted Stock Unit Governing Documents constitute the entire agreement of the parties hereto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subject 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371475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73"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06"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34" w:lineRule="auto"/>
        <w:rPr>
          <w:sz w:val="20"/>
          <w:szCs w:val="20"/>
          <w:color w:val="auto"/>
        </w:rPr>
      </w:pPr>
      <w:r>
        <w:rPr>
          <w:rFonts w:ascii="Arial" w:cs="Arial" w:eastAsia="Arial" w:hAnsi="Arial"/>
          <w:sz w:val="18"/>
          <w:szCs w:val="18"/>
          <w:b w:val="1"/>
          <w:bCs w:val="1"/>
          <w:color w:val="auto"/>
        </w:rPr>
        <w:t>PURSUANT TO 17 CFR 240.13a-14</w:t>
      </w:r>
    </w:p>
    <w:p>
      <w:pPr>
        <w:jc w:val="center"/>
        <w:spacing w:after="0" w:line="235"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06"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120" w:hanging="514"/>
        <w:spacing w:after="0" w:line="270"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40" w:hanging="514"/>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48"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540" w:right="380" w:hanging="514"/>
        <w:spacing w:after="0" w:line="270"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61"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4"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8180"/>
        <w:spacing w:after="0" w:line="219" w:lineRule="auto"/>
        <w:rPr>
          <w:sz w:val="20"/>
          <w:szCs w:val="20"/>
          <w:color w:val="auto"/>
        </w:rPr>
      </w:pPr>
      <w:r>
        <w:rPr>
          <w:rFonts w:ascii="Arial" w:cs="Arial" w:eastAsia="Arial" w:hAnsi="Arial"/>
          <w:sz w:val="18"/>
          <w:szCs w:val="18"/>
          <w:b w:val="1"/>
          <w:bCs w:val="1"/>
          <w:color w:val="auto"/>
        </w:rPr>
        <w:t>Scott Staples</w:t>
      </w:r>
    </w:p>
    <w:p>
      <w:pPr>
        <w:ind w:left="776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276"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03"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Letter"/>
      <w:start w:val="25"/>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9"/>
    </w:lvl>
  </w:abstractNum>
  <w:abstractNum w:abstractNumId="29">
    <w:nsid w:val="5E884ADC"/>
    <w:multiLevelType w:val="hybridMultilevel"/>
    <w:lvl w:ilvl="0">
      <w:lvlJc w:val="left"/>
      <w:lvlText w:val="%1."/>
      <w:numFmt w:val="decimal"/>
      <w:start w:val="17"/>
    </w:lvl>
  </w:abstractNum>
  <w:abstractNum w:abstractNumId="30">
    <w:nsid w:val="51EAD36B"/>
    <w:multiLevelType w:val="hybridMultilevel"/>
    <w:lvl w:ilvl="0">
      <w:lvlJc w:val="left"/>
      <w:lvlText w:val="1"/>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9"/>
    </w:lvl>
  </w:abstractNum>
  <w:abstractNum w:abstractNumId="33">
    <w:nsid w:val="153EA438"/>
    <w:multiLevelType w:val="hybridMultilevel"/>
    <w:lvl w:ilvl="0">
      <w:lvlJc w:val="left"/>
      <w:lvlText w:val="%1."/>
      <w:numFmt w:val="decimal"/>
      <w:start w:val="17"/>
    </w:lvl>
  </w:abstractNum>
  <w:abstractNum w:abstractNumId="34">
    <w:nsid w:val="3855585C"/>
    <w:multiLevelType w:val="hybridMultilevel"/>
    <w:lvl w:ilvl="0">
      <w:lvlJc w:val="left"/>
      <w:lvlText w:val="1"/>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decimal"/>
      <w:start w:val="14"/>
    </w:lvl>
  </w:abstractNum>
  <w:abstractNum w:abstractNumId="38">
    <w:nsid w:val="1D4ED43B"/>
    <w:multiLevelType w:val="hybridMultilevel"/>
    <w:lvl w:ilvl="0">
      <w:lvlJc w:val="left"/>
      <w:lvlText w:val="%1."/>
      <w:numFmt w:val="decimal"/>
      <w:start w:val="20"/>
    </w:lvl>
  </w:abstractNum>
  <w:abstractNum w:abstractNumId="39">
    <w:nsid w:val="725A06FB"/>
    <w:multiLevelType w:val="hybridMultilevel"/>
    <w:lvl w:ilvl="0">
      <w:lvlJc w:val="left"/>
      <w:lvlText w:val="1"/>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7"/>
    </w:lvl>
  </w:abstractNum>
  <w:abstractNum w:abstractNumId="42">
    <w:nsid w:val="7A6D8D3C"/>
    <w:multiLevelType w:val="hybridMultilevel"/>
    <w:lvl w:ilvl="0">
      <w:lvlJc w:val="left"/>
      <w:lvlText w:val="%1."/>
      <w:numFmt w:val="decimal"/>
      <w:start w:val="14"/>
    </w:lvl>
  </w:abstractNum>
  <w:abstractNum w:abstractNumId="43">
    <w:nsid w:val="4B588F54"/>
    <w:multiLevelType w:val="hybridMultilevel"/>
    <w:lvl w:ilvl="0">
      <w:lvlJc w:val="left"/>
      <w:lvlText w:val="%1."/>
      <w:numFmt w:val="decimal"/>
      <w:start w:val="2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15" Type="http://schemas.openxmlformats.org/officeDocument/2006/relationships/hyperlink" Target="https://www.sec.gov/Archives/edgar/data/1210677/000119312521200542/d12470dex31.htm" TargetMode="External"/><Relationship Id="rId216" Type="http://schemas.openxmlformats.org/officeDocument/2006/relationships/hyperlink" Target="https://www.sec.gov/Archives/edgar/data/1210677/000119312521200542/d124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2022-08-04T16:02:43Z</dcterms:created>
  <dcterms:modified xsi:type="dcterms:W3CDTF">2022-08-04T16:02:43Z</dcterms:modified>
</cp:coreProperties>
</file>