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Binger Sharon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FIRST ADVANTAGE CORP</w:t>
              </w:r>
            </w:hyperlink>
            <w:r>
              <w:rPr/>
              <w:t xml:space="preserve"> [ </w:t>
            </w:r>
            <w:r>
              <w:rPr>
                <w:rFonts w:ascii="Times;serif" w:hAnsi="Times;serif"/>
                <w:color w:val="0000FF"/>
                <w:sz w:val="24"/>
                <w:shd w:fill="FFFFFF" w:val="clear"/>
              </w:rPr>
              <w:t>FA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Ms. Binger is a Managing Director at Silver Lake and is a member of the board of directors of First Advantage Corporation (the ''Issuer''). Certain affiliates of Silver Lake have filed separate Section 16 reports reporting securities of the Issuer that they may be deemed to beneficially own. Ms. Binger disclaims beneficial ownership of any securities of the Issuer that may be deemed to be beneficially owned by affiliates of Silver Lake.</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Sharon Binger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804" TargetMode="External"/><Relationship Id="rId3" Type="http://schemas.openxmlformats.org/officeDocument/2006/relationships/hyperlink" Target="http://www.sec.gov/cgi-bin/browse-edgar?action=getcompany&amp;CIK=000121067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464</Words>
  <Characters>2539</Characters>
  <CharactersWithSpaces>2957</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