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60" w:right="1620" w:hanging="3639"/>
        <w:spacing w:after="0" w:line="373"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9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001-31666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First Advantage Corporation</w:t>
      </w:r>
    </w:p>
    <w:p>
      <w:pPr>
        <w:sectPr>
          <w:pgSz w:w="11900" w:h="16838" w:orient="portrait"/>
          <w:cols w:equalWidth="0" w:num="1">
            <w:col w:w="11240"/>
          </w:cols>
          <w:pgMar w:left="320" w:top="1280"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8"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1 Concourse Parkway NE, Suite 200</w:t>
      </w:r>
    </w:p>
    <w:p>
      <w:pPr>
        <w:spacing w:after="0" w:line="4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Atlanta, GA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84-3884690</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30328</w:t>
      </w:r>
    </w:p>
    <w:p>
      <w:pPr>
        <w:spacing w:after="0" w:line="38" w:lineRule="exact"/>
        <w:rPr>
          <w:sz w:val="24"/>
          <w:szCs w:val="24"/>
          <w:color w:val="auto"/>
        </w:rPr>
      </w:pPr>
    </w:p>
    <w:p>
      <w:pPr>
        <w:sectPr>
          <w:pgSz w:w="11900" w:h="16838" w:orient="portrait"/>
          <w:cols w:equalWidth="0" w:num="2">
            <w:col w:w="7700" w:space="240"/>
            <w:col w:w="3300"/>
          </w:cols>
          <w:pgMar w:left="320" w:top="1280"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314-9761</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FA</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13"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8, 2024, the registrant had 172,652,487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1019810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8"/>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40" w:type="dxa"/>
            <w:vAlign w:val="bottom"/>
            <w:tcBorders>
              <w:bottom w:val="single" w:sz="8" w:color="0563C1"/>
            </w:tcBorders>
            <w:gridSpan w:val="17"/>
          </w:tcPr>
          <w:p>
            <w:pPr>
              <w:spacing w:after="0"/>
              <w:rPr>
                <w:sz w:val="20"/>
                <w:szCs w:val="20"/>
                <w:color w:val="auto"/>
              </w:rPr>
            </w:pPr>
            <w:r>
              <w:rPr>
                <w:rFonts w:ascii="Times New Roman" w:cs="Times New Roman" w:eastAsia="Times New Roman" w:hAnsi="Times New Roman"/>
                <w:sz w:val="18"/>
                <w:szCs w:val="18"/>
                <w:color w:val="0563C1"/>
                <w:w w:val="99"/>
              </w:rPr>
              <w:t>Condensed Consolidated Statements of Operations and Comprehensive (Loss) Income</w:t>
            </w:r>
          </w:p>
        </w:tc>
        <w:tc>
          <w:tcPr>
            <w:tcW w:w="30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60" w:type="dxa"/>
            <w:vAlign w:val="bottom"/>
            <w:tcBorders>
              <w:bottom w:val="single" w:sz="8" w:color="0563C1"/>
            </w:tcBorders>
            <w:gridSpan w:val="16"/>
          </w:tcPr>
          <w:p>
            <w:pPr>
              <w:spacing w:after="0"/>
              <w:rPr>
                <w:sz w:val="20"/>
                <w:szCs w:val="20"/>
                <w:color w:val="auto"/>
              </w:rPr>
            </w:pPr>
            <w:r>
              <w:rPr>
                <w:rFonts w:ascii="Times New Roman" w:cs="Times New Roman" w:eastAsia="Times New Roman" w:hAnsi="Times New Roman"/>
                <w:sz w:val="18"/>
                <w:szCs w:val="18"/>
                <w:color w:val="0563C1"/>
                <w:w w:val="99"/>
              </w:rPr>
              <w:t>Condensed Consolidated Statements of Changes in Stockholders’ Equity</w:t>
            </w:r>
          </w:p>
        </w:tc>
        <w:tc>
          <w:tcPr>
            <w:tcW w:w="40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563C1"/>
            </w:tcBorders>
            <w:gridSpan w:val="15"/>
          </w:tcPr>
          <w:p>
            <w:pPr>
              <w:spacing w:after="0"/>
              <w:rPr>
                <w:sz w:val="20"/>
                <w:szCs w:val="20"/>
                <w:color w:val="auto"/>
              </w:rPr>
            </w:pPr>
            <w:r>
              <w:rPr>
                <w:rFonts w:ascii="Times New Roman" w:cs="Times New Roman" w:eastAsia="Times New Roman" w:hAnsi="Times New Roman"/>
                <w:sz w:val="18"/>
                <w:szCs w:val="18"/>
                <w:color w:val="0563C1"/>
                <w:w w:val="99"/>
              </w:rPr>
              <w:t>Notes to Unaudited Condensed Consolidated Financial Statements</w:t>
            </w:r>
          </w:p>
        </w:tc>
        <w:tc>
          <w:tcPr>
            <w:tcW w:w="450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563C1"/>
              <w:bottom w:val="single" w:sz="8" w:color="0563C1"/>
            </w:tcBorders>
            <w:gridSpan w:val="14"/>
          </w:tcPr>
          <w:p>
            <w:pPr>
              <w:spacing w:after="0"/>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2080" w:type="dxa"/>
            <w:vAlign w:val="bottom"/>
            <w:tcBorders>
              <w:top w:val="single" w:sz="8" w:color="0563C1"/>
            </w:tcBorders>
            <w:gridSpan w:val="4"/>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563C1"/>
            </w:tcBorders>
            <w:gridSpan w:val="7"/>
          </w:tcPr>
          <w:p>
            <w:pPr>
              <w:spacing w:after="0"/>
              <w:rPr>
                <w:sz w:val="20"/>
                <w:szCs w:val="20"/>
                <w:color w:val="auto"/>
              </w:rPr>
            </w:pPr>
            <w:r>
              <w:rPr>
                <w:rFonts w:ascii="Times New Roman" w:cs="Times New Roman" w:eastAsia="Times New Roman" w:hAnsi="Times New Roman"/>
                <w:sz w:val="18"/>
                <w:szCs w:val="18"/>
                <w:color w:val="0563C1"/>
                <w:w w:val="98"/>
              </w:rPr>
              <w:t>OTHER INFORMATION</w:t>
            </w:r>
          </w:p>
        </w:tc>
        <w:tc>
          <w:tcPr>
            <w:tcW w:w="740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563C1"/>
              <w:bottom w:val="single" w:sz="8" w:color="0563C1"/>
            </w:tcBorders>
            <w:gridSpan w:val="2"/>
          </w:tcPr>
          <w:p>
            <w:pPr>
              <w:spacing w:after="0"/>
              <w:rPr>
                <w:sz w:val="20"/>
                <w:szCs w:val="20"/>
                <w:color w:val="auto"/>
              </w:rPr>
            </w:pPr>
            <w:r>
              <w:rPr>
                <w:rFonts w:ascii="Times New Roman" w:cs="Times New Roman" w:eastAsia="Times New Roman" w:hAnsi="Times New Roman"/>
                <w:sz w:val="18"/>
                <w:szCs w:val="18"/>
                <w:color w:val="0563C1"/>
                <w:w w:val="99"/>
              </w:rPr>
              <w:t>Risk Factors</w:t>
            </w:r>
          </w:p>
        </w:tc>
        <w:tc>
          <w:tcPr>
            <w:tcW w:w="420" w:type="dxa"/>
            <w:vAlign w:val="bottom"/>
            <w:tcBorders>
              <w:top w:val="single" w:sz="8" w:color="0563C1"/>
            </w:tcBorders>
            <w:gridSpan w:val="2"/>
          </w:tcPr>
          <w:p>
            <w:pPr>
              <w:spacing w:after="0"/>
              <w:rPr>
                <w:sz w:val="18"/>
                <w:szCs w:val="18"/>
                <w:color w:val="auto"/>
              </w:rPr>
            </w:pPr>
          </w:p>
        </w:tc>
        <w:tc>
          <w:tcPr>
            <w:tcW w:w="79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563C1"/>
            </w:tcBorders>
            <w:gridSpan w:val="13"/>
          </w:tcPr>
          <w:p>
            <w:pPr>
              <w:spacing w:after="0"/>
              <w:rPr>
                <w:sz w:val="20"/>
                <w:szCs w:val="20"/>
                <w:color w:val="auto"/>
              </w:rPr>
            </w:pPr>
            <w:r>
              <w:rPr>
                <w:rFonts w:ascii="Times New Roman" w:cs="Times New Roman" w:eastAsia="Times New Roman" w:hAnsi="Times New Roman"/>
                <w:sz w:val="18"/>
                <w:szCs w:val="18"/>
                <w:color w:val="0563C1"/>
                <w:w w:val="99"/>
              </w:rPr>
              <w:t>Unregistered Sales of Equity Securities and Use of Proceeds</w:t>
            </w:r>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w w:val="99"/>
              </w:rPr>
              <w:t>Defaults Upon Senior Securities</w:t>
            </w:r>
          </w:p>
        </w:tc>
        <w:tc>
          <w:tcPr>
            <w:tcW w:w="69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Mine Safety Disclosures</w:t>
            </w:r>
          </w:p>
        </w:tc>
        <w:tc>
          <w:tcPr>
            <w:tcW w:w="752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rPr>
              <w:t>Exhibits</w:t>
            </w:r>
          </w:p>
        </w:tc>
        <w:tc>
          <w:tcPr>
            <w:tcW w:w="79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563C1"/>
              </w:rPr>
              <w:t>Signatures</w:t>
            </w:r>
          </w:p>
        </w:tc>
        <w:tc>
          <w:tcPr>
            <w:tcW w:w="600" w:type="dxa"/>
            <w:vAlign w:val="bottom"/>
            <w:tcBorders>
              <w:top w:val="single" w:sz="8" w:color="0563C1"/>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66"/>
        </w:trPr>
        <w:tc>
          <w:tcPr>
            <w:tcW w:w="20" w:type="dxa"/>
            <w:vAlign w:val="bottom"/>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380" w:type="dxa"/>
            <w:vAlign w:val="bottom"/>
          </w:tcPr>
          <w:p>
            <w:pPr>
              <w:spacing w:after="0"/>
              <w:rPr>
                <w:sz w:val="24"/>
                <w:szCs w:val="24"/>
                <w:color w:val="auto"/>
              </w:rPr>
            </w:pPr>
          </w:p>
        </w:tc>
        <w:tc>
          <w:tcPr>
            <w:tcW w:w="4800" w:type="dxa"/>
            <w:vAlign w:val="bottom"/>
            <w:gridSpan w:val="15"/>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307,392</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213,774</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r>
      <w:tr>
        <w:trPr>
          <w:trHeight w:val="215"/>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$1,284 and $1,036 at September 30,</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48"/>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143,020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142,690</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13,426</w:t>
            </w:r>
          </w:p>
        </w:tc>
      </w:tr>
      <w:tr>
        <w:trPr>
          <w:trHeight w:val="247"/>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receivable</w:t>
            </w:r>
          </w:p>
        </w:tc>
        <w:tc>
          <w:tcPr>
            <w:tcW w:w="1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2,808</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3,710</w:t>
            </w:r>
          </w:p>
        </w:tc>
      </w:tr>
      <w:tr>
        <w:trPr>
          <w:trHeight w:val="232"/>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466,975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373,738</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55,403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79,441</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822,277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820,654</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 names, net</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60,990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66,229</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Customer lists, net</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238,821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275,528</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1,898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2,257</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asset, net</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2,786</w:t>
            </w:r>
          </w:p>
        </w:tc>
      </w:tr>
      <w:tr>
        <w:trPr>
          <w:trHeight w:val="247"/>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7,598</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10,021</w:t>
            </w: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1,657,134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1,630,654</w:t>
            </w:r>
          </w:p>
        </w:tc>
      </w:tr>
      <w:tr>
        <w:trPr>
          <w:trHeight w:val="20"/>
        </w:trPr>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71,108</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47,024</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16,379</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22,962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16,162</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3,354</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payable</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3,534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2,495</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1,856</w:t>
            </w:r>
          </w:p>
        </w:tc>
      </w:tr>
      <w:tr>
        <w:trPr>
          <w:trHeight w:val="237"/>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121,352</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85,039</w:t>
            </w:r>
          </w:p>
        </w:tc>
      </w:tr>
      <w:tr>
        <w:trPr>
          <w:trHeight w:val="21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(net of deferred financing costs of $4,880 and $6,268 at September 30, 2024 and</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559,844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558,456</w:t>
            </w:r>
          </w:p>
        </w:tc>
      </w:tr>
      <w:tr>
        <w:trPr>
          <w:trHeight w:val="250"/>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48,181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71,274</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5,931</w:t>
            </w:r>
          </w:p>
        </w:tc>
      </w:tr>
      <w:tr>
        <w:trPr>
          <w:trHeight w:val="247"/>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2,703</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3,221</w:t>
            </w:r>
          </w:p>
        </w:tc>
      </w:tr>
      <w:tr>
        <w:trPr>
          <w:trHeight w:val="232"/>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736,420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723,921</w:t>
            </w:r>
          </w:p>
        </w:tc>
      </w:tr>
      <w:tr>
        <w:trPr>
          <w:trHeight w:val="24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r>
      <w:tr>
        <w:trPr>
          <w:trHeight w:val="241"/>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 $0.001 par value; 1,000,000,000 shares authorized, 145,558,948 and</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1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145,074,802 shares issued and outstanding at September 30, 2024 and December 31, 2023,</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48"/>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998,707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977,290</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(59,442 )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(49,545 )</w:t>
            </w: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(18,697 )</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(21,157 )</w:t>
            </w:r>
          </w:p>
        </w:tc>
      </w:tr>
      <w:tr>
        <w:trPr>
          <w:trHeight w:val="236"/>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920,714</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906,733</w:t>
            </w:r>
          </w:p>
        </w:tc>
      </w:tr>
      <w:tr>
        <w:trPr>
          <w:trHeight w:val="23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1,657,134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1,630,654</w:t>
            </w:r>
          </w:p>
        </w:tc>
      </w:tr>
      <w:tr>
        <w:trPr>
          <w:trHeight w:val="20"/>
        </w:trPr>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-5297170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-4053840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-1713865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199,119</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200,364</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553,081</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561,199</w:t>
            </w:r>
          </w:p>
        </w:tc>
      </w:tr>
      <w:tr>
        <w:trPr>
          <w:trHeight w:val="243"/>
        </w:trPr>
        <w:tc>
          <w:tcPr>
            <w:tcW w:w="4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11"/>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services (exclusive of depreciation and amortization</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1"/>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below)</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100,879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101,410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280,419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285,468</w:t>
            </w:r>
          </w:p>
        </w:tc>
      </w:tr>
      <w:tr>
        <w:trPr>
          <w:trHeight w:val="250"/>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12,909</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13,107</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39,052</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38,374</w:t>
            </w: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46,050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30,217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125,352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88,881</w:t>
            </w:r>
          </w:p>
        </w:tc>
      </w:tr>
      <w:tr>
        <w:trPr>
          <w:trHeight w:val="247"/>
        </w:trPr>
        <w:tc>
          <w:tcPr>
            <w:tcW w:w="4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30,168</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32,419</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89,968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96,341</w:t>
            </w:r>
          </w:p>
        </w:tc>
      </w:tr>
      <w:tr>
        <w:trPr>
          <w:trHeight w:val="237"/>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190,006</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177,153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534,791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509,064</w:t>
            </w:r>
          </w:p>
        </w:tc>
      </w:tr>
      <w:tr>
        <w:trPr>
          <w:trHeight w:val="237"/>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9,113</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23,211</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18,290</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52,135</w:t>
            </w:r>
          </w:p>
        </w:tc>
      </w:tr>
      <w:tr>
        <w:trPr>
          <w:trHeight w:val="236"/>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43"/>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17,191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7,557</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28,114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20,125</w:t>
            </w:r>
          </w:p>
        </w:tc>
      </w:tr>
      <w:tr>
        <w:trPr>
          <w:trHeight w:val="237"/>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17,191</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7,557</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28,114</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20,125</w:t>
            </w:r>
          </w:p>
        </w:tc>
      </w:tr>
      <w:tr>
        <w:trPr>
          <w:trHeight w:val="205"/>
        </w:trPr>
        <w:tc>
          <w:tcPr>
            <w:tcW w:w="48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(LOSS) INCOME BEFORE PROVISION FOR INCOME</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1"/>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32,010</w:t>
            </w:r>
          </w:p>
        </w:tc>
      </w:tr>
      <w:tr>
        <w:trPr>
          <w:trHeight w:val="250"/>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4,881</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9,530</w:t>
            </w:r>
          </w:p>
        </w:tc>
      </w:tr>
      <w:tr>
        <w:trPr>
          <w:trHeight w:val="23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(8,860 )</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10,773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(9,907 )</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22,480</w:t>
            </w:r>
          </w:p>
        </w:tc>
      </w:tr>
      <w:tr>
        <w:trPr>
          <w:trHeight w:val="20"/>
        </w:trPr>
        <w:tc>
          <w:tcPr>
            <w:tcW w:w="4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income (loss)</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5,531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(1,610 )</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(523 )</w:t>
            </w:r>
          </w:p>
        </w:tc>
      </w:tr>
      <w:tr>
        <w:trPr>
          <w:trHeight w:val="27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(3,329 )</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9,163</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(7,447 )</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21,957</w:t>
            </w:r>
          </w:p>
        </w:tc>
      </w:tr>
      <w:tr>
        <w:trPr>
          <w:trHeight w:val="224"/>
        </w:trPr>
        <w:tc>
          <w:tcPr>
            <w:tcW w:w="48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(8,860 )</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10,773</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(9,907 )</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22,480</w:t>
            </w: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0.16</w:t>
            </w: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0.15</w:t>
            </w: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60" w:type="dxa"/>
            <w:vAlign w:val="bottom"/>
          </w:tcPr>
          <w:p>
            <w:pPr>
              <w:spacing w:after="0"/>
              <w:rPr>
                <w:sz w:val="20"/>
                <w:szCs w:val="20"/>
                <w:color w:val="auto"/>
              </w:rPr>
            </w:pPr>
          </w:p>
        </w:tc>
        <w:tc>
          <w:tcPr>
            <w:tcW w:w="12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144,096,312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143,231,707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143,851,357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144,392,463</w:t>
            </w: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144,096,312</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144,733,357</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143,851,357</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146,392,996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-3025140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-3025140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-3025140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-2699385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-2699385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-2699385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-2065020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-2065020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-2065020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-1610995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-1610995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-1610995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-950595</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-933450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-950595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-933450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-950595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-933450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(9,907 )</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22,480</w:t>
            </w: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89,968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96,341</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1,362</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Bad debt expense</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(23,115 )</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(8,723 )</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19,303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10,449</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foreign currency exchange rates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loss on disposal of fixed assets and impairment of ROU assets</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1,724</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(1,006 )</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(2,201 )</w:t>
            </w: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(12,162 )</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8,661</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23,115</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531</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accrued liabilities</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(8,389 )</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(1,134 )</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(198 )</w:t>
            </w:r>
          </w:p>
        </w:tc>
      </w:tr>
      <w:tr>
        <w:trPr>
          <w:trHeight w:val="243"/>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receivable and payable, net</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4,150</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(2,908 )</w:t>
            </w:r>
          </w:p>
        </w:tc>
      </w:tr>
      <w:tr>
        <w:trPr>
          <w:trHeight w:val="237"/>
        </w:trPr>
        <w:tc>
          <w:tcPr>
            <w:tcW w:w="7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113,862</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106,080</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5"/>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(20,384 )</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(18,781 )</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(1,798 )</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(231 )</w:t>
            </w:r>
          </w:p>
        </w:tc>
      </w:tr>
      <w:tr>
        <w:trPr>
          <w:trHeight w:val="243"/>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(41,122 )</w:t>
            </w:r>
          </w:p>
        </w:tc>
      </w:tr>
      <w:tr>
        <w:trPr>
          <w:trHeight w:val="237"/>
        </w:trPr>
        <w:tc>
          <w:tcPr>
            <w:tcW w:w="7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(21,716 )</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(61,932 )</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5"/>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share-based compensation plans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5,862</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4,089</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settlement of share-based compensation plan awards</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deferred purchase agreements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(703 )</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(703 )</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paid</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(217,683 )</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43"/>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 repurchases</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(55,917 )</w:t>
            </w:r>
          </w:p>
        </w:tc>
      </w:tr>
      <w:tr>
        <w:trPr>
          <w:trHeight w:val="237"/>
        </w:trPr>
        <w:tc>
          <w:tcPr>
            <w:tcW w:w="7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(270,565 )</w:t>
            </w:r>
          </w:p>
        </w:tc>
      </w:tr>
      <w:tr>
        <w:trPr>
          <w:trHeight w:val="232"/>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93,568</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(226,789 )</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213,912</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391,796</w:t>
            </w:r>
          </w:p>
        </w:tc>
      </w:tr>
      <w:tr>
        <w:trPr>
          <w:trHeight w:val="27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307,480</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165,007</w:t>
            </w:r>
          </w:p>
        </w:tc>
      </w:tr>
      <w:tr>
        <w:trPr>
          <w:trHeight w:val="224"/>
        </w:trPr>
        <w:tc>
          <w:tcPr>
            <w:tcW w:w="740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4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19,168</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21,006</w:t>
            </w: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36,174</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33,787</w:t>
            </w:r>
          </w:p>
        </w:tc>
      </w:tr>
      <w:tr>
        <w:trPr>
          <w:trHeight w:val="241"/>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5"/>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acquired on account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926</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property and equipment additions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540</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Excise taxes on share repurchases incurred but not paid</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5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558</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but not paid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-4237355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-3294380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-2042795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-1408430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-1391285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977,290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(49,545 )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(21,157 )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906,733</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4,751</w:t>
            </w: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 of previously declared cash dividends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share-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compensation plans</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 obligations on restricted</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unit and option settlement</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(1,773 )</w:t>
            </w:r>
          </w:p>
        </w:tc>
        <w:tc>
          <w:tcPr>
            <w:tcW w:w="0" w:type="dxa"/>
            <w:vAlign w:val="bottom"/>
          </w:tcPr>
          <w:p>
            <w:pPr>
              <w:spacing w:after="0"/>
              <w:rPr>
                <w:sz w:val="1"/>
                <w:szCs w:val="1"/>
                <w:color w:val="auto"/>
              </w:rPr>
            </w:pPr>
          </w:p>
        </w:tc>
      </w:tr>
      <w:tr>
        <w:trPr>
          <w:trHeight w:val="247"/>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(2,908 )</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(2,908 )</w:t>
            </w:r>
          </w:p>
        </w:tc>
        <w:tc>
          <w:tcPr>
            <w:tcW w:w="0" w:type="dxa"/>
            <w:vAlign w:val="bottom"/>
          </w:tcPr>
          <w:p>
            <w:pPr>
              <w:spacing w:after="0"/>
              <w:rPr>
                <w:sz w:val="1"/>
                <w:szCs w:val="1"/>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982,982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(52,453 )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(22,930 )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907,744</w:t>
            </w:r>
          </w:p>
        </w:tc>
        <w:tc>
          <w:tcPr>
            <w:tcW w:w="0" w:type="dxa"/>
            <w:vAlign w:val="bottom"/>
          </w:tcPr>
          <w:p>
            <w:pPr>
              <w:spacing w:after="0"/>
              <w:rPr>
                <w:sz w:val="1"/>
                <w:szCs w:val="1"/>
                <w:color w:val="auto"/>
              </w:rPr>
            </w:pPr>
          </w:p>
        </w:tc>
      </w:tr>
      <w:tr>
        <w:trPr>
          <w:trHeight w:val="245"/>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5,048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5,048</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 of previously declared cash dividends</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share-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based compensation plans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 obligations on restricted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 and option settlement</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3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987,986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(50,592 )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(24,228 )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913,311</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9,504</w:t>
            </w: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Excise tax on repurchase of common stock</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 of previously declared cash dividends</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share-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based compensation plans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4,665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4,666</w:t>
            </w: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 obligations on restricted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 and option settlement</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(3,479 )</w:t>
            </w: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5,531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5,531</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(8,860 )</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(8,860 )</w:t>
            </w:r>
          </w:p>
        </w:tc>
        <w:tc>
          <w:tcPr>
            <w:tcW w:w="0" w:type="dxa"/>
            <w:vAlign w:val="bottom"/>
          </w:tcPr>
          <w:p>
            <w:pPr>
              <w:spacing w:after="0"/>
              <w:rPr>
                <w:sz w:val="1"/>
                <w:szCs w:val="1"/>
                <w:color w:val="auto"/>
              </w:rPr>
            </w:pPr>
          </w:p>
        </w:tc>
      </w:tr>
      <w:tr>
        <w:trPr>
          <w:trHeight w:val="276"/>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998,707</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(59,442 )</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(18,697 )</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920,714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-3068320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-3068320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-3068320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-3068320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-25400</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-8255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1,176,163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(27,363 )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(22,331 )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1,126,618</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(25,515 )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(25,517 )</w:t>
            </w: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share-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compensation plans</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1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 obligations on restricted</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unit and option settlement</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47"/>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1,179,595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(50,953 )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(21,462 )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1,107,327</w:t>
            </w:r>
          </w:p>
        </w:tc>
        <w:tc>
          <w:tcPr>
            <w:tcW w:w="0" w:type="dxa"/>
            <w:vAlign w:val="bottom"/>
          </w:tcPr>
          <w:p>
            <w:pPr>
              <w:spacing w:after="0"/>
              <w:rPr>
                <w:sz w:val="1"/>
                <w:szCs w:val="1"/>
                <w:color w:val="auto"/>
              </w:rPr>
            </w:pPr>
          </w:p>
        </w:tc>
      </w:tr>
      <w:tr>
        <w:trPr>
          <w:trHeight w:val="245"/>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3,601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3,601</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(27,337 )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(27,339 )</w:t>
            </w: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share-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based compensation plans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 obligations on restricted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 and option settlement</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9,782</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9,782</w:t>
            </w:r>
          </w:p>
        </w:tc>
        <w:tc>
          <w:tcPr>
            <w:tcW w:w="0" w:type="dxa"/>
            <w:vAlign w:val="bottom"/>
          </w:tcPr>
          <w:p>
            <w:pPr>
              <w:spacing w:after="0"/>
              <w:rPr>
                <w:sz w:val="1"/>
                <w:szCs w:val="1"/>
                <w:color w:val="auto"/>
              </w:rPr>
            </w:pPr>
          </w:p>
        </w:tc>
      </w:tr>
      <w:tr>
        <w:trPr>
          <w:trHeight w:val="23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1,183,715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(68,508 )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(21,244 )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1,094,108</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(3,619 )</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$1.50 per share</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(218,384 )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(218,384 )</w:t>
            </w: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share-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based compensation plans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 obligations on restricted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 and option settlement</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(1,610 )</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10,773</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10,773</w:t>
            </w:r>
          </w:p>
        </w:tc>
        <w:tc>
          <w:tcPr>
            <w:tcW w:w="0" w:type="dxa"/>
            <w:vAlign w:val="bottom"/>
          </w:tcPr>
          <w:p>
            <w:pPr>
              <w:spacing w:after="0"/>
              <w:rPr>
                <w:sz w:val="1"/>
                <w:szCs w:val="1"/>
                <w:color w:val="auto"/>
              </w:rPr>
            </w:pPr>
          </w:p>
        </w:tc>
      </w:tr>
      <w:tr>
        <w:trPr>
          <w:trHeight w:val="276"/>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2023</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972,063</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(61,354 )</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(22,854 )</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888,000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-3068320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-3068320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-3068320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-3068320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-25400</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-8255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Nature of Business, and Basis of Presentation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First Advantage Corporation, a Delaware corporation, was formed on November 15, 2019. Hereafter, First Advantage Corporation and its subsidiaries will collectively be referred to as the “Company.”</w:t>
      </w:r>
    </w:p>
    <w:p>
      <w:pPr>
        <w:spacing w:after="0" w:line="10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Company derives its revenues from a variety of background check and compliance services performed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Pre-onboarding services are comprised of an extensive array of products and solutions that customers typically utilize to enhance their evaluation process and support compliance from the time a job or other application is submitted to a successful applicant’s onboarding date. This includes searches such as criminal background checks, drug / health screenings, extended workforce screening, biometrics and identity checks, education / workforce verification, driver records and compliance, healthcare credentials, and executive screening.</w:t>
      </w:r>
    </w:p>
    <w:p>
      <w:pPr>
        <w:spacing w:after="0" w:line="1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Post-onboarding services are comprised of continuous monitoring and re-screening solutions, which are important tools to help keep their end customers, workforces, and other stakeholders safer, more productive, and more compliant. Our post-monitoring solutions include criminal records, healthcare sanctions, motor vehicle records, social media, and global sanctions screening continuously or at regular intervals selected by our customers.</w:t>
      </w:r>
    </w:p>
    <w:p>
      <w:pPr>
        <w:spacing w:after="0" w:line="12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Adjacent products include products that complement our pre-onboarding and post-onboarding products and solutions. This includes fleet / vehicle compliance, hiring tax credits and incentives, resident / tenant screening, employment eligibility, and investigative research.</w:t>
      </w:r>
    </w:p>
    <w:p>
      <w:pPr>
        <w:spacing w:after="0" w:line="10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accompanying unaudited condensed consolidated financial statements have been prepared in accordance with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generally 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but in the opinion of management, such financial statements include all adjustments, consisting of normal recurring adjustments, necessary to summarize fairly the Company’s financial position, results of operations, and cash flows for the interim periods presented. The interim results reported in these condensed consolidated financial statements should not be taken as indicative of results that may be expected for future interim periods or the full year. For a more comprehensive understanding of the Company and its condensed consolidated financial statements, these interim financial statements should be read in conjunction with the Company’s Annual Report on Form 10-K for the year ended December 31, 2023.</w:t>
      </w:r>
    </w:p>
    <w:p>
      <w:pPr>
        <w:spacing w:after="0" w:line="13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historically experienced seasonality with respect to certain customer industries as a result of fluctuations in hiring volumes and other economic activities. Generally, the Company’s highest revenues have historically occurred between October and November of each year, driven by many customers’ pre-holiday season hiring initiatives.</w:t>
      </w:r>
    </w:p>
    <w:p>
      <w:pPr>
        <w:spacing w:after="0" w:line="11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the condensed consolidated financial statements in accordance with GAAP requires management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condensed consolidated financial statements and accompanying notes.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Significant estimates, judgments, and assumptions, include, but are not limited to, the determination of the fair value and useful lives of assets acquired and liabilities assumed through business combinations, goodwill impairment, revenue recognition, capitalized software, assumptions used for purposes of determining share-based compensation, and income tax liabilities and assets. The Company bases its estimates on historical experience and on various other assumptions that are believed to be reasonable under the circumstances. Actual results could differ from these estimates.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 Certain financial assets and liabilities are reported at fair value in the accompanying consolidated balance sheets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accordance with Financial Accounting Standards Board (“FASB”) Accounting Standards Codification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for identical instruments in active markets.</w:t>
      </w:r>
    </w:p>
    <w:p>
      <w:pPr>
        <w:spacing w:after="0" w:line="171"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Quoted prices for similar instruments in active markets, quoted prices for identical or similar instruments in markets that are not active,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model-derived valuations whose inputs are observable or whose significant value drivers are observable.</w:t>
      </w:r>
    </w:p>
    <w:p>
      <w:pPr>
        <w:spacing w:after="0" w:line="10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inputs to the valuation model are unobservable (supported by little or no market activities). These inputs may be used with internally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methodologies that reflect the Company’s best estimate of fair value from a market participant.</w:t>
      </w:r>
    </w:p>
    <w:p>
      <w:pPr>
        <w:spacing w:after="0" w:line="106"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The carrying amounts of cash and cash equivalents, receivables, and accounts payable approximate fair value due to the short-term maturities of these financial instruments (Level 1). The fair values and carrying values of the Company’s long-term debt are disclosed in Note 6, “Long-term Debt”.</w:t>
      </w:r>
    </w:p>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that are measured at fair value on a recurring basis and their assigned levels within the valuation hierarchy as of September 30, 2024 (in thousands):</w:t>
      </w:r>
    </w:p>
    <w:p>
      <w:pPr>
        <w:spacing w:after="0" w:line="115" w:lineRule="exact"/>
        <w:rPr>
          <w:sz w:val="20"/>
          <w:szCs w:val="20"/>
          <w:color w:val="auto"/>
        </w:rPr>
      </w:pPr>
    </w:p>
    <w:p>
      <w:pPr>
        <w:ind w:left="6800"/>
        <w:spacing w:after="0"/>
        <w:tabs>
          <w:tab w:leader="none" w:pos="8020" w:val="left"/>
          <w:tab w:leader="none" w:pos="926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16510</wp:posOffset>
            </wp:positionV>
            <wp:extent cx="23056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6" w:lineRule="exact"/>
        <w:rPr>
          <w:sz w:val="20"/>
          <w:szCs w:val="20"/>
          <w:color w:val="auto"/>
        </w:rPr>
      </w:pPr>
    </w:p>
    <w:p>
      <w:pPr>
        <w:ind w:left="1320"/>
        <w:spacing w:after="0"/>
        <w:tabs>
          <w:tab w:leader="none" w:pos="6480" w:val="left"/>
          <w:tab w:leader="none" w:pos="7340" w:val="left"/>
          <w:tab w:leader="none" w:pos="7740" w:val="left"/>
          <w:tab w:leader="none" w:pos="8360" w:val="left"/>
          <w:tab w:leader="none" w:pos="8960" w:val="left"/>
          <w:tab w:leader="none" w:pos="9820" w:val="left"/>
        </w:tabs>
        <w:rPr>
          <w:sz w:val="20"/>
          <w:szCs w:val="20"/>
          <w:color w:val="auto"/>
        </w:rPr>
      </w:pPr>
      <w:r>
        <w:rPr>
          <w:rFonts w:ascii="Times New Roman" w:cs="Times New Roman" w:eastAsia="Times New Roman" w:hAnsi="Times New Roman"/>
          <w:sz w:val="18"/>
          <w:szCs w:val="18"/>
          <w:color w:val="auto"/>
        </w:rPr>
        <w:t>Interest rate swaps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4,984</w:t>
        <w:tab/>
        <w:t>$</w:t>
      </w:r>
      <w:r>
        <w:rPr>
          <w:sz w:val="20"/>
          <w:szCs w:val="20"/>
          <w:color w:val="auto"/>
        </w:rPr>
        <w:tab/>
      </w:r>
      <w:r>
        <w:rPr>
          <w:rFonts w:ascii="Times New Roman" w:cs="Times New Roman" w:eastAsia="Times New Roman" w:hAnsi="Times New Roman"/>
          <w:sz w:val="18"/>
          <w:szCs w:val="18"/>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17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Other intangible assets are subject to nonrecurring fair value measurement as the result of business acquisitions. The fair values of these assets were estimated using the present value of expected future cash flows through unobservable inputs (Level 3).</w:t>
      </w:r>
    </w:p>
    <w:p>
      <w:pPr>
        <w:spacing w:after="0" w:line="10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The Company records business combinations using the acquisition method of accounting in accordance with ASC 805,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valuing the trade names, customer lists, and software developed for internal use,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spacing w:after="0" w:line="1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Concentrations of Credit Risk — </w:t>
      </w:r>
      <w:r>
        <w:rPr>
          <w:rFonts w:ascii="Times New Roman" w:cs="Times New Roman" w:eastAsia="Times New Roman" w:hAnsi="Times New Roman"/>
          <w:sz w:val="18"/>
          <w:szCs w:val="18"/>
          <w:color w:val="auto"/>
        </w:rPr>
        <w:t>Financial instruments which potentially subject the Company to concentrations of credit risk consist principally of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cash equivalents and accounts receivable. Cash is deposited with major financial institutions and, at times, such balances with each financial institution may be in excess of insured limits. The Company has not experienced, and does not anticipate, any losses with respect to its cash deposits. Accounts receivable represent credit granted to customers for services provided. The Company performs ongoing credit evaluations of its customers’ financial condition and generally does not require collateral on accounts receivable. The Company had one customer which represented approximately 15% and 13% of its consolidated revenues during the three and nine months ended September 30, 2024, respectively. The Company had one customer which represented approximately 11% of its consolidated revenues during both the three and nine months ended September 30, 2023. Additionally, the Company did not have any customers which represented 10% or more of its consolidated accounts receivable, net for any period presented.</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entered into interest rate derivative agreements with a counterparty bank to reduce its exposure to interest rate volatility. The Company has determined the counterparty bank to be a high credit quality institution. The Company does not enter into financial instruments for trading or speculative purposes.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ind w:right="1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Foreign Currency </w:t>
      </w:r>
      <w:r>
        <w:rPr>
          <w:rFonts w:ascii="Times New Roman" w:cs="Times New Roman" w:eastAsia="Times New Roman" w:hAnsi="Times New Roman"/>
          <w:sz w:val="18"/>
          <w:szCs w:val="18"/>
          <w:color w:val="auto"/>
        </w:rPr>
        <w:t>— The functional currency of all of the Company’s foreign subsidiaries is the applicable local currency. The translation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Currency translation (loss) income included in accumulated other comprehensive loss was approximately $5.5 million and $(1.6) million for the three months ended September 30, 2024 and 2023, respectively. Currency translation (loss) income included in accumulated other comprehensive loss was approximately $2.5 million and $(0.5) million for the nine months ended September 30, 2024 and 2023, respectively.</w:t>
      </w:r>
    </w:p>
    <w:p>
      <w:pPr>
        <w:spacing w:after="0" w:line="133"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Gains or losses resulting from foreign currency transactions are included in the accompanying condensed consolidated statements of operations and comprehensive (loss) income, except for those relating to intercompany transactions of a long-term investment nature, which are captured in a separate component of equity as accumulated other comprehensive loss. Currency transaction income (loss) included in the accompanying condensed consolidated statements of operations and comprehensive (loss) income was approximately $(0.6) million and $0.1 million for the three months ended September 30, 2024 and 2023, respectively. Currency transaction income (loss) included in the accompanying condensed consolidated statements of operations and comprehensive (loss) income was approximately $(0.04) million and $(0.2) million for the nine months ended September 30, 2024 and 2023, respectively.</w:t>
      </w:r>
    </w:p>
    <w:p>
      <w:pPr>
        <w:spacing w:after="0" w:line="11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 There were no accounting pronouncements issued during the nine months ended September 30, 2024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have a material impact on the condensed consolidated financial statements.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Sterling Check Corp.</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28, 2024, we entered into an Agreement and Plan of Merger (the “Merger Agreement”), by and among First Advantage, Sterling Check Corp., a Delaware corporation (“Sterling”), and Starter Merger Sub, Inc., a Delaware corporation and an indirect, wholly owned subsidiary of First Advantage (“Merger Sub”).</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October 31, 2024, following the satisfaction or waiver of the applicable closing conditions, including receipt of the requisite regulatory approvals, First Advantage completed its acquisition of Sterling, pursuant to the Merger Agreement. Under the terms of the Merger Agreement, Merger Sub merged with and into Sterling, with Sterling continuing as the surviving corporation in such merger and becoming an indirect, wholly owned subsidiary of First Advantage. The Sterling stockholders received approximately $1,224.6 million in cash and 27.15 million shares of First Advantage common stock with a fair value of $507.7 million. The transaction extends First Advantage’s high-quality and cost-effective background screening, identity, and verification technology solutions for the benefit of both companies' customers across industry verticals and geographies. The cash-and-stock transaction values Sterling at approximately $2.2 billion and was financed through cash on hand and the issuance of new debt and common stock as described in Note 6, “Long-term Debt”.</w:t>
      </w:r>
    </w:p>
    <w:p>
      <w:pPr>
        <w:spacing w:after="0" w:line="192"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18"/>
          <w:szCs w:val="18"/>
          <w:color w:val="auto"/>
        </w:rPr>
        <w:t xml:space="preserve">Due to the limited amount of time since closing the transaction, the preliminary allocation of the purchase price is not yet complete. The initial purchase price allocation will be provided within our Annual Report on Form 10-K for fiscal year ended December 31, 2024, and we expect most of the purchase price will be allocated to goodwill and other identifiable intangible assets. The acquisition will be accounted for in accordance with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and Sterling’s results of operations will be consolidated in the Company’s financial statements effective November 1, 2024. Acquisition-related costs through October 31, 2024 were approximately $48.9 million and expensed as incurred.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September 1, 2023, the Company acquired 100% of the equity interest of a digital identity and biometrics solutions company headquartered in New York, for $41.0 million. The acquired company operates under the trade name Infinite ID. The acquisition expanded the Company’s network and portfolio of identity solutions in the United States. The Company determined that the acquired company constitutes a business and the Company was deemed to be the acquirer under ASC 805. The Company recorded a preliminary allocation of the purchase price to assets acquired and liabilities assumed based on their estimated fair values as of September 1, 2023. The allocation was finalized as of June 30, 2024 with an immaterial adjustment recorded related to the valuation of deferred taxes.</w:t>
      </w:r>
    </w:p>
    <w:p>
      <w:pPr>
        <w:spacing w:after="0" w:line="13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is based on the fair value of assets acquired and liabilities assumed as of the acquisition date. The following table summarizes the consideration paid and the amounts recognized for the assets acquired and liabilities assumed (in thousands):</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purchase price</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41,000</w:t>
            </w:r>
          </w:p>
        </w:tc>
      </w:tr>
      <w:tr>
        <w:trPr>
          <w:trHeight w:val="243"/>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transaction adjustments</w:t>
            </w:r>
          </w:p>
        </w:tc>
        <w:tc>
          <w:tcPr>
            <w:tcW w:w="6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fair value of consideration transferred</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41,097</w:t>
            </w:r>
          </w:p>
        </w:tc>
      </w:tr>
      <w:tr>
        <w:trPr>
          <w:trHeight w:val="239"/>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1,335</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including software developed for internal use</w:t>
            </w:r>
          </w:p>
        </w:tc>
        <w:tc>
          <w:tcPr>
            <w:tcW w:w="6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5,959</w:t>
            </w:r>
          </w:p>
        </w:tc>
      </w:tr>
      <w:tr>
        <w:trPr>
          <w:trHeight w:val="247"/>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6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3,800</w:t>
            </w:r>
          </w:p>
        </w:tc>
      </w:tr>
      <w:tr>
        <w:trPr>
          <w:trHeight w:val="247"/>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2,400</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r>
      <w:tr>
        <w:trPr>
          <w:trHeight w:val="243"/>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(1,084 )</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14,946</w:t>
            </w:r>
          </w:p>
        </w:tc>
      </w:tr>
      <w:tr>
        <w:trPr>
          <w:trHeight w:val="276"/>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26,151</w:t>
            </w:r>
          </w:p>
        </w:tc>
      </w:tr>
    </w:tbl>
    <w:p>
      <w:pPr>
        <w:spacing w:after="0" w:line="14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Goodwill recognized is not expected to be deductible for tax purposes. Results of operations have been included in the condensed consolidated financial statements of the Company’s Americas segment since the date of acquisition. The acquisition is not material to the Company’s financial position as of September 30, 2024 or results of operations for the three and nine months ended September 30, 2024, and therefore, pro forma operating results and other disclosures for the acquisition are not presented.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as of September 30, 2024 and December 31, 2023 consisted of the following (in thousands):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27,616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26,576</w:t>
            </w:r>
          </w:p>
        </w:tc>
      </w:tr>
      <w:tr>
        <w:trPr>
          <w:trHeight w:val="23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for internal use, acquired by business combination</w:t>
            </w:r>
          </w:p>
        </w:tc>
        <w:tc>
          <w:tcPr>
            <w:tcW w:w="120" w:type="dxa"/>
            <w:vAlign w:val="bottom"/>
          </w:tcPr>
          <w:p>
            <w:pPr>
              <w:spacing w:after="0"/>
              <w:rPr>
                <w:sz w:val="20"/>
                <w:szCs w:val="20"/>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232,434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232,505</w:t>
            </w:r>
          </w:p>
        </w:tc>
      </w:tr>
      <w:tr>
        <w:trPr>
          <w:trHeight w:val="247"/>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 for internal use, developed internally or otherwise purchased</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107,994</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86,704</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2,275</w:t>
            </w:r>
          </w:p>
        </w:tc>
      </w:tr>
      <w:tr>
        <w:trPr>
          <w:trHeight w:val="23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370,860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348,060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(315,457 )</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(268,619 )</w:t>
            </w:r>
          </w:p>
        </w:tc>
      </w:tr>
      <w:tr>
        <w:trPr>
          <w:trHeight w:val="277"/>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55,403</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79,441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of property and equipment was approximately $15.9 million and $16.9 million for the three months ended September 30, 2024 and 2023, respectively. Depreciation and amortization expense of property and equipment was approximately $47.1 million and $50.0 million for the nine months ended September 30, 2024 and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Trade Names, Customer Lists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nine months ended September 30, 2024 by reportable segment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2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703,797</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116,857</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820,654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initial purchase price allocations</w:t>
            </w: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1,991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Balance – September 30, 2024</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703,315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118,962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822,277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-959485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-959485</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135" w:gutter="0" w:footer="0" w:header="0"/>
        </w:sectPr>
      </w:pPr>
    </w:p>
    <w:bookmarkStart w:id="11" w:name="page12"/>
    <w:bookmarkEnd w:id="11"/>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summarizes the gross carrying value and accumulated amortization for the Company’s trade names, customer lists, and other intangible assets as of September 30, 2024 and December 31, 2023 (in thousands):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31"/>
        </w:trPr>
        <w:tc>
          <w:tcPr>
            <w:tcW w:w="5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100" w:type="dxa"/>
            <w:vAlign w:val="bottom"/>
            <w:gridSpan w:val="2"/>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434"/>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87"/>
        </w:trPr>
        <w:tc>
          <w:tcPr>
            <w:tcW w:w="5280" w:type="dxa"/>
            <w:vAlign w:val="bottom"/>
          </w:tcPr>
          <w:p>
            <w:pPr>
              <w:spacing w:after="0"/>
              <w:rPr>
                <w:sz w:val="16"/>
                <w:szCs w:val="16"/>
                <w:color w:val="auto"/>
              </w:rPr>
            </w:pPr>
          </w:p>
        </w:tc>
        <w:tc>
          <w:tcPr>
            <w:tcW w:w="1160" w:type="dxa"/>
            <w:vAlign w:val="bottom"/>
            <w:tcBorders>
              <w:bottom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6"/>
                <w:szCs w:val="16"/>
                <w:color w:val="auto"/>
              </w:rPr>
            </w:pPr>
          </w:p>
        </w:tc>
        <w:tc>
          <w:tcPr>
            <w:tcW w:w="110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3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96,505</w:t>
            </w:r>
          </w:p>
        </w:tc>
        <w:tc>
          <w:tcPr>
            <w:tcW w:w="34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(35,515 )</w:t>
            </w: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60,990</w:t>
            </w:r>
          </w:p>
        </w:tc>
        <w:tc>
          <w:tcPr>
            <w:tcW w:w="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years</w:t>
            </w: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22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521,117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(282,296 )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238,821</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 years</w:t>
            </w:r>
          </w:p>
        </w:tc>
      </w:tr>
      <w:tr>
        <w:trPr>
          <w:trHeight w:val="24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1,898</w:t>
            </w:r>
          </w:p>
        </w:tc>
        <w:tc>
          <w:tcPr>
            <w:tcW w:w="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7"/>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620,022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(318,313 )</w:t>
            </w:r>
          </w:p>
        </w:tc>
        <w:tc>
          <w:tcPr>
            <w:tcW w:w="1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301,709</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34"/>
        </w:trPr>
        <w:tc>
          <w:tcPr>
            <w:tcW w:w="5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31"/>
        </w:trPr>
        <w:tc>
          <w:tcPr>
            <w:tcW w:w="5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100" w:type="dxa"/>
            <w:vAlign w:val="bottom"/>
            <w:gridSpan w:val="2"/>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434"/>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87"/>
        </w:trPr>
        <w:tc>
          <w:tcPr>
            <w:tcW w:w="5280" w:type="dxa"/>
            <w:vAlign w:val="bottom"/>
          </w:tcPr>
          <w:p>
            <w:pPr>
              <w:spacing w:after="0"/>
              <w:rPr>
                <w:sz w:val="16"/>
                <w:szCs w:val="16"/>
                <w:color w:val="auto"/>
              </w:rPr>
            </w:pPr>
          </w:p>
        </w:tc>
        <w:tc>
          <w:tcPr>
            <w:tcW w:w="1160" w:type="dxa"/>
            <w:vAlign w:val="bottom"/>
            <w:tcBorders>
              <w:bottom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6"/>
                <w:szCs w:val="16"/>
                <w:color w:val="auto"/>
              </w:rPr>
            </w:pPr>
          </w:p>
        </w:tc>
        <w:tc>
          <w:tcPr>
            <w:tcW w:w="110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3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96,321</w:t>
            </w:r>
          </w:p>
        </w:tc>
        <w:tc>
          <w:tcPr>
            <w:tcW w:w="34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(30,092 )</w:t>
            </w:r>
          </w:p>
        </w:tc>
        <w:tc>
          <w:tcPr>
            <w:tcW w:w="3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66,229</w:t>
            </w:r>
          </w:p>
        </w:tc>
        <w:tc>
          <w:tcPr>
            <w:tcW w:w="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years</w:t>
            </w: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22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520,105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(244,577 )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275,528</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 years</w:t>
            </w:r>
          </w:p>
        </w:tc>
      </w:tr>
      <w:tr>
        <w:trPr>
          <w:trHeight w:val="24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7"/>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618,826</w:t>
            </w:r>
          </w:p>
        </w:tc>
        <w:tc>
          <w:tcPr>
            <w:tcW w:w="3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(274,812 )</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344,014</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-1414145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-1414145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-1414145</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-187960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-187960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of trade names, customer lists, and other intangible assets was approximately $14.3 million and $15.5 million for the three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2024 and 2023, respectively. Amortization expense of trade names, customer lists, and other intangible assets was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$42.8 million and $46.3 million for the nine months ended September 30, 2024 and 2023, respectively. Trade names and customer lists are amortized on 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basis based upon their estimated useful life. Other intangible assets are amortized on a straight-line or accelerated basis over their expected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useful life of five years.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Long-term Debt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debt obligation approximated its book value as of September 30, 2024 and December 31, 2023 and consisted of the following (in thousands):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Credit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564,724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564,724</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(4,880 )</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(6,268 )</w:t>
            </w:r>
          </w:p>
        </w:tc>
      </w:tr>
      <w:tr>
        <w:trPr>
          <w:trHeight w:val="276"/>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559,844</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558,456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-25400</wp:posOffset>
            </wp:positionV>
            <wp:extent cx="1028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1028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First Advantage Holdings, LLC, an indirect wholly-owned subsidiary of the Company, is a party to a First Lien Credit Agreement (as amended, “Credit Agreement”), which provides for a term loan of $766.6 million due January 31, 2027, carrying an interest rate of 2.75% to 3.00%, based on the first lien ratio, plus LIBOR (“First Lien Credit Facility”) and a $100.0 million revolving credit facility due July 31, 2026 (“Revolver”). Pursuant to an amendment in June 2023, the reference rate under the Credit Agreement was transitioned from LIBOR (the London Interbank Offer Rate) to SOFR (the Secured Overnight Financing Rate as administered by the Federal Reserve Bank of New York), with the addition of an applicable margin. The Credit Agreement is collateralized by substantially all assets and capital stock owned by direct and indirect domestic subsidiaries and are governed by certain restrictive covenants including limitations on indebtedness, liens, and other corporate actions such as investments and acquisitions. In the event the Company’s outstanding indebtedness under the Revolver exceeds 35% of the aggregate principal amount of the revolving commitments then in effect, it is required to maintain a consolidated first lien leverage ratio no greater than 7.75 to 1.00. As of September 30, 2024, there were no outstanding borrowings under the Revolver and $564.7 million outstanding under the First Lien Credit Facility. As the Company had no outstanding amounts under the Revolver, it was not subject to the consolidated first lien leverage ratio covenant. The Company was compliant with all other covenants under the agreement as of September 30, 2024.</w:t>
      </w:r>
    </w:p>
    <w:p>
      <w:pPr>
        <w:spacing w:after="0" w:line="13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Sterling, on October 31, 2024, the Company refinanced its existing First Lien Credit Agreement and all related Sterling debt (the “2024 First Lien Credit Agreement”). The 2024 First Lien Credit Agreement provides for a term loan of $2.185 billion due October 31, 2031, carrying an interest rate of 3.00% to 3.25%, based on the first lien ratio, plus SOFR (“Amended First Lien Credit Facility”) and a $250.0 million revolving credit facility due October 31, 2029 (“Amended Revolver”). Similar to the Company’s existing debt, the 2024 First Lien Credit Agreement is collateralized by substantially all assets and capital stock owned by direct and indirect domestic subsidiaries and are governed by certain restrictive covenants including limitations on indebtedness, liens, and other corporate actions such as investments and acquisitions. In the event the Company’s outstanding indebtedness under the Amended Revolver exceeds 40% of the aggregate principal amount of the revolving commitments then in effect, it is required to maintain a consolidated first lien leverage ratio no greater than 7.75 to 1.00.</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7. Derivatives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 reduce exposure to variability in expected future cash outflows on variable rate debt attributable to the changes in one-month LIBOR, the Company has historically entered into interest rate derivative instruments to economically offset a portion of this risk and may do so in the future. In June 2023, the Company transitioned the reference rate for its interest rate derivative agreements from one-month LIBOR to one-month SOFR.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Company had the following outstanding derivatives that were not designated as a hedge in qualifying hedging relationships: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2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2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r>
      <w:tr>
        <w:trPr>
          <w:trHeight w:val="237"/>
        </w:trPr>
        <w:tc>
          <w:tcPr>
            <w:tcW w:w="2580" w:type="dxa"/>
            <w:vAlign w:val="bottom"/>
            <w:shd w:val="clear" w:color="auto" w:fill="CFF0FC"/>
          </w:tcPr>
          <w:p>
            <w:pPr>
              <w:jc w:val="center"/>
              <w:spacing w:after="0" w:line="236" w:lineRule="exact"/>
              <w:rPr>
                <w:sz w:val="20"/>
                <w:szCs w:val="20"/>
                <w:color w:val="auto"/>
              </w:rPr>
            </w:pPr>
            <w:r>
              <w:rPr>
                <w:rFonts w:ascii="Times New Roman" w:cs="Times New Roman" w:eastAsia="Times New Roman" w:hAnsi="Times New Roman"/>
                <w:sz w:val="18"/>
                <w:szCs w:val="18"/>
                <w:color w:val="auto"/>
                <w:w w:val="98"/>
              </w:rPr>
              <w:t>Interest rate swap</w:t>
            </w:r>
            <w:r>
              <w:rPr>
                <w:rFonts w:ascii="Times New Roman" w:cs="Times New Roman" w:eastAsia="Times New Roman" w:hAnsi="Times New Roman"/>
                <w:sz w:val="24"/>
                <w:szCs w:val="24"/>
                <w:color w:val="auto"/>
                <w:w w:val="98"/>
                <w:vertAlign w:val="superscript"/>
              </w:rPr>
              <w:t>(a)</w:t>
            </w:r>
          </w:p>
        </w:tc>
        <w:tc>
          <w:tcPr>
            <w:tcW w:w="120" w:type="dxa"/>
            <w:vAlign w:val="bottom"/>
            <w:shd w:val="clear" w:color="auto" w:fill="CFF0FC"/>
          </w:tcPr>
          <w:p>
            <w:pPr>
              <w:spacing w:after="0"/>
              <w:rPr>
                <w:sz w:val="20"/>
                <w:szCs w:val="20"/>
                <w:color w:val="auto"/>
              </w:rPr>
            </w:pP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c>
          <w:tcPr>
            <w:tcW w:w="12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28, 2026</w:t>
            </w:r>
          </w:p>
        </w:tc>
        <w:tc>
          <w:tcPr>
            <w:tcW w:w="120" w:type="dxa"/>
            <w:vAlign w:val="bottom"/>
            <w:shd w:val="clear" w:color="auto" w:fill="CFF0FC"/>
          </w:tcPr>
          <w:p>
            <w:pPr>
              <w:spacing w:after="0"/>
              <w:rPr>
                <w:sz w:val="20"/>
                <w:szCs w:val="20"/>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$100.0 million</w:t>
            </w:r>
          </w:p>
        </w:tc>
        <w:tc>
          <w:tcPr>
            <w:tcW w:w="14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4.32%</w:t>
            </w:r>
          </w:p>
        </w:tc>
      </w:tr>
      <w:tr>
        <w:trPr>
          <w:trHeight w:val="239"/>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12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29, 2023</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1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 million</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3.86%</w:t>
            </w:r>
          </w:p>
        </w:tc>
      </w:tr>
      <w:tr>
        <w:trPr>
          <w:trHeight w:val="247"/>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120" w:type="dxa"/>
            <w:vAlign w:val="bottom"/>
            <w:shd w:val="clear" w:color="auto" w:fill="CFF0FC"/>
          </w:tcPr>
          <w:p>
            <w:pPr>
              <w:spacing w:after="0"/>
              <w:rPr>
                <w:sz w:val="21"/>
                <w:szCs w:val="21"/>
                <w:color w:val="auto"/>
              </w:rPr>
            </w:pP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1, 2024</w:t>
            </w:r>
          </w:p>
        </w:tc>
        <w:tc>
          <w:tcPr>
            <w:tcW w:w="120" w:type="dxa"/>
            <w:vAlign w:val="bottom"/>
            <w:shd w:val="clear" w:color="auto" w:fill="CFF0FC"/>
          </w:tcPr>
          <w:p>
            <w:pPr>
              <w:spacing w:after="0"/>
              <w:rPr>
                <w:sz w:val="21"/>
                <w:szCs w:val="21"/>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120" w:type="dxa"/>
            <w:vAlign w:val="bottom"/>
            <w:shd w:val="clear" w:color="auto" w:fill="CFF0FC"/>
          </w:tcPr>
          <w:p>
            <w:pPr>
              <w:spacing w:after="0"/>
              <w:rPr>
                <w:sz w:val="21"/>
                <w:szCs w:val="21"/>
                <w:color w:val="auto"/>
              </w:rPr>
            </w:pPr>
          </w:p>
        </w:tc>
        <w:tc>
          <w:tcPr>
            <w:tcW w:w="1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$150.0 million</w:t>
            </w:r>
          </w:p>
        </w:tc>
        <w:tc>
          <w:tcPr>
            <w:tcW w:w="14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3.76%</w:t>
            </w:r>
          </w:p>
        </w:tc>
      </w:tr>
      <w:tr>
        <w:trPr>
          <w:trHeight w:val="234"/>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12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31, 2024</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1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$160.0 million</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3.72%</w:t>
            </w:r>
          </w:p>
        </w:tc>
      </w:tr>
    </w:tbl>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 In conjunction with the June 2023 transition of the reference rate from LIBOR to SOFR, the fixed rate was reduced from 4.36% to 4.32%.</w:t>
      </w:r>
    </w:p>
    <w:p>
      <w:pPr>
        <w:spacing w:after="0" w:line="15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Derivatives not designated as hedges are not speculative and are used to manage the Company’s exposure to interest rate movements; however, the Company has not elected to apply hedge accounting for these instruments.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location and fair value of the financial positions recorded related to the derivative instruments (in thousands):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jc w:val="right"/>
              <w:ind w:right="741"/>
              <w:spacing w:after="0" w:line="131" w:lineRule="exact"/>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Pr>
          <w:p>
            <w:pPr>
              <w:jc w:val="right"/>
              <w:ind w:right="739"/>
              <w:spacing w:after="0" w:line="131"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87"/>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00" w:type="dxa"/>
            <w:vAlign w:val="bottom"/>
          </w:tcPr>
          <w:p>
            <w:pPr>
              <w:spacing w:after="0"/>
              <w:rPr>
                <w:sz w:val="16"/>
                <w:szCs w:val="16"/>
                <w:color w:val="auto"/>
              </w:rPr>
            </w:pPr>
          </w:p>
        </w:tc>
        <w:tc>
          <w:tcPr>
            <w:tcW w:w="3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7"/>
        </w:trPr>
        <w:tc>
          <w:tcPr>
            <w:tcW w:w="2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collars</w:t>
            </w:r>
          </w:p>
        </w:tc>
        <w:tc>
          <w:tcPr>
            <w:tcW w:w="100" w:type="dxa"/>
            <w:vAlign w:val="bottom"/>
            <w:shd w:val="clear" w:color="auto" w:fill="CFF0FC"/>
          </w:tcPr>
          <w:p>
            <w:pPr>
              <w:spacing w:after="0"/>
              <w:rPr>
                <w:sz w:val="20"/>
                <w:szCs w:val="20"/>
                <w:color w:val="auto"/>
              </w:rPr>
            </w:pPr>
          </w:p>
        </w:tc>
        <w:tc>
          <w:tcPr>
            <w:tcW w:w="38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Prepaid expenses and other current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34"/>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swaps</w:t>
            </w:r>
          </w:p>
        </w:tc>
        <w:tc>
          <w:tcPr>
            <w:tcW w:w="100" w:type="dxa"/>
            <w:vAlign w:val="bottom"/>
          </w:tcPr>
          <w:p>
            <w:pPr>
              <w:spacing w:after="0"/>
              <w:rPr>
                <w:sz w:val="20"/>
                <w:szCs w:val="20"/>
                <w:color w:val="auto"/>
              </w:rPr>
            </w:pPr>
          </w:p>
        </w:tc>
        <w:tc>
          <w:tcPr>
            <w:tcW w:w="3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4,984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location and amount of gains recorded related to the derivative instruments (in thousands):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31"/>
        </w:trPr>
        <w:tc>
          <w:tcPr>
            <w:tcW w:w="1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7"/>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20" w:type="dxa"/>
            <w:vAlign w:val="bottom"/>
          </w:tcPr>
          <w:p>
            <w:pPr>
              <w:spacing w:after="0"/>
              <w:rPr>
                <w:sz w:val="16"/>
                <w:szCs w:val="16"/>
                <w:color w:val="auto"/>
              </w:rPr>
            </w:pPr>
          </w:p>
        </w:tc>
        <w:tc>
          <w:tcPr>
            <w:tcW w:w="2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collars</w:t>
            </w:r>
          </w:p>
        </w:tc>
        <w:tc>
          <w:tcPr>
            <w:tcW w:w="12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Interest expense,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951</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swaps</w:t>
            </w:r>
          </w:p>
        </w:tc>
        <w:tc>
          <w:tcPr>
            <w:tcW w:w="120" w:type="dxa"/>
            <w:vAlign w:val="bottom"/>
          </w:tcPr>
          <w:p>
            <w:pPr>
              <w:spacing w:after="0"/>
              <w:rPr>
                <w:sz w:val="20"/>
                <w:szCs w:val="20"/>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Interest expense,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857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expense and balance sheet accounts reflect the results of the Company and its subsidiaries.</w:t>
      </w:r>
    </w:p>
    <w:p>
      <w:pPr>
        <w:spacing w:after="0" w:line="16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740-270,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at the end of each interim period, the Company is required to determine the best estimate of its annual effective tax rate and then apply that rate in providing for income taxes on an interim period. However, in certain circumstances where the Company is unable to make a reliable estimate of the annual effective tax rate, ASC 740-270 allows the actual effective tax rate for the interim period to be used. As of September 30, 2024, the Company calculated its effective rate and applied that rate to the results for the three and nine months ended September 30, 2024. The Company used this approach because it was unable to reasonably estimate its annual effective rate due to the variability of the rate as a result of small changes in forecasted income and fluctuations in annual pre-tax income and loss between quarters.</w:t>
      </w:r>
    </w:p>
    <w:p>
      <w:pPr>
        <w:spacing w:after="0" w:line="13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three and nine months ended September 30, 2024 was (9.7)% and (0.8)%, respectively. The Company’s effective income tax rate for the three and nine months ended September 30, 2024 was lower than the U.S. federal statutory rate of 21% primarily due to a jurisdictional mix of earnings with the Company recording significant Sterling acquisition expenses in the U.S., nondeductible share-based compensation, and U.S. state income taxes.</w:t>
      </w:r>
    </w:p>
    <w:p>
      <w:pPr>
        <w:spacing w:after="0" w:line="12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three and nine months ended September 30, 2023 was 31.2% and 29.8%, respectively. The Company’s effective income tax rate for the three and nine months ended September 30, 2023 was higher than the U.S. federal statutory rate of 21%, primarily due to nondeductible share-based compensation, the Global Intangible Low-Taxed Income (“GILTI”) inclusion, and U.S. state income taxes.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9. Revenues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w:t>
      </w:r>
    </w:p>
    <w:p>
      <w:pPr>
        <w:spacing w:after="0" w:line="1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considers negotiated and anticipated incentives and estimated adjustments, including historical collections experience, when recording revenues.</w:t>
      </w:r>
    </w:p>
    <w:p>
      <w:pPr>
        <w:spacing w:after="0" w:line="10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Contract balances are generated when the revenues recognized in a given period varies from billing. A contract asset is created when the Company performs a service for a customer and recognizes more revenues than what has been billed. The contract asset balance was $8.3 million and $4.8 million as of September 30, 2024 and December 31, 2023, respectively, and is included in accounts receivable, net in the accompanying condensed consolidated balance sheets.</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contract liability is created when the Company transfers a good or service to a customer and recognizes less than what has been billed. The Company recognizes these contract liabilities as deferred revenues when the Company has an obligation to perform services for a customer in the future and has already received consideration from the customer. The contract liability balance was $2.5 million and $1.9 million as of September 30, 2024 and December 31, 2023, respectively, and is included in deferred revenues in the accompanying condensed consolidated balance sheets. An immaterial amount of revenues was recognized in the current period related to the beginning balance of deferred revenues.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disclosures about the disaggregation of our revenues, see Note 15, “Reportable Segments.”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Share-based Compensation</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is recognized in cost of services, product and technology expense, and selling, general, and administrative expense, in the accompanying condensed consolidated statements of operations and comprehensive (loss) income as follows (in thousands):</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23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340" w:type="dxa"/>
            <w:vAlign w:val="bottom"/>
            <w:tcBorders>
              <w:bottom w:val="single" w:sz="8" w:color="auto"/>
            </w:tcBorders>
            <w:gridSpan w:val="5"/>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330</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1,181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918</w:t>
            </w: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1,665</w:t>
            </w:r>
          </w:p>
        </w:tc>
      </w:tr>
      <w:tr>
        <w:trPr>
          <w:trHeight w:val="243"/>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8,387</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16,082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7,866</w:t>
            </w:r>
          </w:p>
        </w:tc>
      </w:tr>
      <w:tr>
        <w:trPr>
          <w:trHeight w:val="27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9,504</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19,303</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10,449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Prior to the Company’s Initial Public Offering (“IPO”), all share-based awards were issued by Fastball Holdco, L.P., the Company’s previous parent company, under individual grant agreements and the partnership agreement of such parent company (collectively, the “2020 Equity Plan”). In connection with the IPO, the Company adopted the 2021 Omnibus Incentive Plan (as amended by the First Amendment, dated as of May 10, 2023, the “2021 Equity Plan”).</w:t>
      </w:r>
    </w:p>
    <w:p>
      <w:pPr>
        <w:spacing w:after="0" w:line="126"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In May 2023, the Company’s Board of Directors approved a modification of the vesting terms of outstanding unvested and unearned performance-based options, restricted stock units, and restricted stock (collectively, “Performance Awards”) previously issued under its equity plans. The modification, effective May 10, 2023, allowed for unvested and unearned Performance Awards outstanding as of the date of the modification, to vest based on time on the fourth, fifth, and sixth anniversaries of the relevant vesting commencement date, as set forth in each grant agreement (the “Vesting Commencement Date”), while preserving the eligibility to vest upon the Company’s investors receiving a targeted money-on-money return, subject to continued service.</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Company’s declaration of a one-time special dividend in August 2023, the exercise price of outstanding stock option awards and stock purchases under the Company’s employee stock purchase plan (“ESPP”) was reduced by $1.50, in accordance with the non-discretionary anti-dilution provisions of the equity and stock purchase plans.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ind w:right="340"/>
        <w:spacing w:after="0" w:line="261" w:lineRule="auto"/>
        <w:rPr>
          <w:sz w:val="20"/>
          <w:szCs w:val="20"/>
          <w:color w:val="auto"/>
        </w:rPr>
      </w:pPr>
      <w:r>
        <w:rPr>
          <w:rFonts w:ascii="Times New Roman" w:cs="Times New Roman" w:eastAsia="Times New Roman" w:hAnsi="Times New Roman"/>
          <w:sz w:val="18"/>
          <w:szCs w:val="18"/>
          <w:color w:val="auto"/>
        </w:rPr>
        <w:t>In August 2024 and September 2024, the Company modified the equity award agreements for its Chief Financial Officer and President, Americas, respectively, as part of each executive’s retirement agreement. The modifications allowed for accelerated vesting of certain unvested equity awards that would have otherwise been forfeited at retirement and modified certain provisions of the outstanding stock option agreements. As a result of the modifications, the related awards were revalued, resulting in an incremental $4.2 million of compensation expense to be recognized in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issued under the 2020 Equity Plan consist of options and profit interests. No awards have been issued under the plan since the Company’s IPO.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for the nine months ended September 30, 2024 is as follows:</w:t>
      </w:r>
    </w:p>
    <w:p>
      <w:pPr>
        <w:spacing w:after="0" w:line="166"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140" w:type="dxa"/>
            <w:vAlign w:val="bottom"/>
          </w:tcPr>
          <w:p>
            <w:pPr>
              <w:jc w:val="right"/>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37"/>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3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Grants outstanding</w:t>
            </w: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1,915,252</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Grants 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(156,107 )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Borders>
              <w:bottom w:val="single" w:sz="8" w:color="CFF0FC"/>
            </w:tcBorders>
            <w:shd w:val="clear" w:color="auto" w:fill="CFF0FC"/>
          </w:tcPr>
          <w:p>
            <w:pPr>
              <w:spacing w:after="0"/>
              <w:rPr>
                <w:sz w:val="21"/>
                <w:szCs w:val="21"/>
                <w:color w:val="auto"/>
              </w:rPr>
            </w:pPr>
          </w:p>
        </w:tc>
        <w:tc>
          <w:tcPr>
            <w:tcW w:w="32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Grants cancelled/forfeited</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(16,978 )</w:t>
            </w:r>
          </w:p>
        </w:tc>
        <w:tc>
          <w:tcPr>
            <w:tcW w:w="2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Grants outstanding</w:t>
            </w: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1,742,167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Years</w:t>
            </w:r>
          </w:p>
        </w:tc>
        <w:tc>
          <w:tcPr>
            <w:tcW w:w="120" w:type="dxa"/>
            <w:vAlign w:val="bottom"/>
          </w:tcPr>
          <w:p>
            <w:pPr>
              <w:spacing w:after="0"/>
              <w:rPr>
                <w:sz w:val="20"/>
                <w:szCs w:val="20"/>
                <w:color w:val="auto"/>
              </w:rPr>
            </w:pP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$25.6 million</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3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Grants vested</w:t>
            </w: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726,095</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 Years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8"/>
              </w:rPr>
              <w:t>$10.7 million</w:t>
            </w:r>
          </w:p>
        </w:tc>
        <w:tc>
          <w:tcPr>
            <w:tcW w:w="0" w:type="dxa"/>
            <w:vAlign w:val="bottom"/>
          </w:tcPr>
          <w:p>
            <w:pPr>
              <w:spacing w:after="0"/>
              <w:rPr>
                <w:sz w:val="1"/>
                <w:szCs w:val="1"/>
                <w:color w:val="auto"/>
              </w:rPr>
            </w:pPr>
          </w:p>
        </w:tc>
      </w:tr>
      <w:tr>
        <w:trPr>
          <w:trHeight w:val="234"/>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3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Grants unvested</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1,016,072</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-490855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Plan</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restricted stock units, and other equity-based or cash-based awards as determined by the Company’s Compensation Committee. The 2021 Equity Plan initially had a total of 17,525,000 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of Directors. As of September 30, 2024, 19,896,715 shares were available for issuance under the 2021 Equity Plan.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for the nine months ended September 30, 2024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30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36"/>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3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Grants outstanding</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4,686,659</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Grants issued</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307,136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660" w:type="dxa"/>
            <w:vAlign w:val="bottom"/>
            <w:shd w:val="clear" w:color="auto" w:fill="CFF0FC"/>
          </w:tcPr>
          <w:p>
            <w:pPr>
              <w:spacing w:after="0"/>
              <w:rPr>
                <w:sz w:val="21"/>
                <w:szCs w:val="21"/>
                <w:color w:val="auto"/>
              </w:rPr>
            </w:pPr>
          </w:p>
        </w:tc>
        <w:tc>
          <w:tcPr>
            <w:tcW w:w="3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Grants exercised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(252,784 )</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Grants cancelled/forfeited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(94,323 )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34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Grants outstanding</w:t>
            </w: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4,646,688</w:t>
            </w:r>
          </w:p>
        </w:tc>
        <w:tc>
          <w:tcPr>
            <w:tcW w:w="2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5"/>
              </w:rPr>
              <w:t>7.0 Years</w:t>
            </w:r>
          </w:p>
        </w:tc>
        <w:tc>
          <w:tcPr>
            <w:tcW w:w="1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8"/>
              </w:rPr>
              <w:t>$27.8 million</w:t>
            </w:r>
          </w:p>
        </w:tc>
        <w:tc>
          <w:tcPr>
            <w:tcW w:w="0" w:type="dxa"/>
            <w:vAlign w:val="bottom"/>
          </w:tcPr>
          <w:p>
            <w:pPr>
              <w:spacing w:after="0"/>
              <w:rPr>
                <w:sz w:val="1"/>
                <w:szCs w:val="1"/>
                <w:color w:val="auto"/>
              </w:rPr>
            </w:pPr>
          </w:p>
        </w:tc>
      </w:tr>
      <w:tr>
        <w:trPr>
          <w:trHeight w:val="219"/>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Grants vested</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2,159,459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Pr>
          <w:p>
            <w:pPr>
              <w:spacing w:after="0"/>
              <w:rPr>
                <w:sz w:val="19"/>
                <w:szCs w:val="19"/>
                <w:color w:val="auto"/>
              </w:rPr>
            </w:pPr>
          </w:p>
        </w:tc>
        <w:tc>
          <w:tcPr>
            <w:tcW w:w="11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6.9 Years</w:t>
            </w:r>
          </w:p>
        </w:tc>
        <w:tc>
          <w:tcPr>
            <w:tcW w:w="100" w:type="dxa"/>
            <w:vAlign w:val="bottom"/>
          </w:tcPr>
          <w:p>
            <w:pPr>
              <w:spacing w:after="0"/>
              <w:rPr>
                <w:sz w:val="19"/>
                <w:szCs w:val="19"/>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$13.2 million</w:t>
            </w:r>
          </w:p>
        </w:tc>
        <w:tc>
          <w:tcPr>
            <w:tcW w:w="0" w:type="dxa"/>
            <w:vAlign w:val="bottom"/>
          </w:tcPr>
          <w:p>
            <w:pPr>
              <w:spacing w:after="0"/>
              <w:rPr>
                <w:sz w:val="1"/>
                <w:szCs w:val="1"/>
                <w:color w:val="auto"/>
              </w:rPr>
            </w:pPr>
          </w:p>
        </w:tc>
      </w:tr>
      <w:tr>
        <w:trPr>
          <w:trHeight w:val="247"/>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3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Grants unvested</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2,487,229</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-334010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-316865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fair value for stock options granted for the nine months ended September 30, 2024 was estimated at the date of grant using the Black-Scholes option-pricing model with the following weighted average assumptions: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20" w:type="dxa"/>
            <w:vAlign w:val="bottom"/>
          </w:tcPr>
          <w:p>
            <w:pPr>
              <w:spacing w:after="0"/>
              <w:rPr>
                <w:sz w:val="16"/>
                <w:szCs w:val="16"/>
                <w:color w:val="auto"/>
              </w:rPr>
            </w:pPr>
          </w:p>
        </w:tc>
      </w:tr>
      <w:tr>
        <w:trPr>
          <w:trHeight w:val="228"/>
        </w:trPr>
        <w:tc>
          <w:tcPr>
            <w:tcW w:w="11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35.09 %</w:t>
            </w:r>
          </w:p>
        </w:tc>
      </w:tr>
      <w:tr>
        <w:trPr>
          <w:trHeight w:val="245"/>
        </w:trPr>
        <w:tc>
          <w:tcPr>
            <w:tcW w:w="1140" w:type="dxa"/>
            <w:vAlign w:val="bottom"/>
          </w:tcPr>
          <w:p>
            <w:pPr>
              <w:spacing w:after="0"/>
              <w:rPr>
                <w:sz w:val="21"/>
                <w:szCs w:val="21"/>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9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3.88 %</w:t>
            </w:r>
          </w:p>
        </w:tc>
      </w:tr>
      <w:tr>
        <w:trPr>
          <w:trHeight w:val="250"/>
        </w:trPr>
        <w:tc>
          <w:tcPr>
            <w:tcW w:w="1140" w:type="dxa"/>
            <w:vAlign w:val="bottom"/>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8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6.25</w:t>
            </w:r>
          </w:p>
        </w:tc>
        <w:tc>
          <w:tcPr>
            <w:tcW w:w="1120" w:type="dxa"/>
            <w:vAlign w:val="bottom"/>
          </w:tcPr>
          <w:p>
            <w:pPr>
              <w:spacing w:after="0"/>
              <w:rPr>
                <w:sz w:val="21"/>
                <w:szCs w:val="21"/>
                <w:color w:val="auto"/>
              </w:rPr>
            </w:pPr>
          </w:p>
        </w:tc>
      </w:tr>
      <w:tr>
        <w:trPr>
          <w:trHeight w:val="234"/>
        </w:trPr>
        <w:tc>
          <w:tcPr>
            <w:tcW w:w="11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Fair-value of the underlying unit</w:t>
            </w:r>
          </w:p>
        </w:tc>
        <w:tc>
          <w:tcPr>
            <w:tcW w:w="3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17.55</w:t>
            </w:r>
          </w:p>
        </w:tc>
        <w:tc>
          <w:tcPr>
            <w:tcW w:w="1120" w:type="dxa"/>
            <w:vAlign w:val="bottom"/>
          </w:tcPr>
          <w:p>
            <w:pPr>
              <w:spacing w:after="0"/>
              <w:rPr>
                <w:sz w:val="20"/>
                <w:szCs w:val="20"/>
                <w:color w:val="auto"/>
              </w:rPr>
            </w:pPr>
          </w:p>
        </w:tc>
      </w:tr>
      <w:tr>
        <w:trPr>
          <w:trHeight w:val="441"/>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26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-1388110</wp:posOffset>
            </wp:positionV>
            <wp:extent cx="570039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stock units (“RSU”) activity for the nine months ended September 30, 2024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220" w:type="dxa"/>
            <w:vAlign w:val="bottom"/>
            <w:gridSpan w:val="2"/>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Nonvested RSUs</w:t>
            </w: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507,143</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39"/>
        </w:trPr>
        <w:tc>
          <w:tcPr>
            <w:tcW w:w="1680" w:type="dxa"/>
            <w:vAlign w:val="bottom"/>
          </w:tcPr>
          <w:p>
            <w:pPr>
              <w:spacing w:after="0"/>
              <w:rPr>
                <w:sz w:val="20"/>
                <w:szCs w:val="20"/>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287,383</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47"/>
        </w:trPr>
        <w:tc>
          <w:tcPr>
            <w:tcW w:w="1680" w:type="dxa"/>
            <w:vAlign w:val="bottom"/>
            <w:shd w:val="clear" w:color="auto" w:fill="CFF0FC"/>
          </w:tcPr>
          <w:p>
            <w:pPr>
              <w:spacing w:after="0"/>
              <w:rPr>
                <w:sz w:val="21"/>
                <w:szCs w:val="21"/>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(145,241 )</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43"/>
        </w:trPr>
        <w:tc>
          <w:tcPr>
            <w:tcW w:w="1680" w:type="dxa"/>
            <w:vAlign w:val="bottom"/>
          </w:tcPr>
          <w:p>
            <w:pPr>
              <w:spacing w:after="0"/>
              <w:rPr>
                <w:sz w:val="21"/>
                <w:szCs w:val="21"/>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(56,387 )</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77"/>
        </w:trPr>
        <w:tc>
          <w:tcPr>
            <w:tcW w:w="1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57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Nonvested RSUs</w:t>
            </w:r>
          </w:p>
        </w:tc>
        <w:tc>
          <w:tcPr>
            <w:tcW w:w="13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592,898</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stock activity for the nine months ended September 30, 2024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2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220" w:type="dxa"/>
            <w:vAlign w:val="bottom"/>
            <w:gridSpan w:val="2"/>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7"/>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5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13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1,954,630</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43"/>
        </w:trPr>
        <w:tc>
          <w:tcPr>
            <w:tcW w:w="1680" w:type="dxa"/>
            <w:vAlign w:val="bottom"/>
          </w:tcPr>
          <w:p>
            <w:pPr>
              <w:spacing w:after="0"/>
              <w:rPr>
                <w:sz w:val="21"/>
                <w:szCs w:val="21"/>
                <w:color w:val="auto"/>
              </w:rPr>
            </w:pPr>
          </w:p>
        </w:tc>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(586,927 )</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77"/>
        </w:trPr>
        <w:tc>
          <w:tcPr>
            <w:tcW w:w="1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57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13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1,367,703</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approximately $29.4 million of unrecognized pre-tax non-cash compensation expense, comprised of approximately $8.5 million related to restricted stock, $8.1 million related to RSUs, and approximately $12.8 million related to stock options, which the Company expects to recognize over a weighted average period of 0.9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adopted the ESPP, which allows eligible employees to voluntarily make after-tax contributions of up to 15% of such employee’s cash compensation to acquire Company stock during designated offering periods. Each offering period consists of one six-month purchase period. During the holding period, ESPP purchased shares are not eligible for sale or broker transfer. The Company recorded an associated expense of approximately $0.2 million for both the three months ended September 30, 2024 and 2023. The Company recorded an associated expense of approximately $0.5 million and $0.7 million for the nine months ended September 30, 2024 and 2023,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250,000,000 shares of Preferred Stock were authorized, and no Preferred Stock was issued or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did not repurchase any shares of common stock during the nine months ended September 30, 2024. As of September 30, 2024, the remaining authorized value of shares available to be repurchased under the Repurchase Program was approximately $80.5 million. In connection with the execution of the Merger Agreement, the Company suspended purchases under its Repurchase Program</w:t>
      </w:r>
      <w:r>
        <w:rPr>
          <w:rFonts w:ascii="Times New Roman" w:cs="Times New Roman" w:eastAsia="Times New Roman" w:hAnsi="Times New Roman"/>
          <w:sz w:val="18"/>
          <w:szCs w:val="18"/>
          <w:color w:val="FF0000"/>
        </w:rPr>
        <w: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Company’s contractual obligations as compared to December 31, 2023.</w:t>
      </w:r>
    </w:p>
    <w:p>
      <w:pPr>
        <w:spacing w:after="0" w:line="17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from time to time in the ordinary course of business. At times, the Company, given the nature of its background screening business, could become subject to lawsuits, or potential class action lawsuits, in multiple jurisdictions, related to claims brought primarily by consumers or individuals who were the subject of its screening services.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all pending matters, the Company believes it has meritorious defenses and intends to defend vigorously or otherwise seek indemnification from other parties as appropriate. However, the Company has recorded a liability of $4.3 million and $5.2 million as of September 30, 2024 and December 31, 2023, respectively, for matters that it believes a loss is both probable and estimable. This is included in accrued liabilities in the accompanying condensed consolidated balance sheets.</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will continue to evaluate information as it becomes known and will record an estimate for losses at the time when it is both probable that a loss has been incurred and the amount of the loss is reasonably estimable.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material related party transactions for the nine months ended September 30,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Income Per Share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Basic weighted-average shares outstanding excludes nonvested restricted stock.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The potentially dilutive securities outstanding during the three and nine months ended September 30, 2024, had an anti-dilutive effect and were therefore not included in the calculation of diluted net (loss) income per share. Basic and diluted net (loss) income per share was calculated as follows:</w:t>
      </w:r>
    </w:p>
    <w:p>
      <w:pPr>
        <w:spacing w:after="0" w:line="13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3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(in thousands)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(8,860 )</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10,773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22,480</w:t>
            </w: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0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144,096,312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143,231,707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143,851,357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144,392,463</w:t>
            </w: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stock options to purchase shares and restricted stock</w:t>
            </w:r>
          </w:p>
        </w:tc>
        <w:tc>
          <w:tcPr>
            <w:tcW w:w="200" w:type="dxa"/>
            <w:vAlign w:val="bottom"/>
            <w:shd w:val="clear" w:color="auto" w:fill="CFF0FC"/>
          </w:tcPr>
          <w:p>
            <w:pPr>
              <w:spacing w:after="0"/>
              <w:rPr>
                <w:sz w:val="18"/>
                <w:szCs w:val="18"/>
                <w:color w:val="auto"/>
              </w:rPr>
            </w:pPr>
          </w:p>
        </w:tc>
        <w:tc>
          <w:tcPr>
            <w:tcW w:w="118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1,501,650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2,000,533</w:t>
            </w:r>
          </w:p>
        </w:tc>
        <w:tc>
          <w:tcPr>
            <w:tcW w:w="0" w:type="dxa"/>
            <w:vAlign w:val="bottom"/>
          </w:tcPr>
          <w:p>
            <w:pPr>
              <w:spacing w:after="0"/>
              <w:rPr>
                <w:sz w:val="1"/>
                <w:szCs w:val="1"/>
                <w:color w:val="auto"/>
              </w:rPr>
            </w:pPr>
          </w:p>
        </w:tc>
      </w:tr>
      <w:tr>
        <w:trPr>
          <w:trHeight w:val="234"/>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units</w:t>
            </w:r>
          </w:p>
        </w:tc>
        <w:tc>
          <w:tcPr>
            <w:tcW w:w="2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144,096,312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144,733,357</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143,851,357</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146,392,996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-187960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-187960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and 2023, 3,312,675 and 4,739,037 stock options and RSUs were excluded from the calculation of diluted net (loss) income per share, respectively, because their effect was anti-dilutive. For the nine months ended September 30, 2024 and 2023, 3,244,309 and 4,754,689 stock options and RSUs were excluded from the calculation of diluted net (loss) income per share, respectively, because their effect was anti-dilutive.</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15. Reportable Segments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two reportable segments, Americas and International. Our chief operating decision maker (“CODM”) uses the profit measure of Adjusted EBITDA, on both a consolidated and a segment basis, to allocate resources and assess performance of our businesses. We use Adjusted EBITDA as our profit measure because it eliminates the impact of certain items that we do not consider indicative of operating performance, which is useful to compare operating results between periods. Our CODM also uses Adjusted EBITDA as a compensation measure for both segment and corporate management under our incentive compensation plans. Adjusted EBITDA is also a measure frequently used by securities analysts, investors, and other interested parties in their evaluation of the operating performance of companies similar to ours.</w:t>
      </w:r>
    </w:p>
    <w:p>
      <w:pPr>
        <w:spacing w:after="0" w:line="1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define Adjusted EBITDA as net (loss)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segment financial information below aligns with how we report information to our CODM to assess operating performance and how the Company manages the business. Corporate costs are generally allocated to the segments based upon estimated revenue levels and other assumptions that management considers reasonable. The CODM does not review the Company’s assets by segment; therefore, such information is not presented. The accounting policies of the segments are the same as described in Note 2, “Summary of Significant Accounting Policies” and Note 9, “Revenues.”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our two reportable segments:</w:t>
      </w:r>
    </w:p>
    <w:p>
      <w:pPr>
        <w:spacing w:after="0" w:line="167" w:lineRule="exact"/>
        <w:rPr>
          <w:sz w:val="20"/>
          <w:szCs w:val="20"/>
          <w:color w:val="auto"/>
        </w:rPr>
      </w:pPr>
    </w:p>
    <w:p>
      <w:pPr>
        <w:ind w:left="5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Americas. </w:t>
      </w:r>
      <w:r>
        <w:rPr>
          <w:rFonts w:ascii="Times New Roman" w:cs="Times New Roman" w:eastAsia="Times New Roman" w:hAnsi="Times New Roman"/>
          <w:sz w:val="18"/>
          <w:szCs w:val="18"/>
          <w:color w:val="auto"/>
        </w:rPr>
        <w:t>This segment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industry verticals in the United States, Canada, and Latin America.</w:t>
      </w:r>
    </w:p>
    <w:p>
      <w:pPr>
        <w:spacing w:after="0" w:line="68" w:lineRule="exact"/>
        <w:rPr>
          <w:sz w:val="20"/>
          <w:szCs w:val="20"/>
          <w:color w:val="auto"/>
        </w:rPr>
      </w:pPr>
    </w:p>
    <w:p>
      <w:pPr>
        <w:ind w:left="5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color w:val="auto"/>
        </w:rPr>
        <w:t>The International segment provides services similar to our Americas segment in regions outside of the Americas. We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 our solutions across multiple industry verticals in the Europe, India, and Asia Pacific.</w:t>
      </w:r>
    </w:p>
    <w:p>
      <w:pPr>
        <w:spacing w:after="0" w:line="10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reconciliation of Segment Adjusted EBITDA to net (loss) income for the three and nine months ended September 30, 2024 and 2023 is as follows (in thousands):</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r>
      <w:tr>
        <w:trPr>
          <w:trHeight w:val="239"/>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58,637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60,188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153,900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157,168</w:t>
            </w:r>
          </w:p>
        </w:tc>
      </w:tr>
      <w:tr>
        <w:trPr>
          <w:trHeight w:val="247"/>
        </w:trPr>
        <w:tc>
          <w:tcPr>
            <w:tcW w:w="44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4,603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12,465</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12,154</w:t>
            </w:r>
          </w:p>
        </w:tc>
      </w:tr>
      <w:tr>
        <w:trPr>
          <w:trHeight w:val="23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64,046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64,791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166,365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169,322</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to net (loss) income:</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9"/>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17,191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28,114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20,125</w:t>
            </w:r>
          </w:p>
        </w:tc>
      </w:tr>
      <w:tr>
        <w:trPr>
          <w:trHeight w:val="247"/>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4,881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9,530</w:t>
            </w:r>
          </w:p>
        </w:tc>
      </w:tr>
      <w:tr>
        <w:trPr>
          <w:trHeight w:val="239"/>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30,168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32,419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89,968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96,341</w:t>
            </w:r>
          </w:p>
        </w:tc>
      </w:tr>
      <w:tr>
        <w:trPr>
          <w:trHeight w:val="247"/>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9,504</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19,303</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10,449</w:t>
            </w:r>
          </w:p>
        </w:tc>
      </w:tr>
      <w:tr>
        <w:trPr>
          <w:trHeight w:val="243"/>
        </w:trPr>
        <w:tc>
          <w:tcPr>
            <w:tcW w:w="4460" w:type="dxa"/>
            <w:vAlign w:val="bottom"/>
          </w:tcPr>
          <w:p>
            <w:pPr>
              <w:ind w:left="100"/>
              <w:spacing w:after="0" w:line="243"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(a)</w:t>
            </w: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35,083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3,832</w:t>
            </w:r>
          </w:p>
        </w:tc>
      </w:tr>
      <w:tr>
        <w:trPr>
          <w:trHeight w:val="243"/>
        </w:trPr>
        <w:tc>
          <w:tcPr>
            <w:tcW w:w="4460" w:type="dxa"/>
            <w:vAlign w:val="bottom"/>
            <w:tcBorders>
              <w:bottom w:val="single" w:sz="8" w:color="CFF0FC"/>
            </w:tcBorders>
            <w:shd w:val="clear" w:color="auto" w:fill="CFF0FC"/>
          </w:tcPr>
          <w:p>
            <w:pPr>
              <w:ind w:left="100"/>
              <w:spacing w:after="0" w:line="243"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(b)</w:t>
            </w: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6,565</w:t>
            </w:r>
          </w:p>
        </w:tc>
      </w:tr>
      <w:tr>
        <w:trPr>
          <w:trHeight w:val="23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(8,860 )</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10,773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(9,907 )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22,480</w:t>
            </w:r>
          </w:p>
        </w:tc>
      </w:tr>
      <w:tr>
        <w:trPr>
          <w:trHeight w:val="20"/>
        </w:trPr>
        <w:tc>
          <w:tcPr>
            <w:tcW w:w="4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-1430655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-1430655</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-1430655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-187960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-187960</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-187960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5" w:lineRule="exact"/>
        <w:rPr>
          <w:sz w:val="20"/>
          <w:szCs w:val="20"/>
          <w:color w:val="auto"/>
        </w:rPr>
      </w:pPr>
    </w:p>
    <w:p>
      <w:pPr>
        <w:ind w:left="820" w:right="580" w:hanging="213"/>
        <w:spacing w:after="0" w:line="227" w:lineRule="auto"/>
        <w:tabs>
          <w:tab w:leader="none" w:pos="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Transaction and acquisition related charges for the three and nine months ended September 30, 2024 include approximately $13.2 million and $33.5 million of expense, respectively, associated with the acquisition of Sterling, primarily consisting of legal, regulatory, and diligence professional service fees. The three and nine months ended September 30, 2024 and 2023 also include insurance costs incurred related to the initial public offering.</w:t>
      </w:r>
    </w:p>
    <w:p>
      <w:pPr>
        <w:ind w:left="820" w:right="880" w:hanging="213"/>
        <w:spacing w:after="0" w:line="239" w:lineRule="auto"/>
        <w:tabs>
          <w:tab w:leader="none" w:pos="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(gains) losses on the sale of assets, and other non-recurring items.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categorizes revenues by geographic region in which the revenues and invoicing are recorded. Other than the United States, no single country accounted for 10% or more of our total revenues during these periods.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revenues by geographical region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3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340" w:type="dxa"/>
            <w:vAlign w:val="bottom"/>
            <w:tcBorders>
              <w:bottom w:val="single" w:sz="8" w:color="auto"/>
            </w:tcBorders>
            <w:gridSpan w:val="6"/>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80" w:type="dxa"/>
            <w:vAlign w:val="bottom"/>
          </w:tcPr>
          <w:p>
            <w:pPr>
              <w:spacing w:after="0"/>
              <w:rPr>
                <w:sz w:val="20"/>
                <w:szCs w:val="20"/>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174,905</w:t>
            </w:r>
          </w:p>
        </w:tc>
        <w:tc>
          <w:tcPr>
            <w:tcW w:w="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176,046</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486,410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490,784</w:t>
            </w:r>
          </w:p>
        </w:tc>
      </w:tr>
      <w:tr>
        <w:trPr>
          <w:trHeight w:val="247"/>
        </w:trPr>
        <w:tc>
          <w:tcPr>
            <w:tcW w:w="580" w:type="dxa"/>
            <w:vAlign w:val="bottom"/>
          </w:tcPr>
          <w:p>
            <w:pPr>
              <w:spacing w:after="0"/>
              <w:rPr>
                <w:sz w:val="21"/>
                <w:szCs w:val="21"/>
                <w:color w:val="auto"/>
              </w:rPr>
            </w:pPr>
          </w:p>
        </w:tc>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26,624</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25,805</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72,834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74,766</w:t>
            </w:r>
          </w:p>
        </w:tc>
      </w:tr>
      <w:tr>
        <w:trPr>
          <w:trHeight w:val="239"/>
        </w:trPr>
        <w:tc>
          <w:tcPr>
            <w:tcW w:w="58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Eliminations</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(2,410 )</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(1,487 )</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(6,163 )</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(4,351 )</w:t>
            </w:r>
          </w:p>
        </w:tc>
      </w:tr>
      <w:tr>
        <w:trPr>
          <w:trHeight w:val="277"/>
        </w:trPr>
        <w:tc>
          <w:tcPr>
            <w:tcW w:w="580" w:type="dxa"/>
            <w:vAlign w:val="bottom"/>
          </w:tcPr>
          <w:p>
            <w:pPr>
              <w:spacing w:after="0"/>
              <w:rPr>
                <w:sz w:val="24"/>
                <w:szCs w:val="24"/>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199,119</w:t>
            </w:r>
          </w:p>
        </w:tc>
        <w:tc>
          <w:tcPr>
            <w:tcW w:w="10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200,364</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553,081</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561,199</w:t>
            </w:r>
          </w:p>
        </w:tc>
      </w:tr>
      <w:tr>
        <w:trPr>
          <w:trHeight w:val="363"/>
        </w:trPr>
        <w:tc>
          <w:tcPr>
            <w:tcW w:w="6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sets forth net long-lived assets by geographic area (in thousands):</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7"/>
        </w:trPr>
        <w:tc>
          <w:tcPr>
            <w:tcW w:w="5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580" w:type="dxa"/>
            <w:vAlign w:val="bottom"/>
          </w:tcPr>
          <w:p>
            <w:pPr>
              <w:spacing w:after="0"/>
              <w:rPr>
                <w:sz w:val="20"/>
                <w:szCs w:val="20"/>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Long-lived assets, net</w:t>
            </w:r>
          </w:p>
        </w:tc>
        <w:tc>
          <w:tcPr>
            <w:tcW w:w="3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country of domicile</w:t>
            </w:r>
          </w:p>
        </w:tc>
        <w:tc>
          <w:tcPr>
            <w:tcW w:w="3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1,021,330</w:t>
            </w:r>
          </w:p>
        </w:tc>
        <w:tc>
          <w:tcPr>
            <w:tcW w:w="8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1,083,318</w:t>
            </w:r>
          </w:p>
        </w:tc>
      </w:tr>
      <w:tr>
        <w:trPr>
          <w:trHeight w:val="247"/>
        </w:trPr>
        <w:tc>
          <w:tcPr>
            <w:tcW w:w="580" w:type="dxa"/>
            <w:vAlign w:val="bottom"/>
          </w:tcPr>
          <w:p>
            <w:pPr>
              <w:spacing w:after="0"/>
              <w:rPr>
                <w:sz w:val="21"/>
                <w:szCs w:val="21"/>
                <w:color w:val="auto"/>
              </w:rPr>
            </w:pPr>
          </w:p>
        </w:tc>
        <w:tc>
          <w:tcPr>
            <w:tcW w:w="5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All other countries</w:t>
            </w:r>
          </w:p>
        </w:tc>
        <w:tc>
          <w:tcPr>
            <w:tcW w:w="3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163,393</w:t>
            </w:r>
          </w:p>
        </w:tc>
        <w:tc>
          <w:tcPr>
            <w:tcW w:w="18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168,068</w:t>
            </w:r>
          </w:p>
        </w:tc>
      </w:tr>
      <w:tr>
        <w:trPr>
          <w:trHeight w:val="237"/>
        </w:trPr>
        <w:tc>
          <w:tcPr>
            <w:tcW w:w="5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long-lived assets, net</w:t>
            </w:r>
          </w:p>
        </w:tc>
        <w:tc>
          <w:tcPr>
            <w:tcW w:w="3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1,184,723</w:t>
            </w:r>
          </w:p>
        </w:tc>
        <w:tc>
          <w:tcPr>
            <w:tcW w:w="8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1,251,386</w:t>
            </w:r>
          </w:p>
        </w:tc>
      </w:tr>
      <w:tr>
        <w:trPr>
          <w:trHeight w:val="20"/>
        </w:trPr>
        <w:tc>
          <w:tcPr>
            <w:tcW w:w="5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-1139825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-1122045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-1139825</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-1122045</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-1139825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-1122045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-187960</wp:posOffset>
            </wp:positionV>
            <wp:extent cx="1200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refinancing of the First Lien Credit Facility as part of the acquisition of Sterling, the Company will record the related accounting in the fourth quarter of 2024. Additionally, in connection with the acquisition of Sterling, the Company entered into separation agreements with certain Sterling executives. The Company will incur incremental compensation expense related to separation payments and accelerated vesting of certain equity awards in the fourth quarter of 2024.</w:t>
      </w:r>
    </w:p>
    <w:p>
      <w:pPr>
        <w:spacing w:after="0" w:line="180" w:lineRule="exact"/>
        <w:rPr>
          <w:sz w:val="20"/>
          <w:szCs w:val="20"/>
          <w:color w:val="auto"/>
        </w:rPr>
      </w:pPr>
    </w:p>
    <w:p>
      <w:pPr>
        <w:jc w:val="both"/>
        <w:ind w:right="300"/>
        <w:spacing w:after="0" w:line="257" w:lineRule="auto"/>
        <w:rPr>
          <w:sz w:val="20"/>
          <w:szCs w:val="20"/>
          <w:color w:val="auto"/>
        </w:rPr>
      </w:pPr>
      <w:r>
        <w:rPr>
          <w:rFonts w:ascii="Times New Roman" w:cs="Times New Roman" w:eastAsia="Times New Roman" w:hAnsi="Times New Roman"/>
          <w:sz w:val="18"/>
          <w:szCs w:val="18"/>
          <w:color w:val="auto"/>
        </w:rPr>
        <w:t>On November 4, 2024, the Company entered into an interest rate swap agreement with a notional amount of $275.0 million. The interest rate swap will hedge a portion of the floating one-month SOFR rate on the Company’s 2024 First Lien Credit Agreement with a fixed rate of 3.94%. The interest rate swap agreement is effective as of October 31, 2024 and matures on October 31, 2027.</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First Advantage Corporation’s financial condition and results of operations is provided as a supplement to the condensed consolidated financial statements for the three and nine months ended September 30, 2024, and should be read in conjunction with the audited consolidated financial statements for the year ended December 31, 2023, our “Risk Factors,” and “Management’s Discussion and Analysis of Financial Condition and Results of Operations” included in the Company’s Annual Report on Form 10-K for the year ended December 31, 2023. All discussions and information in this Quarterly Report on Form 10-Q regarding our business and financial results relate solely to our operations prior to the acquisition of Sterling, unless otherwise indicated.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spacing w:after="0" w:line="13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various risks, uncertainties, assumptions, or changes in circumstances that are difficult to predict or quantify. Such risks and uncertainties include, but are not limited to, the following: the failure to realize the expected benefits of our acquisition of Sterling, negative changes in external events beyond our control, including our customers’ onboarding volumes, economic drivers which are sensitive to macroeconomic cycles, such as interest rate volatility and inflation, geopolitical unrest, uncertainty in financial markets; our operations in a highly regulated industry and the fact that we are subject to numerous and evolving laws and regulations, including with respect to personal data, data security, and artificial intelligence; inability to identify and successfully implement our growth strategies on a timely basis or at all; potential harm to our business, brand, and reputation as a result of security breaches, cyber-attacks, or the mishandling of personal data; operating in a penetrated and competitive market; our reliance on third-party data providers; due to the sensitive and privacy-driven nature of our products and solutions, we could face liability and legal or regulatory proceedings, which could be costly and time-consuming to defend and may not be fully covered by insurance; our international business exposes us to a number of risks; real or perceived errors, failures, or bugs in our products could adversely affect our business, results of operations, financial condition, and growth prospects; our ability to identify attractive targets or successfully complete such transactions; the timing, manner and volume of repurchases of common stock pursuant to our share repurchase program; failure to comply with anti-corruption laws and regulations; disruptions at our Global Operating Center and other operating centers; our contracts with our customers, which do not guarantee exclusivity or contracted volumes; disruptions, outages, or other errors with our technology and network infrastructure, including our data centers, servers, and third-party cloud and internet providers and our migration to the cloud; the continued integration of our platforms and solutions with human resource providers such as applicant tracking systems and human capital management systems as well as our relationships with such human resource providers; risks relating to public opinion, which may be magnified by incidents or adverse publicity concerning our industry or operations; our reliance on third-party vendors to carry out certain portions of our operations; our dependence on the service of our key executive and other employees, and our ability to find and retain qualified employees; our ability to obtain, maintain, protect and enforce our intellectual property and other proprietary information; our ability to maintain, protect, and enforce the confidentiality of our trade secrets; the use of open-source software in our applications; the indemnification provisions in our contracts with our customers and third-party data suppliers; seasonality in our operations from quarter to quarter; our indebtedness could adversely affect our ability to raise additional capital to fund our operations, limit our ability to react to changes in the economy or our industry, and prevent us from meeting our obligations; Silver Lake’s control of us and the potential conflict of its interest with ours or those of our stockholders; and changing interpretations of tax laws.</w:t>
      </w:r>
    </w:p>
    <w:p>
      <w:pPr>
        <w:spacing w:after="0" w:line="15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For additional information on these and other factors that could cause First Advantage’s actual results to differ materially from expected results, please see our Annual Report on Form 10-K for the year ended December 31, 2023, filed with the Securities and Exchange Commission (the “SEC”), as such factors may be updated from time to time in our periodic filings with the SEC, which are accessible on the SEC’s website at www.sec.gov. The forward-looking statements included in this Quarterly Report on Form 10-Q speak only as of the date of this Form 10-Q, and we undertake no obligation to publicly update or review any forward-looking statement, whether as a result of new information, future developments, or otherwise, except as required by law.</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Glossary of Selected Terminology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are used in this Form 10-Q, unless otherwise noted or indicated by the context:</w:t>
      </w:r>
    </w:p>
    <w:p>
      <w:pPr>
        <w:spacing w:after="0" w:line="171" w:lineRule="exact"/>
        <w:rPr>
          <w:sz w:val="20"/>
          <w:szCs w:val="20"/>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 regards to our business, means the United States, Canada, and Latin America;</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Advantage,” the “Company,” “we,” “us,” and “our” mean the business of First Advantage Corporation and its subsidiaries;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in regards to our business, means all geographical regions outside of the United States, Canada, and Latin America;</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attributable to the Company’s acquisitions” means revenues recognized in the first year following each acquisition; and</w:t>
      </w:r>
    </w:p>
    <w:p>
      <w:pPr>
        <w:spacing w:after="0" w:line="171"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Lake” means Silver Lake Group, L.L.C., together with its affiliates, successors, and assignees.</w:t>
      </w:r>
    </w:p>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consolidated financial statements included elsewhere in this Quarterly Report on Form 10-Q. Certain other amounts that appear in this Quarterly Report on Form 10-Q may not sum due to rounding.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“Email Alerts” section of our investor website at https://investors.fadv.com/. The contents of our websites and social media channels are not, however, a part of this Quarterly Report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First Advantage is a leading global provider of employment background screening, identity, and verification solutions. Enabled by its proprietary technology, First Advantage delivers innovative services and insights that help customers mitigate risk and hire the best talent: employees, contractors, contingent workers, tenants, and drivers.</w:t>
      </w:r>
    </w:p>
    <w:p>
      <w:pPr>
        <w:spacing w:after="0" w:line="12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comprehensive product suite includes criminal background checks, drug / health screening, extended workforce screening, biometrics and identity, education / work verifications, resident screening, fleet / driver compliance, executive screening, data analytics, continuous monitoring, social media monitoring, and hiring tax incentives. We derive a substantial majority of our revenues from pre-onboarding screening and perform screens in over 200 countries and territories, enabling us to serve as a one-stop-shop provider to both multinational companies and growth companies. Our more than 30,000 customers are global enterprises, mid-sized companies, and small companies, and our products and solutions are used by personnel in recruiting, human resources, risk, compliance, vendor management, safety, and/or security.</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products are sold both individually and packaged. The First Advantage platform offers flexibility for customers to specify which products to include in their screening package, such as Social Security numbers, criminal records, education and work verifications, sex offender registry, and global sanctions. Generally, our customers order a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both customers and periods. Pricing can also vary considerably by customer depending on the product mix in their screening packages, order volumes, screening requirements and preferences, and pass-through and third-party out of pocket costs.</w:t>
      </w: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1" w:name="page22"/>
    <w:bookmarkEnd w:id="21"/>
    <w:p>
      <w:pPr>
        <w:spacing w:after="0" w:line="256" w:lineRule="auto"/>
        <w:rPr>
          <w:sz w:val="20"/>
          <w:szCs w:val="20"/>
          <w:color w:val="auto"/>
        </w:rPr>
      </w:pPr>
      <w:r>
        <w:rPr>
          <w:rFonts w:ascii="Times New Roman" w:cs="Times New Roman" w:eastAsia="Times New Roman" w:hAnsi="Times New Roman"/>
          <w:sz w:val="18"/>
          <w:szCs w:val="18"/>
          <w:color w:val="auto"/>
        </w:rPr>
        <w:t>We enter into contracts with our customers that are typically three years in length. These contracts set forth the general terms and pricing of our products and solutions but generally do not include minimum order volumes or committed order volumes. Accordingly, contracts do not provide guarantees of future revenues. Due to our contract terms and the nature of the background screening industry, we determined our contract terms for ASC 606 purposes are less than one year. We typically bill our customers at the end of each month and recognize revenues as completed orders are reported or otherwise made available to our customers. Approximately 90% of our criminal searches performed in the United States in 2023 were completed the same day they were submitted.</w:t>
      </w:r>
    </w:p>
    <w:p>
      <w:pPr>
        <w:spacing w:after="0" w:line="133"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We generated revenues of $199.1 million for the three months ended September 30, 2024, as compared to $200.4 million for the three months ended September 30, 2023 and generated revenues of $553.1 million for the nine months ended September 30, 2024, as compared to $561.2 million for the nine months ended September 30, 2023. Approximately 87% of our revenues for the nine months ended September 30, 2024 was generated in the Americas, predominantly in the United States, while the remaining 13% was generated internationally. Other than the United States, no single country accounted for 10% or more of our total revenues for the three and nine months ended September 30, 2024. Please refer to “Results of Operations” for further details.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manage our business and report our financial results in two reportable segments, Americas and International:</w:t>
      </w:r>
    </w:p>
    <w:p>
      <w:pPr>
        <w:spacing w:after="0" w:line="167" w:lineRule="exact"/>
        <w:rPr>
          <w:sz w:val="20"/>
          <w:szCs w:val="20"/>
          <w:color w:val="auto"/>
        </w:rPr>
      </w:pPr>
    </w:p>
    <w:p>
      <w:pPr>
        <w:ind w:left="740" w:right="40" w:hanging="223"/>
        <w:spacing w:after="0" w:line="26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Americas. </w:t>
      </w:r>
      <w:r>
        <w:rPr>
          <w:rFonts w:ascii="Times New Roman" w:cs="Times New Roman" w:eastAsia="Times New Roman" w:hAnsi="Times New Roman"/>
          <w:sz w:val="18"/>
          <w:szCs w:val="18"/>
          <w:color w:val="auto"/>
        </w:rPr>
        <w:t>This segment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industry verticals in the United States, Canada, and Latin America.</w:t>
      </w:r>
    </w:p>
    <w:p>
      <w:pPr>
        <w:spacing w:after="0" w:line="68" w:lineRule="exact"/>
        <w:rPr>
          <w:rFonts w:ascii="Times New Roman" w:cs="Times New Roman" w:eastAsia="Times New Roman" w:hAnsi="Times New Roman"/>
          <w:sz w:val="18"/>
          <w:szCs w:val="18"/>
          <w:color w:val="auto"/>
        </w:rPr>
      </w:pPr>
    </w:p>
    <w:p>
      <w:pPr>
        <w:ind w:left="740" w:right="280" w:hanging="223"/>
        <w:spacing w:after="0" w:line="286"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color w:val="auto"/>
        </w:rPr>
        <w:t>The International segment provides services similar to our Americas segment in regions outside of the Americas. We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 our solutions across multiple industry verticals in the Europe, India, and Asia Pacific.</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experience seasonality with respect to certain industries due to fluctuations in hiring volumes and other economic activity. For example, pre-onboarding revenues generated from our customers in the retail and transportation industries are historically highest during the months of October and November, leading up to the U.S. holiday season and lowest in December and at the beginning of the new year, following the U.S. holiday hiring season. Certain customers across various industries also historically increase their hiring throughout the second quarter of the year as winter concludes, commercial activity tied to outdoor activities increases, and the school year ends, giving rise to student and graduate hiring. We expect that further growth in e-commerce, the continued digital transformation of the economy, and other economic forces may impact future seasonality, but we are unable to predict these potential shifts and how our business may be impacted.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Sterling Check Corp.</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February 28, 2024, we entered into an Agreement and Plan of Merger (the “Merger Agreement”), by and among First Advantage, Sterling Check Corp., a Delaware corporation (“Sterling”), and Starter Merger Sub, Inc., a Delaware corporation and an indirect, wholly owned subsidiary of First Advantage (“Merger Sub”).</w:t>
      </w:r>
    </w:p>
    <w:p>
      <w:pPr>
        <w:spacing w:after="0" w:line="12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October 31, 2024, following the satisfaction or waiver of the applicable closing conditions, including receipt of the requisite regulatory approvals, First Advantage completed its acquisition of Sterling, pursuant to the Merger Agreement. Under the terms of the Merger Agreement, Merger Sub, merged with and into Sterling, with Sterling continuing as the surviving corporation in such merger and becoming an indirect, wholly owned subsidiary of First Advantage. The Sterling stockholders received approximately $1,224.6 million in cash and 27.15 million shares of First Advantage common stock with a fair value of $507.7 million. We believe the transaction extends First Advantage’s high-quality and cost-effective background screening, identity, and verification technology solutions for the benefit of both companies' customers across industry verticals and geographies. The cash-and-stock transaction values Sterling at approximately $2.2 billion and was financed through cash on hand and the issuance of new debt and common stock. See Note 6, “Long-term Debt,” to the condensed consolidated financial statements included elsewhere in this Quarterly Report on Form 10-Q for further information.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Economic Conditions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Macroeconomic factors, including inflation, interest rates, consumer spending, variability in hiring activity and job openings, and global economic and geopolitical developments, have negatively impacted significant portions of the global economy, and created volatility in the financial markets.</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If the economic uncertainty is sustained or increases, we may experience a negative impact on new business, customer renewals and demand levels, sales and marketing efforts, revenue growth rates, customer deployments, customer collections, product development, or other financial metrics. Any of these factors could harm our business, financial condition, and operating results.</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Despite the continuing uncertainty associated with these conditions, we are confident in the overall long-term health of our business, the strength of our product offerings, and our ability to continue to execute on our strategy and help our customers hire smarter and onboard faster. Our ability to deliver innovative products and solutions that enhance workplace safety and address compliance risks has contributed to the durability of our financial results. For additional information, see our “Risk Factors” and “Management’s Discussion and Analysis of Financial Condition and Results of Operations” included in the Company’s Annual Report on Form 10-K for the year ended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Company derives revenues from a variety of background screening and adjacent products that cover all phases of the workforce lifecycle from pre-onboarding screening services to post-onboarding and ongoing monitoring services, covering employees, contractors, contingent workers, tenants, and drivers. We generally classify our products and solutions into three major categories: pre-onboarding, post-onboarding, and adjacent products, each of which is enabled by our technology, proprietary internal databases, and data analytics capabilities. Pre-onboarding products, which comprise the substantial majority of our revenues, span an extensive array of products that customers typically utilize to enhance their applicant evaluation process and help ensure compliance with their workforce onboarding criteria from the time an application is submitted to an applicant’s successful onboarding. Post-onboarding products are comprised of continuous monitoring, re-screening, and other solutions to help our customers keep their end customers, workforces, and other stakeholders safer, more productive, and more compliant. Adjacent products include products that complement our pre-onboarding and post-onboarding solutions such as fleet / vehicle compliance, hiring tax credits and incentives, resident / tenant screening, employment eligibility, and investigative research.</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suite of products is available individually or through packaged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 the following expenses related to our cost of revenues and operating expenses:</w:t>
      </w:r>
    </w:p>
    <w:p>
      <w:pPr>
        <w:spacing w:after="0" w:line="169" w:lineRule="exact"/>
        <w:rPr>
          <w:sz w:val="20"/>
          <w:szCs w:val="20"/>
          <w:color w:val="auto"/>
        </w:rPr>
      </w:pPr>
    </w:p>
    <w:p>
      <w:pPr>
        <w:ind w:left="520" w:right="100" w:hanging="227"/>
        <w:spacing w:after="0" w:line="255"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Services (exclusive of depreciation and amortization below)</w:t>
      </w:r>
      <w:r>
        <w:rPr>
          <w:rFonts w:ascii="Times New Roman" w:cs="Times New Roman" w:eastAsia="Times New Roman" w:hAnsi="Times New Roman"/>
          <w:sz w:val="18"/>
          <w:szCs w:val="18"/>
          <w:color w:val="auto"/>
        </w:rPr>
        <w:t>: Consists of amounts paid to third parties for access to government records,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third-party data and services, and our 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spacing w:after="0" w:line="76" w:lineRule="exact"/>
        <w:rPr>
          <w:rFonts w:ascii="Times New Roman" w:cs="Times New Roman" w:eastAsia="Times New Roman" w:hAnsi="Times New Roman"/>
          <w:sz w:val="18"/>
          <w:szCs w:val="18"/>
          <w:color w:val="auto"/>
        </w:rPr>
      </w:pPr>
    </w:p>
    <w:p>
      <w:pPr>
        <w:ind w:left="520" w:hanging="227"/>
        <w:spacing w:after="0" w:line="25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and Technology Expense</w:t>
      </w:r>
      <w:r>
        <w:rPr>
          <w:rFonts w:ascii="Times New Roman" w:cs="Times New Roman" w:eastAsia="Times New Roman" w:hAnsi="Times New Roman"/>
          <w:sz w:val="18"/>
          <w:szCs w:val="18"/>
          <w:color w:val="auto"/>
        </w:rPr>
        <w:t>: Consists of salaries and benefits of personnel involved in the maintenance of our technology and its integrations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These costs are partially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w:t>
      </w:r>
    </w:p>
    <w:p>
      <w:pPr>
        <w:spacing w:after="0" w:line="74" w:lineRule="exact"/>
        <w:rPr>
          <w:rFonts w:ascii="Times New Roman" w:cs="Times New Roman" w:eastAsia="Times New Roman" w:hAnsi="Times New Roman"/>
          <w:sz w:val="18"/>
          <w:szCs w:val="18"/>
          <w:color w:val="auto"/>
        </w:rPr>
      </w:pPr>
    </w:p>
    <w:p>
      <w:pPr>
        <w:ind w:left="520" w:right="220" w:hanging="227"/>
        <w:spacing w:after="0" w:line="255"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Consists of sales, customer success, marketing, and general and administrative expenses.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success, and marketing expenses consist primarily of employee compensation such as salaries, bonuses, sales commissions, share-based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our IPO and our acquisition of Sterling. We expect our selling, general, and administrative expenses to increase in the short-term, primarily as a result of additional public company related reporting and compliance costs. Over the long-term, we expect our selling, general, and administrative expenses to decrease as a percentage of revenues as we leverage our past investments. We do not allocate depreciation and amortization to selling, general, and administrative expenses.</w:t>
      </w:r>
    </w:p>
    <w:p>
      <w:pPr>
        <w:spacing w:after="0" w:line="76" w:lineRule="exact"/>
        <w:rPr>
          <w:rFonts w:ascii="Times New Roman" w:cs="Times New Roman" w:eastAsia="Times New Roman" w:hAnsi="Times New Roman"/>
          <w:sz w:val="18"/>
          <w:szCs w:val="18"/>
          <w:color w:val="auto"/>
        </w:rPr>
      </w:pPr>
    </w:p>
    <w:p>
      <w:pPr>
        <w:ind w:left="520" w:right="20" w:hanging="227"/>
        <w:spacing w:after="0" w:line="267"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w:t>
      </w:r>
      <w:r>
        <w:rPr>
          <w:rFonts w:ascii="Times New Roman" w:cs="Times New Roman" w:eastAsia="Times New Roman" w:hAnsi="Times New Roman"/>
          <w:sz w:val="18"/>
          <w:szCs w:val="18"/>
          <w:color w:val="auto"/>
        </w:rPr>
        <w:t>n: Property and equipment consisting mainly of capitalized software costs, furniture, hardware, and leasehold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are depreciated or amortized and reflected as operating expenses. We also amortize the capitalized costs of finite-life intangible assets acquired in connection with business combinations.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a flexible cost structure that allows our business to adjust quickly to the impacts of macroeconomic events and scale to meet the needs of large new customers. Operating expenses are influenced by the amount of revenues, customer mix, and product mix that contribute to our revenues for any given period. As revenues grow, we would generally expect cost of services to grow in a similar fashion, albeit influenced by the effects of automation, productivity, and other efficiency initiatives as well as customer and product mix shifts and third-party pass-through costs. We regularly review expenses and investments in the context of revenues growth and any shifts we identify in the business in order to align with our overall financial objectives. While we expect operating expenses to increase in absolute dollars to support our continued growth, we believe that, in the long term, operating expenses as a percentage of total revenues will decline gradually in the future as our business grows and our operating efficiency and automation initiatives continue to advance.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other expense, net consists of interest expense, net. Interest expense, net relates primarily to our debt service costs, the interest-related unrealized gains and losses of our interest rate derivative instruments and, to a lesser extent, the interest on our capital lease obligations and the amortization of deferred financing costs. Additionally, interest expense, net includes interest income earnings on our cash and cash equivalent balances held in interest-bearing accounts. We also earn interest income on our short-term investments which are fixed-time deposits having a maturity date within twelve months.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Provision for income taxes consists of domestic and foreign corporate income taxes related to earnings from our sale of services, with statutory tax rates that differ by jurisdiction. Our effective tax rate may be affected by many other factors including changes in tax laws, regulations or rates, new interpretations of existing laws or regulations, shifts in the allocation of income earned throughout the world, and changes in overall levels of income before tax.</w:t>
      </w:r>
    </w:p>
    <w:p>
      <w:pPr>
        <w:spacing w:after="0" w:line="12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740-270,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at the end of each interim period, the Company is required to determine the best estimate of its annual effective tax rate and then apply that rate in providing for income taxes on an interim period. However, in certain circumstances where the Company is unable to make a reliable estimate of the annual effective tax rate, ASC 740-270 allows the actual effective tax rate for the interim period to be used. As of September 30, 2024, the Company calculated its effective rate and applied that rate to the results for the three and nine months ended September 30, 2024. The Company used this approach because it was unable to reasonably estimate its annual effective rate due to the variability of the rate as a result of small changes in forecasted income and fluctuations in annual pre-tax income and loss between quarters.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information contained below should be read in conjunction with our accompanying historical condensed consolidated financial statements and the related notes.</w:t>
      </w:r>
    </w:p>
    <w:p>
      <w:pPr>
        <w:spacing w:after="0" w:line="104"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Comparison of Results of Operations for the three and nine months ended September 30, 2024 compared to the three and nine months ended September 30,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88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199,119</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200,364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553,081</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561,199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services (exclusive of depreciation and amortization</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below)</w:t>
            </w:r>
          </w:p>
        </w:tc>
        <w:tc>
          <w:tcPr>
            <w:tcW w:w="240" w:type="dxa"/>
            <w:vAlign w:val="bottom"/>
          </w:tcPr>
          <w:p>
            <w:pPr>
              <w:spacing w:after="0"/>
              <w:rPr>
                <w:sz w:val="20"/>
                <w:szCs w:val="20"/>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100,879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101,410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280,419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285,468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12,909</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13,107</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39,052</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38,374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tcPr>
          <w:p>
            <w:pPr>
              <w:spacing w:after="0"/>
              <w:rPr>
                <w:sz w:val="20"/>
                <w:szCs w:val="20"/>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46,050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30,217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125,352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88,881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30,168</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32,419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89,968</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96,341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190,006</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177,153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534,791</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509,064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9,113</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23,211</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18,290</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52,135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17,191</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7,557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28,114</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20,125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17,191</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7,557</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28,114</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32,010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4,881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(8,860 )</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10,773</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(9,907 )</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22,480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income margin</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5.4 %</w:t>
            </w:r>
          </w:p>
        </w:tc>
        <w:tc>
          <w:tcPr>
            <w:tcW w:w="24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3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441"/>
        </w:trPr>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-2390775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-2390775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-2390775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-2065020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-2065020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-2065020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-1431290</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-1431290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-1431290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-1113790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-1113790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-1113790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981" w:right="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174,905</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176,046</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486,410</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490,784</w:t>
            </w:r>
          </w:p>
        </w:tc>
      </w:tr>
      <w:tr>
        <w:trPr>
          <w:trHeight w:val="247"/>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26,624</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25,805</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72,834</w:t>
            </w: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74,766</w:t>
            </w:r>
          </w:p>
        </w:tc>
      </w:tr>
      <w:tr>
        <w:trPr>
          <w:trHeight w:val="243"/>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Eliminations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(2,410 )</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(1,487 )</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(6,163 )</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(4,351 )</w:t>
            </w:r>
          </w:p>
        </w:tc>
      </w:tr>
      <w:tr>
        <w:trPr>
          <w:trHeight w:val="27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199,119</w:t>
            </w: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200,364</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553,081</w:t>
            </w: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561,199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-25400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Revenues were $199.1 million for the three months ended September 30, 2024, compared to $200.4 million for the three months ended September 30, 2023. Revenues for the three months ended September 30, 2024 decreased by $1.2 million, or 0.6%, compared to the three months ended September 30, 2023.</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decrease in revenues was primarily due to a net decrease of $9.3 million, or 4.7%, in existing customer revenues, primarily driven by the impact of macroeconomic factors affecting the hiring industry, particularly in our Americas segment, which have resulted in reduced demand from our customers and the impact of lost accounts. These consolidated decreases were partially offset by ongoing strength in upselling and cross-selling incremental services to existing customers, contributing $14.7 million, or 7.3%, of additional revenues.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existing customer revenues was further offset by:</w:t>
      </w:r>
    </w:p>
    <w:p>
      <w:pPr>
        <w:spacing w:after="0" w:line="171" w:lineRule="exact"/>
        <w:rPr>
          <w:sz w:val="20"/>
          <w:szCs w:val="20"/>
          <w:color w:val="auto"/>
        </w:rPr>
      </w:pPr>
    </w:p>
    <w:p>
      <w:pPr>
        <w:ind w:left="520" w:hanging="22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$5.8 million, or 2.9%, from new customers, primarily attributable to our Americas segment; and</w:t>
      </w:r>
    </w:p>
    <w:p>
      <w:pPr>
        <w:spacing w:after="0" w:line="117" w:lineRule="exact"/>
        <w:rPr>
          <w:rFonts w:ascii="Times New Roman" w:cs="Times New Roman" w:eastAsia="Times New Roman" w:hAnsi="Times New Roman"/>
          <w:sz w:val="18"/>
          <w:szCs w:val="18"/>
          <w:color w:val="auto"/>
        </w:rPr>
      </w:pPr>
    </w:p>
    <w:p>
      <w:pPr>
        <w:ind w:left="520" w:hanging="22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$2.3 million, or 1.1%, attributable to the Infinite ID acquisition in the Americas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$553.1 million for the nine months ended September 30, 2024, compared to $561.2 million for the nine months ended September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the nine months ended September 30, 2024 decreased by $8.1 million, or 1.4%, compared to the nine months ended September 30, 2023.</w:t>
      </w:r>
    </w:p>
    <w:p>
      <w:pPr>
        <w:spacing w:after="0" w:line="1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decrease in revenues was primarily due to a net decrease of $39.0 million, or 7.0%, in existing customer revenues, primarily driven by the impact of macroeconomic factors affecting the hiring industry which have resulted in reduced demand from our customers and the impact of lost accounts. These consolidated decreases were partially offset by ongoing strength in upselling and cross-selling to existing customers, contributing $31.0 million, or 5.5%, of additional revenues, and increased revenues from certain existing customers that were impacted by macroeconomic conditions, to a lesser extent, as compared to other existing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existing customer revenues was further offset by:</w:t>
      </w:r>
    </w:p>
    <w:p>
      <w:pPr>
        <w:spacing w:after="0" w:line="171" w:lineRule="exact"/>
        <w:rPr>
          <w:sz w:val="20"/>
          <w:szCs w:val="20"/>
          <w:color w:val="auto"/>
        </w:rPr>
      </w:pPr>
    </w:p>
    <w:p>
      <w:pPr>
        <w:ind w:left="520" w:hanging="22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$22.5 million, or 4.0%, from new customers, primarily attributable to our Americas segment; and</w:t>
      </w:r>
    </w:p>
    <w:p>
      <w:pPr>
        <w:spacing w:after="0" w:line="117" w:lineRule="exact"/>
        <w:rPr>
          <w:rFonts w:ascii="Times New Roman" w:cs="Times New Roman" w:eastAsia="Times New Roman" w:hAnsi="Times New Roman"/>
          <w:sz w:val="18"/>
          <w:szCs w:val="18"/>
          <w:color w:val="auto"/>
        </w:rPr>
      </w:pPr>
    </w:p>
    <w:p>
      <w:pPr>
        <w:ind w:left="520" w:hanging="22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$8.4 million, or 1.5%, attributable to the Infinite ID acquisition in the Americas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remained relatively stable across all periods.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8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r>
      <w:tr>
        <w:trPr>
          <w:trHeight w:val="23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100,879</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101,410</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280,419</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285,468</w:t>
            </w:r>
          </w:p>
        </w:tc>
        <w:tc>
          <w:tcPr>
            <w:tcW w:w="60" w:type="dxa"/>
            <w:vAlign w:val="bottom"/>
          </w:tcPr>
          <w:p>
            <w:pPr>
              <w:spacing w:after="0"/>
              <w:rPr>
                <w:sz w:val="20"/>
                <w:szCs w:val="20"/>
                <w:color w:val="auto"/>
              </w:rPr>
            </w:pP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199,119</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200,364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553,081</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561,199</w:t>
            </w:r>
          </w:p>
        </w:tc>
        <w:tc>
          <w:tcPr>
            <w:tcW w:w="60" w:type="dxa"/>
            <w:vAlign w:val="bottom"/>
          </w:tcPr>
          <w:p>
            <w:pPr>
              <w:spacing w:after="0"/>
              <w:rPr>
                <w:sz w:val="20"/>
                <w:szCs w:val="20"/>
                <w:color w:val="auto"/>
              </w:rPr>
            </w:pP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as a % of revenue</w:t>
            </w:r>
          </w:p>
        </w:tc>
        <w:tc>
          <w:tcPr>
            <w:tcW w:w="24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50.7 %</w:t>
            </w: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50.6 %</w:t>
            </w:r>
          </w:p>
        </w:tc>
        <w:tc>
          <w:tcPr>
            <w:tcW w:w="2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50.7 %</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Cost of services was $100.9 million for the three months ended September 30, 2024, compared to $101.4 million for the three months ended September 30, 2023. Cost of services for the three months ended September 30, 2024 decreased by $0.5 million, or 0.5%, compared to the three months ended September 30, 2023. The decrease in cost of services was primarily due to a decrease in variable third-party data expenses as a result of decreased revenue volumes and increased automation.</w:t>
      </w: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3" w:right="279" w:bottom="1440" w:gutter="0" w:footer="0" w:header="0"/>
        </w:sectPr>
      </w:pPr>
    </w:p>
    <w:bookmarkStart w:id="26" w:name="page27"/>
    <w:bookmarkEnd w:id="26"/>
    <w:p>
      <w:pPr>
        <w:ind w:right="300"/>
        <w:spacing w:after="0" w:line="312" w:lineRule="auto"/>
        <w:rPr>
          <w:sz w:val="20"/>
          <w:szCs w:val="20"/>
          <w:color w:val="auto"/>
        </w:rPr>
      </w:pPr>
      <w:r>
        <w:rPr>
          <w:rFonts w:ascii="Times New Roman" w:cs="Times New Roman" w:eastAsia="Times New Roman" w:hAnsi="Times New Roman"/>
          <w:sz w:val="17"/>
          <w:szCs w:val="17"/>
          <w:color w:val="auto"/>
        </w:rPr>
        <w:t>Cost of services as a percentage of revenues was 50.7% for the three months ended September 30, 2024, compared to 50.6% for the three months ended September 30, 2023. The cost of services percentage of revenues for the third quarter of 2024 was impacted by a variation in customer ordering mix.</w:t>
      </w:r>
    </w:p>
    <w:p>
      <w:pPr>
        <w:spacing w:after="0" w:line="8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Cost of services was $280.4 million for the nine months ended September 30, 2024, compared to $285.5 million for the nine months ended September 30, 2023. Cost of services for the nine months ended September 30, 2024 decreased by $5.0 million, or 1.8%, compared to the nine months ended September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cost of services was primarily due to:</w:t>
      </w:r>
    </w:p>
    <w:p>
      <w:pPr>
        <w:spacing w:after="0" w:line="171" w:lineRule="exact"/>
        <w:rPr>
          <w:sz w:val="20"/>
          <w:szCs w:val="20"/>
          <w:color w:val="auto"/>
        </w:rPr>
      </w:pPr>
    </w:p>
    <w:p>
      <w:pPr>
        <w:ind w:left="520" w:right="460" w:hanging="227"/>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$3.9 million decrease in variable third-party data expenses as a result of decreased revenue volumes, variation in customer ordering mix, and increased automation; and</w:t>
      </w:r>
    </w:p>
    <w:p>
      <w:pPr>
        <w:spacing w:after="0" w:line="53" w:lineRule="exact"/>
        <w:rPr>
          <w:rFonts w:ascii="Times New Roman" w:cs="Times New Roman" w:eastAsia="Times New Roman" w:hAnsi="Times New Roman"/>
          <w:sz w:val="18"/>
          <w:szCs w:val="18"/>
          <w:color w:val="auto"/>
        </w:rPr>
      </w:pPr>
    </w:p>
    <w:p>
      <w:pPr>
        <w:ind w:left="520" w:right="680" w:hanging="227"/>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 million decrease in personnel expenses in our operations and customer care functions as a result of productivity efficiencies from the implementation of additional automation programs.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Cost of services as a percentage of revenues was 50.7% for the nine months ended September 30, 2024, compared to 50.9% for the nine months ended September 30, 2023. The cost of services percentage of revenues for the nine months ended September 30, 2024 was impacted by cost savings from the Company’s continued implementation of automation and other process and facilities efficiencies. These decreases were partially offset by slight increases in certain third-party data costs.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and Technology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84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12,909</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13,107</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39,052</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38,374</w:t>
            </w:r>
          </w:p>
        </w:tc>
      </w:tr>
    </w:tbl>
    <w:p>
      <w:pPr>
        <w:spacing w:after="0" w:line="14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Product and technology expense was $12.9 million for the three months ended September 30, 2024, compared to $13.1 million for the three months ended September 30, 2023. Product and technology expense for the three months ended September 30, 2024 decreased by $0.2 million, or 1.5%, compared to the three months ended September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and technology expense decreased primarily due to:</w:t>
      </w:r>
    </w:p>
    <w:p>
      <w:pPr>
        <w:spacing w:after="0" w:line="171" w:lineRule="exact"/>
        <w:rPr>
          <w:sz w:val="20"/>
          <w:szCs w:val="20"/>
          <w:color w:val="auto"/>
        </w:rPr>
      </w:pPr>
    </w:p>
    <w:p>
      <w:pPr>
        <w:ind w:left="520" w:hanging="227"/>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$0.4 million decrease in software license fees; and</w:t>
      </w:r>
    </w:p>
    <w:p>
      <w:pPr>
        <w:spacing w:after="0" w:line="117" w:lineRule="exact"/>
        <w:rPr>
          <w:rFonts w:ascii="Times New Roman" w:cs="Times New Roman" w:eastAsia="Times New Roman" w:hAnsi="Times New Roman"/>
          <w:sz w:val="18"/>
          <w:szCs w:val="18"/>
          <w:color w:val="auto"/>
        </w:rPr>
      </w:pPr>
    </w:p>
    <w:p>
      <w:pPr>
        <w:ind w:left="520" w:hanging="227"/>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$0.3 million decrease in professional service fees.</w:t>
      </w:r>
    </w:p>
    <w:p>
      <w:pPr>
        <w:spacing w:after="0" w:line="1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These decreases were partially offset by a $0.3 million increase in personnel expenses as a result of increased share-based compensation expense and additional investments made to enhance our product, solutions, and technology platform.</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Product and technology expense was $39.1 million for the nine months ended September 30, 2024, compared to $38.4 million for the nine months ended September 30, 2023. Product and technology expense for the nine months ended September 30, 2024 increased by $0.7 million, or 1.8%, compared to the nine months ended September 30, 2023.</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Product and technology expense increased primarily due to a $2.4 million increase in personnel expenses as a result of increased share-based compensation expense and additional investments made to enhance our product, solutions, and technology platform. The increase was partially offset by a $1.7 million decrease in software license fees.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84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46,050</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30,217</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125,352</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88,881</w:t>
            </w:r>
          </w:p>
        </w:tc>
      </w:tr>
    </w:tbl>
    <w:p>
      <w:pPr>
        <w:spacing w:after="0" w:line="14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was $46.1 million for the three months ended September 30, 2024, compared to $30.2 million for the three months ended September 30, 2023. Selling, general, and administrative expense for the three months ended September 30, 2024 increased by $15.8 million, or 52.4%, compared to the three months ended September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 increased primarily due to:</w:t>
      </w:r>
    </w:p>
    <w:p>
      <w:pPr>
        <w:spacing w:after="0" w:line="171" w:lineRule="exact"/>
        <w:rPr>
          <w:sz w:val="20"/>
          <w:szCs w:val="20"/>
          <w:color w:val="auto"/>
        </w:rPr>
      </w:pPr>
    </w:p>
    <w:p>
      <w:pPr>
        <w:ind w:left="520" w:hanging="227"/>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million of professional service, legal, and other fees incurred related to the Company’s acquisition of Sterling; and</w:t>
      </w:r>
    </w:p>
    <w:p>
      <w:pPr>
        <w:spacing w:after="0" w:line="117" w:lineRule="exact"/>
        <w:rPr>
          <w:rFonts w:ascii="Times New Roman" w:cs="Times New Roman" w:eastAsia="Times New Roman" w:hAnsi="Times New Roman"/>
          <w:sz w:val="18"/>
          <w:szCs w:val="18"/>
          <w:color w:val="auto"/>
        </w:rPr>
      </w:pPr>
    </w:p>
    <w:p>
      <w:pPr>
        <w:jc w:val="both"/>
        <w:ind w:left="520" w:right="340" w:hanging="227"/>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$4.6 million increase in share-based compensation expense primarily as a result of modifications made to the equity award agreements for the Company’s Chief Financial Officer and President, Americas, as part of each executive’s retirement agreement, and incremental awards granted.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The increase in selling, general, and administrative expense was partially offset by:</w:t>
      </w:r>
    </w:p>
    <w:p>
      <w:pPr>
        <w:spacing w:after="0" w:line="171" w:lineRule="exact"/>
        <w:rPr>
          <w:sz w:val="20"/>
          <w:szCs w:val="20"/>
          <w:color w:val="auto"/>
        </w:rPr>
      </w:pPr>
    </w:p>
    <w:p>
      <w:pPr>
        <w:ind w:left="520" w:right="60" w:hanging="2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 million decrease in personnel expenses primarily due to nonrecurring separation costs related to the Company’s 2023 cost savings actions not recurring in 2024.</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was $125.4 million for the nine months ended September 30, 2024, compared to $88.9 million for the nine months ended September 30, 2023. Selling, general, and administrative expense for the nine months ended September 30, 2024 increased by $36.5 million, or 41.0%, compared to the nine months ended September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 increased primarily due to:</w:t>
      </w:r>
    </w:p>
    <w:p>
      <w:pPr>
        <w:spacing w:after="0" w:line="171" w:lineRule="exact"/>
        <w:rPr>
          <w:sz w:val="20"/>
          <w:szCs w:val="20"/>
          <w:color w:val="auto"/>
        </w:rPr>
      </w:pPr>
    </w:p>
    <w:p>
      <w:pPr>
        <w:ind w:left="520" w:hanging="227"/>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$29.9 million increase in professional service and legal fees incurred related to the Company’s acquisition of Sterling;</w:t>
      </w:r>
    </w:p>
    <w:p>
      <w:pPr>
        <w:spacing w:after="0" w:line="117" w:lineRule="exact"/>
        <w:rPr>
          <w:rFonts w:ascii="Times New Roman" w:cs="Times New Roman" w:eastAsia="Times New Roman" w:hAnsi="Times New Roman"/>
          <w:sz w:val="18"/>
          <w:szCs w:val="18"/>
          <w:color w:val="auto"/>
        </w:rPr>
      </w:pPr>
    </w:p>
    <w:p>
      <w:pPr>
        <w:ind w:left="520" w:right="40" w:hanging="227"/>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$8.2 million increase in share-based compensation expense primarily as a result of a modification to the vesting terms of outstanding unvested and unearned performance-based equity awards in May 2023 and incremental awards granted and modifications made to the equity award agreements for the Company’s Chief Financial Officer and President, Americas, as part of each executive’s retirement agreement; and</w:t>
      </w:r>
    </w:p>
    <w:p>
      <w:pPr>
        <w:spacing w:after="0" w:line="67" w:lineRule="exact"/>
        <w:rPr>
          <w:rFonts w:ascii="Times New Roman" w:cs="Times New Roman" w:eastAsia="Times New Roman" w:hAnsi="Times New Roman"/>
          <w:sz w:val="18"/>
          <w:szCs w:val="18"/>
          <w:color w:val="auto"/>
        </w:rPr>
      </w:pPr>
    </w:p>
    <w:p>
      <w:pPr>
        <w:ind w:left="520" w:hanging="227"/>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million increase in expenses related to litigation in the ordinary course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selling, general, and administrative expense was partially offset by:</w:t>
      </w:r>
    </w:p>
    <w:p>
      <w:pPr>
        <w:spacing w:after="0" w:line="171" w:lineRule="exact"/>
        <w:rPr>
          <w:sz w:val="20"/>
          <w:szCs w:val="20"/>
          <w:color w:val="auto"/>
        </w:rPr>
      </w:pPr>
    </w:p>
    <w:p>
      <w:pPr>
        <w:ind w:left="520" w:right="60" w:hanging="2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$4.4 million decrease in personnel expenses due to certain cost savings actions taken by the Company primarily in the second half of 2023 and the nonrecurring separation costs related to these savings not recurring in 2024; and</w:t>
      </w:r>
    </w:p>
    <w:p>
      <w:pPr>
        <w:spacing w:after="0" w:line="53" w:lineRule="exact"/>
        <w:rPr>
          <w:rFonts w:ascii="Times New Roman" w:cs="Times New Roman" w:eastAsia="Times New Roman" w:hAnsi="Times New Roman"/>
          <w:sz w:val="18"/>
          <w:szCs w:val="18"/>
          <w:color w:val="auto"/>
        </w:rPr>
      </w:pPr>
    </w:p>
    <w:p>
      <w:pPr>
        <w:ind w:left="520" w:right="80" w:hanging="2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 million decrease in expenses related to the impairment of certain operating lease assets resulting from office space exited in 2023 that did not reoccur in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30,168</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32,419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89,968</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96,341</w:t>
            </w:r>
          </w:p>
        </w:tc>
      </w:tr>
    </w:tbl>
    <w:p>
      <w:pPr>
        <w:spacing w:after="0" w:line="144"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Depreciation and amortization was $30.2 million for the three months ended September 30, 2024, compared to $32.4 million for the three months ended September 30, 2023. Depreciation and amortization for the three months ended September 30, 2024 decreased by $2.3 million, or 6.9%, compared to the three months ended September 30, 2023. This decrease was partially offset by increases in depreciation related to assets placed in service during the three months ended September 30, 2024.</w:t>
      </w:r>
    </w:p>
    <w:p>
      <w:pPr>
        <w:spacing w:after="0" w:line="126"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Depreciation and amortization was $90.0 million for the nine months ended September 30, 2024, compared to $96.3 million for the nine months ended September 30, 2023. Depreciation and amortization for the nine months ended September 30, 2024 decreased by $6.4 million, or 6.6%, compared to the nine months ended September 30, 2023. This decrease was partially offset by increases in depreciation related to assets placed in service during the nine months ended September 30,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17,191</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7,557</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28,114</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20,125</w:t>
            </w:r>
          </w:p>
        </w:tc>
      </w:tr>
    </w:tbl>
    <w:p>
      <w:pPr>
        <w:spacing w:after="0" w:line="14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Interest expense, net was $17.2 million for the three months ended September 30, 2024, compared to $7.6 million for the three months ended September 30, 2023. Interest expense, net for the three months ended September 30, 2024 increased by $9.6 million or 127.5%, compared to the three months ended September 30, 2023.</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increase in interest expense, net was primarily attributable to a $8.2 million unrealized loss on the Company’s interest rate swaps recorded in 2024 as a result of volatility in the interest rate environment. Interest expense, net for the three months ended September 30, 2024 was further impacted by lower interest income earned on cash held within interest bearing accounts as a result of lower cash on hand due to the Company’s one time, special dividend paid in August 2023.</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ind w:right="320"/>
        <w:spacing w:after="0" w:line="266" w:lineRule="auto"/>
        <w:rPr>
          <w:sz w:val="20"/>
          <w:szCs w:val="20"/>
          <w:color w:val="auto"/>
        </w:rPr>
      </w:pPr>
      <w:r>
        <w:rPr>
          <w:rFonts w:ascii="Times New Roman" w:cs="Times New Roman" w:eastAsia="Times New Roman" w:hAnsi="Times New Roman"/>
          <w:sz w:val="18"/>
          <w:szCs w:val="18"/>
          <w:color w:val="auto"/>
        </w:rPr>
        <w:t>Interest expense, net was $28.1 million for the nine months ended September 30, 2024, compared to $20.1 million for the nine months ended September 30, 2023. Interest expense for the nine months ended September 30, 2024 increased by $8.0 million or 39.7% compared to the nine months ended September 30, 2023.</w:t>
      </w:r>
    </w:p>
    <w:p>
      <w:pPr>
        <w:spacing w:after="0" w:line="12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increase in interest expense, net was primarily attributable to higher interest expense on the First Lien Credit Facility as a result of increasing interest rates and lower interest income earned on cash held within interest bearing accounts as a result of lower cash on hand. Interest expense, net for the nine months ended September 30, 2024 was further impacted by $1.0 million of unrealized loss on the Company’s interest rate swaps recorded in 2024 as a result of volatility in the interest rate environment.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782</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4,881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83</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9,530</w:t>
            </w:r>
          </w:p>
        </w:tc>
      </w:tr>
    </w:tbl>
    <w:p>
      <w:pPr>
        <w:spacing w:after="0" w:line="14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Our provision for income taxes was $0.8 million for the three months ended September 30, 2024, compared to $4.9 million for the three months ended September 30, 2023. Our provision for income taxes for the three months ended September 30, 2024 decreased by $4.1 million, compared to the three months ended September 30, 2023.</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decrease in our provision for income taxes was primarily due to the decrease of income before income taxes during the three months ended September 30, 2024, as compared to the three months ended September 30, 2023.</w:t>
      </w:r>
    </w:p>
    <w:p>
      <w:pPr>
        <w:spacing w:after="0" w:line="108"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Our provision for income taxes was $0.1 million for the nine months ended September 30, 2024, compared to $9.5 million for the nine months ended September 30, 2023. Our provision for income taxes for the nine months ended September 30, 2024 decreased by $9.4 million, compared to the nine months ended September 30, 2023.</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decrease in our provision for income taxes was primarily due to the decrease of income before income taxes during the nine months ended September 30, 2024, as compared to the nine months ended September 30,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and Net (Loss) Income Margin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8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(8,860 )  $</w:t>
            </w: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10,773</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(9,907 )  $</w:t>
            </w: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22,480</w:t>
            </w:r>
          </w:p>
        </w:tc>
        <w:tc>
          <w:tcPr>
            <w:tcW w:w="60" w:type="dxa"/>
            <w:vAlign w:val="bottom"/>
          </w:tcPr>
          <w:p>
            <w:pPr>
              <w:spacing w:after="0"/>
              <w:rPr>
                <w:sz w:val="20"/>
                <w:szCs w:val="20"/>
                <w:color w:val="auto"/>
              </w:rPr>
            </w:pP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margin</w:t>
            </w:r>
          </w:p>
        </w:tc>
        <w:tc>
          <w:tcPr>
            <w:tcW w:w="2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3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5.4 %</w:t>
            </w:r>
          </w:p>
        </w:tc>
        <w:tc>
          <w:tcPr>
            <w:tcW w:w="240" w:type="dxa"/>
            <w:vAlign w:val="bottom"/>
          </w:tcPr>
          <w:p>
            <w:pPr>
              <w:spacing w:after="0"/>
              <w:rPr>
                <w:sz w:val="20"/>
                <w:szCs w:val="20"/>
                <w:color w:val="auto"/>
              </w:rPr>
            </w:pPr>
          </w:p>
        </w:tc>
        <w:tc>
          <w:tcPr>
            <w:tcW w:w="16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(1.8 )%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1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(loss) income was $(8.9) million for the three months ended September 30, 2024, compared to $10.8 million for the three months ended September 30, 2023. Net (loss) income for the three months ended September 30, 2024 decreased by $19.6 million compared to the three months ended September 30, 2023.</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(loss) income margin was (4.4)% for the three months ended September 30, 2024, compared to 5.4% for the three months ended September 30, 2024, as increases in selling, general, and administrative expenses, as a result of the Company’s acquisition of Sterling and reduced demand from customers more impacted by macroeconomic events, contributed to lower profitability.</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Net (loss) income was $(9.9) million for the nine months ended September 30, 2024, compared to $22.5 million for the nine months ended September 30, 2023. Net (loss) income for the nine months ended September 30, 2024 decreased by $32.4 million compared to the nine months ended September 30, 2023.</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Net (loss) income margin was (1.8)% for the nine months ended September 30, 2024 compared to 4.0% for the nine months ended September 30, 2023, as increases in selling, general, and administrative expenses, as a result of the Company’s acquisition of Sterling and reduced demand from customers more impacted by macroeconomic events, contributed to lower profitability, particularly as the Company cycled over the growth experienced in 2023 due to the post-pandemic recovery.</w:t>
      </w:r>
    </w:p>
    <w:p>
      <w:pPr>
        <w:spacing w:after="0" w:line="1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47" w:right="2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7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peer companies using similar measures. Management supplements GAAP results with non-GAAP financial measures to provide a more complete understanding of the factors and trends affecting the business than GAAP results alone.</w:t>
      </w:r>
    </w:p>
    <w:p>
      <w:pPr>
        <w:spacing w:after="0" w:line="1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Management believes that Adjusted EBITDA is a strong indicator of our overall operating performance and is useful to management and investors as a measure of comparative operating performance from period to period. We define Adjusted EBITDA as net (loss) income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Adjusted EBITDA was $64.0 million for the three months ended September 30, 2024 and represented an Adjusted EBITDA Margin of 32.2%. Adjusted EBITDA was $64.8 million for the three months ended September 30, 2023 and represented an Adjusted EBITDA Margin of 32.3%. Adjusted EBITDA for the three months ended September 30, 2024 decreased by $0.7 million, or 1.1%, compared to the three months ended September 30, 2023.</w:t>
      </w:r>
    </w:p>
    <w:p>
      <w:pPr>
        <w:spacing w:after="0" w:line="12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Adjusted EBITDA was $166.4 million for the nine months ended September 30, 2024 and represented an Adjusted EBITDA Margin of 30.1%. Adjusted EBITDA was $169.3 million for the nine months ended September 30, 2023 and represented an Adjusted EBITDA Margin of 30.2%. Adjusted EBITDA for the nine months ended September 30, 2024 decreased by $3.0 million, or 1.7%, compared to the nine months ended September 30, 2023.</w:t>
      </w:r>
    </w:p>
    <w:p>
      <w:pPr>
        <w:spacing w:after="0" w:line="12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Adjusted EBITDA declined during the nine months ended September 30, 2024, as macroeconomic events impacted our revenues attributed to existing customers. These decreases were partially offset by increased revenues from certain existing and new customers, including ongoing strength in upselling and cross-selling, cost structure benefits due to increased automation, operational efficiencies, and certain other cost savings actions taken by the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EBITDA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(8,860 )</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10,773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(9,907 )</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22,480</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20"/>
                <w:szCs w:val="20"/>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17,191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28,114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20,125</w:t>
            </w: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4,881</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9,530</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30,168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32,419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89,968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96,341</w:t>
            </w:r>
          </w:p>
        </w:tc>
      </w:tr>
      <w:tr>
        <w:trPr>
          <w:trHeight w:val="247"/>
        </w:trPr>
        <w:tc>
          <w:tcPr>
            <w:tcW w:w="498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(a)</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9,504</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4,790</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19,303</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10,449</w:t>
            </w:r>
          </w:p>
        </w:tc>
      </w:tr>
      <w:tr>
        <w:trPr>
          <w:trHeight w:val="243"/>
        </w:trPr>
        <w:tc>
          <w:tcPr>
            <w:tcW w:w="49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(b)</w:t>
            </w:r>
          </w:p>
        </w:tc>
        <w:tc>
          <w:tcPr>
            <w:tcW w:w="24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13,218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35,083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3,832</w:t>
            </w:r>
          </w:p>
        </w:tc>
      </w:tr>
      <w:tr>
        <w:trPr>
          <w:trHeight w:val="243"/>
        </w:trPr>
        <w:tc>
          <w:tcPr>
            <w:tcW w:w="498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(c)</w:t>
            </w:r>
          </w:p>
        </w:tc>
        <w:tc>
          <w:tcPr>
            <w:tcW w:w="2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2,800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6,565</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64,046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64,791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166,365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169,322</w:t>
            </w:r>
          </w:p>
        </w:tc>
      </w:tr>
      <w:tr>
        <w:trPr>
          <w:trHeight w:val="20"/>
        </w:trPr>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-187960</wp:posOffset>
            </wp:positionV>
            <wp:extent cx="768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-187960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-187960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240" w:right="80" w:hanging="232"/>
        <w:spacing w:after="0" w:line="227" w:lineRule="auto"/>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for the three and nine months ended September 30, 2024, includes approximately $6.6 million and $11.7 million, respectively, of incrementally recognized expense associated with the May 2023 vesting modification and retirements of the Company's Chief Financial Officer and President, Americas. Share-based compensation for the three and nine months ended September 30, 2023, includes approximately $2.5 million and $4.0 million, respectively, of incrementally recognized expense. See Note 10, "Share-based Compensation", to the condensed consolidated financial statements included elsewhere in this Quarterly Report on Form 10-Q for further information.</w:t>
      </w:r>
    </w:p>
    <w:p>
      <w:pPr>
        <w:ind w:left="240" w:right="300" w:hanging="232"/>
        <w:spacing w:after="0" w:line="221" w:lineRule="auto"/>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Transaction and acquisition related charges for the three and nine months ended September 30, 2024 include approximately $13.2 million and $33.5 million of expense, respectively, associated with the acquisition of Sterling, primarily consisting of legal, regulatory, and diligence professional service fees. The three and nine months ended September 30, 2024 and 2023 also include insurance costs incurred related to the initial public offering.</w:t>
      </w:r>
    </w:p>
    <w:p>
      <w:pPr>
        <w:spacing w:after="0" w:line="1" w:lineRule="exact"/>
        <w:rPr>
          <w:rFonts w:ascii="Times New Roman" w:cs="Times New Roman" w:eastAsia="Times New Roman" w:hAnsi="Times New Roman"/>
          <w:sz w:val="14"/>
          <w:szCs w:val="14"/>
          <w:color w:val="auto"/>
        </w:rPr>
      </w:pPr>
    </w:p>
    <w:p>
      <w:pPr>
        <w:ind w:left="240" w:right="180" w:hanging="232"/>
        <w:spacing w:after="0" w:line="239" w:lineRule="auto"/>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(gains) losses on the sale of assets, and other non-recurring items.</w:t>
      </w:r>
    </w:p>
    <w:p>
      <w:pPr>
        <w:spacing w:after="0" w:line="1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define Adjusted EBITDA Margin as Adjusted EBITDA divided by total revenues. The following table presents the calculation of Adjusted EBITDA Margin for the periods presented.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9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64,046</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64,791</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166,365</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169,322</w:t>
            </w:r>
          </w:p>
        </w:tc>
        <w:tc>
          <w:tcPr>
            <w:tcW w:w="80" w:type="dxa"/>
            <w:vAlign w:val="bottom"/>
          </w:tcPr>
          <w:p>
            <w:pPr>
              <w:spacing w:after="0"/>
              <w:rPr>
                <w:sz w:val="20"/>
                <w:szCs w:val="20"/>
                <w:color w:val="auto"/>
              </w:rPr>
            </w:pP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0"/>
                <w:szCs w:val="20"/>
                <w:color w:val="auto"/>
              </w:rPr>
            </w:pPr>
          </w:p>
        </w:tc>
        <w:tc>
          <w:tcPr>
            <w:tcW w:w="12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199,119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200,364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553,081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561,199</w:t>
            </w:r>
          </w:p>
        </w:tc>
        <w:tc>
          <w:tcPr>
            <w:tcW w:w="80" w:type="dxa"/>
            <w:vAlign w:val="bottom"/>
          </w:tcPr>
          <w:p>
            <w:pPr>
              <w:spacing w:after="0"/>
              <w:rPr>
                <w:sz w:val="20"/>
                <w:szCs w:val="20"/>
                <w:color w:val="auto"/>
              </w:rPr>
            </w:pPr>
          </w:p>
        </w:tc>
      </w:tr>
      <w:tr>
        <w:trPr>
          <w:trHeight w:val="23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4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32.2 %</w:t>
            </w: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32.3 %</w:t>
            </w:r>
          </w:p>
        </w:tc>
        <w:tc>
          <w:tcPr>
            <w:tcW w:w="2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30.1 %</w:t>
            </w:r>
          </w:p>
        </w:tc>
        <w:tc>
          <w:tcPr>
            <w:tcW w:w="3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calculation of Adjusted EBITDA by segment for the periods presented. See Note 15, “Reportable Segments” to the condensed consolidated financial statements for a reconciliation of Adjusted EBITDA for the periods presented by segment.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9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498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58,637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60,188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153,900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157,168</w:t>
            </w:r>
          </w:p>
        </w:tc>
        <w:tc>
          <w:tcPr>
            <w:tcW w:w="80" w:type="dxa"/>
            <w:vAlign w:val="bottom"/>
          </w:tcPr>
          <w:p>
            <w:pPr>
              <w:spacing w:after="0"/>
              <w:rPr>
                <w:sz w:val="20"/>
                <w:szCs w:val="20"/>
                <w:color w:val="auto"/>
              </w:rPr>
            </w:pPr>
          </w:p>
        </w:tc>
      </w:tr>
      <w:tr>
        <w:trPr>
          <w:trHeight w:val="247"/>
        </w:trPr>
        <w:tc>
          <w:tcPr>
            <w:tcW w:w="4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5,409</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4,603</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12,465</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12,154</w:t>
            </w:r>
          </w:p>
        </w:tc>
        <w:tc>
          <w:tcPr>
            <w:tcW w:w="80" w:type="dxa"/>
            <w:vAlign w:val="bottom"/>
          </w:tcPr>
          <w:p>
            <w:pPr>
              <w:spacing w:after="0"/>
              <w:rPr>
                <w:sz w:val="21"/>
                <w:szCs w:val="21"/>
                <w:color w:val="auto"/>
              </w:rPr>
            </w:pP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64,046</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64,791</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166,365</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169,322</w:t>
            </w:r>
          </w:p>
        </w:tc>
        <w:tc>
          <w:tcPr>
            <w:tcW w:w="8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4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174,905</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176,046</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486,410</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490,784</w:t>
            </w:r>
          </w:p>
        </w:tc>
        <w:tc>
          <w:tcPr>
            <w:tcW w:w="80" w:type="dxa"/>
            <w:vAlign w:val="bottom"/>
          </w:tcPr>
          <w:p>
            <w:pPr>
              <w:spacing w:after="0"/>
              <w:rPr>
                <w:sz w:val="21"/>
                <w:szCs w:val="21"/>
                <w:color w:val="auto"/>
              </w:rPr>
            </w:pP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20"/>
                <w:szCs w:val="20"/>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26,624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25,805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72,834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74,766</w:t>
            </w:r>
          </w:p>
        </w:tc>
        <w:tc>
          <w:tcPr>
            <w:tcW w:w="80" w:type="dxa"/>
            <w:vAlign w:val="bottom"/>
          </w:tcPr>
          <w:p>
            <w:pPr>
              <w:spacing w:after="0"/>
              <w:rPr>
                <w:sz w:val="20"/>
                <w:szCs w:val="20"/>
                <w:color w:val="auto"/>
              </w:rPr>
            </w:pPr>
          </w:p>
        </w:tc>
      </w:tr>
      <w:tr>
        <w:trPr>
          <w:trHeight w:val="247"/>
        </w:trPr>
        <w:tc>
          <w:tcPr>
            <w:tcW w:w="4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intersegment eliminations</w:t>
            </w:r>
          </w:p>
        </w:tc>
        <w:tc>
          <w:tcPr>
            <w:tcW w:w="2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(2,410 )</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(6,163 )</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(4,351 )</w:t>
            </w:r>
          </w:p>
        </w:tc>
        <w:tc>
          <w:tcPr>
            <w:tcW w:w="80" w:type="dxa"/>
            <w:vAlign w:val="bottom"/>
          </w:tcPr>
          <w:p>
            <w:pPr>
              <w:spacing w:after="0"/>
              <w:rPr>
                <w:sz w:val="21"/>
                <w:szCs w:val="21"/>
                <w:color w:val="auto"/>
              </w:rPr>
            </w:pPr>
          </w:p>
        </w:tc>
      </w:tr>
      <w:tr>
        <w:trPr>
          <w:trHeight w:val="23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199,119</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200,364</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553,081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561,199</w:t>
            </w:r>
          </w:p>
        </w:tc>
        <w:tc>
          <w:tcPr>
            <w:tcW w:w="8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4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33.5 %</w:t>
            </w:r>
          </w:p>
        </w:tc>
        <w:tc>
          <w:tcPr>
            <w:tcW w:w="3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34.2 %</w:t>
            </w:r>
          </w:p>
        </w:tc>
        <w:tc>
          <w:tcPr>
            <w:tcW w:w="24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31.6 %</w:t>
            </w: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32.0 %</w:t>
            </w:r>
          </w:p>
        </w:tc>
      </w:tr>
      <w:tr>
        <w:trPr>
          <w:trHeight w:val="243"/>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20.3 %</w:t>
            </w:r>
          </w:p>
        </w:tc>
        <w:tc>
          <w:tcPr>
            <w:tcW w:w="32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17.8 %</w:t>
            </w:r>
          </w:p>
        </w:tc>
        <w:tc>
          <w:tcPr>
            <w:tcW w:w="24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17.1 %</w:t>
            </w:r>
          </w:p>
        </w:tc>
        <w:tc>
          <w:tcPr>
            <w:tcW w:w="3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16.3 %</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4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32.2 %</w:t>
            </w:r>
          </w:p>
        </w:tc>
        <w:tc>
          <w:tcPr>
            <w:tcW w:w="3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32.3 %</w:t>
            </w:r>
          </w:p>
        </w:tc>
        <w:tc>
          <w:tcPr>
            <w:tcW w:w="2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30.1 %</w:t>
            </w:r>
          </w:p>
        </w:tc>
        <w:tc>
          <w:tcPr>
            <w:tcW w:w="3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-1910715</wp:posOffset>
            </wp:positionV>
            <wp:extent cx="768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-1910715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-1910715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-950595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-950595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-950595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240" w:right="320" w:hanging="232"/>
        <w:spacing w:after="0" w:line="261" w:lineRule="auto"/>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reconciliation of net (loss) income to Adjusted EBITDA above. Segment Adjusted EBITDA margins are calculated using segment gross revenues and segment Adjusted EBITDA. Consolidated Adjusted EBITDA margin is calculated using consolidated revenues and consolidated Adjusted EBITDA.</w:t>
      </w:r>
    </w:p>
    <w:p>
      <w:pPr>
        <w:spacing w:after="0" w:line="1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985"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(loss) income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Adjusted Net Income was $38.0 million for the three months ended September 30, 2024, compared to $40.0 million for the three months ended September 30, 2023. Adjusted Net Income for the three months ended September 30, 2024 decreased by $2.0 million, or 5.1% compared to the three months ended September 30, 2023.</w:t>
      </w:r>
    </w:p>
    <w:p>
      <w:pPr>
        <w:spacing w:after="0" w:line="12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Adjusted Diluted Earnings Per Share was $0.26 for the three months ended September 30, 2024, compared to $0.28 for the three months ended September 30, 2023. Adjusted Diluted Earnings Per Share for the three months ended September 30, 2024 decreased by $0.02, or 7.1% compared to the three months ended September 30, 2023.</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Adjusted Net Income was $93.5 million for the nine months ended September 30, 2024, compared to $103.2 million for the nine months ended September 30, 2023. Adjusted Net Income for the nine months ended September 30, 2024 decreased by $9.7 million, or 9.4%, compared to the nine months ended September 30, 2023.</w:t>
      </w:r>
    </w:p>
    <w:p>
      <w:pPr>
        <w:spacing w:after="0" w:line="12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Adjusted Diluted Earnings Per Share was $0.64 for the nine months ended September 30, 2024, compared to $0.71 for the nine months ended September 30, 2023. Adjusted Diluted Earnings Per Share for the nine months ended September 30, 2024 decreased by $0.07, or 9.9% compared to the nine months ended September 30, 2023.</w:t>
      </w:r>
    </w:p>
    <w:p>
      <w:pPr>
        <w:spacing w:after="0" w:line="12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Adjusted Net Income and Adjusted Diluted Earnings Per Share declined during the nine months ended September 30, 2024 as reduced demand from customers more impacted by macroeconomic events contributed to lower revenues and profitability. Adjusted Net Income and Adjusted Diluted Earnings Per Share were further impacted by changes in acquisition-related depreciation and amortization and changes in our capital structure that are captured in interest expense. Gains or losses and actual cash payments and receipts on the Company’s interest rate swaps impact the comparability of Adjusted Net Income and Adjusted Diluted Earnings Per Share across historical periods. Adjusted Diluted Earnings Per Share is further impacted by shares repurchased under the Company’s Repurchase Program.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Net Income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(8,860 )</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10,773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(9,907 )</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22,480</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4,881</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9,530</w:t>
            </w: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(8,078 )</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15,654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(9,824 )</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32,010</w:t>
            </w:r>
          </w:p>
        </w:tc>
      </w:tr>
      <w:tr>
        <w:trPr>
          <w:trHeight w:val="243"/>
        </w:trPr>
        <w:tc>
          <w:tcPr>
            <w:tcW w:w="49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Debt-related charges</w:t>
            </w:r>
            <w:r>
              <w:rPr>
                <w:rFonts w:ascii="Times New Roman" w:cs="Times New Roman" w:eastAsia="Times New Roman" w:hAnsi="Times New Roman"/>
                <w:sz w:val="24"/>
                <w:szCs w:val="24"/>
                <w:color w:val="auto"/>
                <w:vertAlign w:val="superscript"/>
              </w:rPr>
              <w:t>(a)</w:t>
            </w:r>
          </w:p>
        </w:tc>
        <w:tc>
          <w:tcPr>
            <w:tcW w:w="24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10,057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7,033</w:t>
            </w:r>
          </w:p>
        </w:tc>
      </w:tr>
      <w:tr>
        <w:trPr>
          <w:trHeight w:val="243"/>
        </w:trPr>
        <w:tc>
          <w:tcPr>
            <w:tcW w:w="49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Acquisition-related depreciation and amortization</w:t>
            </w:r>
            <w:r>
              <w:rPr>
                <w:rFonts w:ascii="Times New Roman" w:cs="Times New Roman" w:eastAsia="Times New Roman" w:hAnsi="Times New Roman"/>
                <w:sz w:val="24"/>
                <w:szCs w:val="24"/>
                <w:color w:val="auto"/>
                <w:vertAlign w:val="superscript"/>
              </w:rPr>
              <w:t>(b)</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22,646</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25,660</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67,887</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76,615</w:t>
            </w:r>
          </w:p>
        </w:tc>
      </w:tr>
      <w:tr>
        <w:trPr>
          <w:trHeight w:val="243"/>
        </w:trPr>
        <w:tc>
          <w:tcPr>
            <w:tcW w:w="49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(c)</w:t>
            </w:r>
          </w:p>
        </w:tc>
        <w:tc>
          <w:tcPr>
            <w:tcW w:w="24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9,504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10,449</w:t>
            </w:r>
          </w:p>
        </w:tc>
      </w:tr>
      <w:tr>
        <w:trPr>
          <w:trHeight w:val="243"/>
        </w:trPr>
        <w:tc>
          <w:tcPr>
            <w:tcW w:w="49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(d)</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13,218</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35,083</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3,832</w:t>
            </w:r>
          </w:p>
        </w:tc>
      </w:tr>
      <w:tr>
        <w:trPr>
          <w:trHeight w:val="243"/>
        </w:trPr>
        <w:tc>
          <w:tcPr>
            <w:tcW w:w="49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(e)</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2,800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6,565</w:t>
            </w: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 effect</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49,390</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53,007</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122,951</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136,504</w:t>
            </w:r>
          </w:p>
        </w:tc>
      </w:tr>
      <w:tr>
        <w:trPr>
          <w:trHeight w:val="243"/>
        </w:trPr>
        <w:tc>
          <w:tcPr>
            <w:tcW w:w="49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Less: Adjusted income taxes</w:t>
            </w:r>
            <w:r>
              <w:rPr>
                <w:rFonts w:ascii="Times New Roman" w:cs="Times New Roman" w:eastAsia="Times New Roman" w:hAnsi="Times New Roman"/>
                <w:sz w:val="24"/>
                <w:szCs w:val="24"/>
                <w:color w:val="auto"/>
                <w:vertAlign w:val="superscript"/>
              </w:rPr>
              <w:t>(f)</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11,400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12,972</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29,422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33,279</w:t>
            </w:r>
          </w:p>
        </w:tc>
      </w:tr>
      <w:tr>
        <w:trPr>
          <w:trHeight w:val="27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37,990</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40,035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93,529</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103,225</w:t>
            </w:r>
          </w:p>
        </w:tc>
      </w:tr>
      <w:tr>
        <w:trPr>
          <w:trHeight w:val="413"/>
        </w:trPr>
        <w:tc>
          <w:tcPr>
            <w:tcW w:w="49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-796290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-779145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-796290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-779145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-796290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-779145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Adjusted Diluted Earnings Per Share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 (GAAP)</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Net Income adjustments per share</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43"/>
        </w:trPr>
        <w:tc>
          <w:tcPr>
            <w:tcW w:w="49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Debt-related charges</w:t>
            </w:r>
            <w:r>
              <w:rPr>
                <w:rFonts w:ascii="Times New Roman" w:cs="Times New Roman" w:eastAsia="Times New Roman" w:hAnsi="Times New Roman"/>
                <w:sz w:val="24"/>
                <w:szCs w:val="24"/>
                <w:color w:val="auto"/>
                <w:vertAlign w:val="superscript"/>
              </w:rPr>
              <w:t>(a)</w:t>
            </w:r>
          </w:p>
        </w:tc>
        <w:tc>
          <w:tcPr>
            <w:tcW w:w="24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Acquisition-related depreciation and amortization</w:t>
            </w:r>
            <w:r>
              <w:rPr>
                <w:rFonts w:ascii="Times New Roman" w:cs="Times New Roman" w:eastAsia="Times New Roman" w:hAnsi="Times New Roman"/>
                <w:sz w:val="24"/>
                <w:szCs w:val="24"/>
                <w:color w:val="auto"/>
                <w:vertAlign w:val="superscript"/>
              </w:rPr>
              <w:t>(b)</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43"/>
        </w:trPr>
        <w:tc>
          <w:tcPr>
            <w:tcW w:w="49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(c)</w:t>
            </w:r>
          </w:p>
        </w:tc>
        <w:tc>
          <w:tcPr>
            <w:tcW w:w="24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(d)</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3"/>
        </w:trPr>
        <w:tc>
          <w:tcPr>
            <w:tcW w:w="49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(e)</w:t>
            </w:r>
          </w:p>
        </w:tc>
        <w:tc>
          <w:tcPr>
            <w:tcW w:w="24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CFF0FC"/>
            </w:tcBorders>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Adjusted income taxes</w:t>
            </w:r>
            <w:r>
              <w:rPr>
                <w:rFonts w:ascii="Times New Roman" w:cs="Times New Roman" w:eastAsia="Times New Roman" w:hAnsi="Times New Roman"/>
                <w:sz w:val="24"/>
                <w:szCs w:val="24"/>
                <w:color w:val="auto"/>
                <w:vertAlign w:val="superscript"/>
              </w:rPr>
              <w:t>(f)</w:t>
            </w:r>
          </w:p>
        </w:tc>
        <w:tc>
          <w:tcPr>
            <w:tcW w:w="2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(0.20 )</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0" w:type="dxa"/>
            <w:vAlign w:val="bottom"/>
          </w:tcPr>
          <w:p>
            <w:pPr>
              <w:spacing w:after="0"/>
              <w:rPr>
                <w:sz w:val="1"/>
                <w:szCs w:val="1"/>
                <w:color w:val="auto"/>
              </w:rPr>
            </w:pPr>
          </w:p>
        </w:tc>
      </w:tr>
      <w:tr>
        <w:trPr>
          <w:trHeight w:val="236"/>
        </w:trPr>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Adjusted Diluted Earnings Per Share (Non-GAAP)</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0.26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0.28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0.64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0.71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used in</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computation of Adjusted Diluted Earnings Per Share:</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number of shares outstanding—diluted</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(GAAP)</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144,096,312</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144,733,357</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143,851,357</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146,392,996</w:t>
            </w:r>
          </w:p>
        </w:tc>
        <w:tc>
          <w:tcPr>
            <w:tcW w:w="0" w:type="dxa"/>
            <w:vAlign w:val="bottom"/>
          </w:tcPr>
          <w:p>
            <w:pPr>
              <w:spacing w:after="0"/>
              <w:rPr>
                <w:sz w:val="1"/>
                <w:szCs w:val="1"/>
                <w:color w:val="auto"/>
              </w:rPr>
            </w:pPr>
          </w:p>
        </w:tc>
      </w:tr>
      <w:tr>
        <w:trPr>
          <w:trHeight w:val="211"/>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and restricted stock not included in weighted average</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number of shares outstanding—diluted (GAAP) (using treasury</w:t>
            </w:r>
          </w:p>
        </w:tc>
        <w:tc>
          <w:tcPr>
            <w:tcW w:w="240" w:type="dxa"/>
            <w:vAlign w:val="bottom"/>
          </w:tcPr>
          <w:p>
            <w:pPr>
              <w:spacing w:after="0"/>
              <w:rPr>
                <w:sz w:val="18"/>
                <w:szCs w:val="18"/>
                <w:color w:val="auto"/>
              </w:rPr>
            </w:pPr>
          </w:p>
        </w:tc>
        <w:tc>
          <w:tcPr>
            <w:tcW w:w="126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2,492,320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2,318,217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method)</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980" w:type="dxa"/>
            <w:vAlign w:val="bottom"/>
            <w:shd w:val="clear" w:color="auto" w:fill="CFF0FC"/>
          </w:tcPr>
          <w:p>
            <w:pPr>
              <w:ind w:left="200"/>
              <w:spacing w:after="0" w:line="205" w:lineRule="exact"/>
              <w:rPr>
                <w:sz w:val="20"/>
                <w:szCs w:val="20"/>
                <w:color w:val="auto"/>
              </w:rPr>
            </w:pPr>
            <w:r>
              <w:rPr>
                <w:rFonts w:ascii="Times New Roman" w:cs="Times New Roman" w:eastAsia="Times New Roman" w:hAnsi="Times New Roman"/>
                <w:sz w:val="18"/>
                <w:szCs w:val="18"/>
                <w:color w:val="auto"/>
              </w:rPr>
              <w:t>Adjusted weighted average number of shares outstanding—</w:t>
            </w:r>
          </w:p>
        </w:tc>
        <w:tc>
          <w:tcPr>
            <w:tcW w:w="240" w:type="dxa"/>
            <w:vAlign w:val="bottom"/>
            <w:shd w:val="clear" w:color="auto" w:fill="CFF0FC"/>
          </w:tcPr>
          <w:p>
            <w:pPr>
              <w:spacing w:after="0"/>
              <w:rPr>
                <w:sz w:val="17"/>
                <w:szCs w:val="17"/>
                <w:color w:val="auto"/>
              </w:rPr>
            </w:pPr>
          </w:p>
        </w:tc>
        <w:tc>
          <w:tcPr>
            <w:tcW w:w="126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146,588,632</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144,733,357</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146,169,574</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146,392,996</w:t>
            </w:r>
          </w:p>
        </w:tc>
        <w:tc>
          <w:tcPr>
            <w:tcW w:w="0" w:type="dxa"/>
            <w:vAlign w:val="bottom"/>
          </w:tcPr>
          <w:p>
            <w:pPr>
              <w:spacing w:after="0"/>
              <w:rPr>
                <w:sz w:val="1"/>
                <w:szCs w:val="1"/>
                <w:color w:val="auto"/>
              </w:rPr>
            </w:pPr>
          </w:p>
        </w:tc>
      </w:tr>
      <w:tr>
        <w:trPr>
          <w:trHeight w:val="247"/>
        </w:trPr>
        <w:tc>
          <w:tcPr>
            <w:tcW w:w="4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(Non-GAAP)</w:t>
            </w:r>
          </w:p>
        </w:tc>
        <w:tc>
          <w:tcPr>
            <w:tcW w:w="2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-1645285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-1645285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-1645285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768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240" w:right="60" w:hanging="232"/>
        <w:spacing w:after="0" w:line="229" w:lineRule="auto"/>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non-cash interest expense related to the amortization of debt issuance costs for the 2021 February refinancing of the Company’s First Lien Credit Facility (as defined below). This adjustment also includes the impact of the change in fair value of interest rate swaps, which represents the difference between the fair value gains or losses and actual cash payments and receipts on the interest rate swaps.</w:t>
      </w:r>
    </w:p>
    <w:p>
      <w:pPr>
        <w:ind w:left="240" w:right="140" w:hanging="232"/>
        <w:spacing w:after="0" w:line="221" w:lineRule="auto"/>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the depreciation and amortization expense related to intangible assets and developed technology assets recorded due to the application of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As a result, the purchase accounting related depreciation and amortization expense will recur in future periods until the related assets are fully depreciated or amortized, and the related purchase accounting assets may contribute to revenue generation.</w:t>
      </w:r>
    </w:p>
    <w:p>
      <w:pPr>
        <w:ind w:left="240" w:hanging="232"/>
        <w:spacing w:after="0" w:line="221" w:lineRule="auto"/>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for the three and nine months ended September 30, 2024, includes approximately $6.6 million and $11.7 million, respectively, of incrementally recognized expense associated with the May 2023 vesting modification and retirements of the Company's Chief Financial Officer and President, Americas. Share-based compensation for the three and nine months ended September 30, 2023, includes approximately $2.5 million and $4.0 million, respectively, of incrementally recognized expense. See Note 10, "Share-based Compensation", to the condensed consolidated financial statements included elsewhere in this Quarterly Report on Form 10-Q for further information.</w:t>
      </w:r>
    </w:p>
    <w:p>
      <w:pPr>
        <w:spacing w:after="0" w:line="1" w:lineRule="exact"/>
        <w:rPr>
          <w:rFonts w:ascii="Times New Roman" w:cs="Times New Roman" w:eastAsia="Times New Roman" w:hAnsi="Times New Roman"/>
          <w:sz w:val="14"/>
          <w:szCs w:val="14"/>
          <w:color w:val="auto"/>
        </w:rPr>
      </w:pPr>
    </w:p>
    <w:p>
      <w:pPr>
        <w:ind w:left="240" w:right="220" w:hanging="232"/>
        <w:spacing w:after="0" w:line="221" w:lineRule="auto"/>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Transaction and acquisition related charges for the three and nine months ended September 30, 2024 include approximately $13.2 million and $33.5 million of expense, respectively, associated with the acquisition of Sterling, primarily consisting of legal, regulatory, and diligence professional service fees. The three and nine months ended September 30, 2024 and 2023 also include insurance costs incurred related to the initial public offering.</w:t>
      </w:r>
    </w:p>
    <w:p>
      <w:pPr>
        <w:spacing w:after="0" w:line="1" w:lineRule="exact"/>
        <w:rPr>
          <w:rFonts w:ascii="Times New Roman" w:cs="Times New Roman" w:eastAsia="Times New Roman" w:hAnsi="Times New Roman"/>
          <w:sz w:val="14"/>
          <w:szCs w:val="14"/>
          <w:color w:val="auto"/>
        </w:rPr>
      </w:pPr>
    </w:p>
    <w:p>
      <w:pPr>
        <w:ind w:left="240" w:right="100" w:hanging="232"/>
        <w:spacing w:after="0" w:line="221" w:lineRule="auto"/>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(gains) losses on the sale of assets, and other non-recurring items.</w:t>
      </w:r>
    </w:p>
    <w:p>
      <w:pPr>
        <w:ind w:left="240" w:right="220" w:hanging="232"/>
        <w:spacing w:after="0" w:line="233" w:lineRule="auto"/>
        <w:tabs>
          <w:tab w:leader="none" w:pos="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rates of approximately 23.1% and 23.9% have been used to compute Adjusted Net Income and Adjusted Diluted Earnings Per Share for the three and nine months ended September 30, 2024, respectively. Effective tax rates of approximately 24.5% and 24.4% have been used to compute Adjusted Net Income and Adjusted Diluted Earnings Per Share for the three and nine months ended September 30, 2023,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primary liquidity requirements are for working capital, continued investments in software development and other capital expenditures, and other strategic investments, including the Acquisition. In 2023, the Company fully utilized its remaining U.S. Federal income tax net operating loss carryforwards. As a result, income taxes are and will be a material use of funds, depending on our future profitability, and future tax rates. The Company’s liquidity needs are met primarily through existing balance sheet cash, cash flows from operations, as well as funds available under our revolving credit facility and proceeds from our term loan borrowings, including incremental term loan borrowings incurred to fund the Acquisition pursuant to commitment letters entered into with certain financial institutions. Our cash flows from operations include cash received from customers, less cash costs to provide services to our customers, which includes general and administrative costs and interest payments.</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September 30, 2024, we had $307.4 million in cash and cash equivalents and $100.0 million available under our revolving credit facility. As of September 30, 2024, we had $564.7 million of total debt outstanding. As a result of the refinancing related to the acquisition of Sterling, the Company will have $2.185 billion of total debt outstanding and $250.0 million available under our revolving credit facility. The debt balance outstanding requires 1% annual prepayments, to be made quarterly. Additionally, the Company used approximately $230 million of its cash and cash equivalents to fund the acquisition of Sterling and related expenses and expects cash and cash equivalents from Sterling after close to be approximately $55 million, resulting in a consolidated cash and cash equivalents balance after close of more than $125 million.</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believe our cash on hand, together with amounts available under our revolving credit facility, and cash provided by operating activities are and will continue to be adequate to meet our operational and business needs in the next twelve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our “Risk Factors” included in the Company’s Annual Report on Form 10-K for the year ended December 31,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August 2, 2022, the Company’s Board of Directors authorized the repurchase of up to $50.0 million of the Company’s common stock over the 12-month period ending August 2, 2023 (the “Repurchase Program”).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has used and plans to use its existing cash to fund repurchases made under the share repurchase program.</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8, 2022, the Company’s Board of Directors authorized an increase to the total available amount under its Repurchase Program to $150.0 million and extended the program through December 31, 2023. On February 28, 2023, the Company’s Board of Directors authorized an increase to the total available amount under its Repurchase Program to $200.0 million. On September 14, 2023, the Company announced that its Board of Directors approved a one-year extension of its share repurchase authorization, extending the previously authorized $200.0 million program through December 31, 2024. Through November 8, 2024, the Company repurchased approximately $119.5 million of shares under the Repurchase Program. In connection with the execution of the Merger Agreement, the Company suspended purchases under its Repurchase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August 8, 2023, the Company’s Board of Directors declared a one-time special cash dividend of $1.50 per share to stockholders of record at the close of business on August 21, 2023. Since August 31, 2023 through September 30, 2024, the Company has paid an aggregate cash dividend of $218.0 million with cash from the balance sheet.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February 2020, a new financing structure was established, which included a new First Lien Credit Agreement (as amended, the “Credit Agreement”). The Credit Agreement provided financing in the form of a $670.0 million term loan due January 31, 2027 (“First Lien Credit Facility”) and a $75.0 million new revolving credit facility due January 31, 2025 (“Revolver”).</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February 1, 2021, we amended the First Lien Agreement to fund $100.0 million of additional first lien term loans and reduce the applicable margins by 0.25%.</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its IPO, the Company entered into an amendment to increase the borrowing capacity under the Revolver from $75.0 million to $100.0 million and extend the maturity date from January 31, 2025 to July 31, 2026.</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Borrowings under the First Lien Agreement bear interest at a rate per annum equal to an applicable margin plus, at our option, either (a) a base rate or (b) LIBOR, which is subject to a floor of 0.00% per annum. Pursuant to an amendment in June 2023, the reference rate under the Credit Agreement was transitioned from LIBOR to SOFR (the Secured Overnight Financing Rate as administered by the Federal Reserve Bank of New York), with the addition of an applicable margin. The applicable margins under the First Lien Agreement are subject to stepdowns based on our first lien net leverage ratio. In connection with the closing of the IPO, each applicable margin was reduced further by 0.25%. In addition, the borrower, First Advantage Holdings, LLC, which is an indirect wholly-owned subsidiary of the Company, is required to pay a commitment fee on any unutilized commitments under the revolving credit facility. The commitment fee rate ranges between 0.25% and 0.50% per annum based on our first lien net leverage ratio. The borrower is also required to pay customary letter of credit fees.</w:t>
      </w:r>
    </w:p>
    <w:p>
      <w:pPr>
        <w:spacing w:after="0" w:line="13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First Lien Credit Facility amortizes in equal quarterly installments in aggregate annual amounts equal to 1.00% of the principal amount. The Revolver has no amortization. The First Lien Credit Facility requires the borrower to prepay outstanding term loans, subject to certain exceptions, with certain proceeds from non-ordinary course asset sales, issuance of debt not permitted by the credit agreement to be incurred and annual excess cash flows. In addition, any voluntary prepayment of term loans in connection with certain repricing transactions on or prior to August 1, 2021 were subject to a 1.00% prepayment premium. Otherwise, the borrower may voluntarily repay outstanding loans without premium or penalty, other than customary “breakage” costs.</w:t>
      </w:r>
    </w:p>
    <w:p>
      <w:pPr>
        <w:spacing w:after="0" w:line="13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IPO, on June 30, 2021, the Company repaid $200.0 million of the First Lien Credit Facility outstanding, of which $44.3 million was applied to all of the remaining quarterly amortizing principal payments due under the First Lien Agreement. The remaining $564.7 million term loan is scheduled to mature on January 31, 2027.</w:t>
      </w:r>
    </w:p>
    <w:p>
      <w:pPr>
        <w:spacing w:after="0" w:line="12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First Lien Agreement is unconditionally guaranteed by Fastball Parent, Inc., a wholly-owned subsidiary of the Company and the direct parent of the borrower, and material wholly owned domestic restricted subsidiaries of Fastball Parent, Inc. The First Lien Agreement and the guarantees of such obligations, are secured, subject to permitted liens and other exceptions, by (1) a first priority security interest in certain tangible and intangible assets of the borrower and the guarantors and (2) a first-priority pledge of 100% of the capital stock of the borrower and of each wholly-owned material restricted subsidiary of the borrower and the guarantors (which pledge, in the case of any non-U.S. subsidiary of a U.S. subsidiary, does not include more than 65% of the voting stock of such non-U.S. subsidiary).</w:t>
      </w:r>
    </w:p>
    <w:p>
      <w:pPr>
        <w:spacing w:after="0" w:line="13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First Lien Agreement contains customary affirmative covenants, negative covenants, and events of default (including upon a change of control). The First Lien Agreement also includes a “springing” first lien net leverage ratio test, applicable only to the Revolver, that requires such ratio to be no greater than 7.75:1.00 on the last day of any fiscal quarter if more than 35.0% of the Revolver is utilized on such date.</w:t>
      </w:r>
    </w:p>
    <w:p>
      <w:pPr>
        <w:spacing w:after="0" w:line="122"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In connection with the acquisition of Sterling, on October 31, 2024, First Advantage Holdings, LLC, a subsidiary of the Company (the “Borrower”), refinanced its existing First Lien Credit Agreement and all related Sterling debt. See Note 6, “Long-term Debt,” to the condensed consolidated financial statements included elsewhere in this Quarterly Report on Form 10-Q for further information.</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Cash Flow Analysis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Cash Flows for the nine months ended September 30, 2024 compared to the nine months ended September 30,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cash flow activity for the periods presented:</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113,862</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106,080</w:t>
            </w: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(21,716 )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(61,932 )</w:t>
            </w: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1,155</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(270,565 )</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7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$113.9 million for the nine months ended September 30, 2024, compared to $106.1 million for the nine months ended September 30, 2023. Net cash provided by operating activities for the nine months ended September 30, 2024 increased by $7.8 million compared to the nine months ended September 30, 2023. Cash flows from operating activities for the nine months ended September 30, 2024 were impacted by the timing of payments of professional service and legal fees related to the Company’s acquisition of Sterling and the continuation of more modest hiring activity from our customers resulting from the current hiring environment. This was offset in part by lower accounts receivable driven by increased cash collections from customers.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$21.7 million for the nine months ended September 30, 2024, compared to $61.9 million for the nine months ended September 30, 2023. Net cash used in investing activities for the nine months ended September 30, 2024 decreased by $40.2 million compared to the nine months ended September 30, 2023. The decrease in cash flows used in investing activities was primarily due to the $41.1 million Infinite ID acquisition, net of cash acquired and other transaction adjustments, during the nine months ended September 30, 2023, slightly offset by increased spend on software development.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Net cash provided by (used in) financing activities was $1.2 million for the nine months ended September 30, 2024, compared to $(270.6) million for the nine months ended September 30, 2023. Net cash provided by financing activities for the nine months ended September 30, 2024 was driven by cash net inflows related to share-based compensation activity. These inflows were offset by cash outflows related to payments on the deferred purchase of a software platform and dividends paid on vested RSUs as a result of the Company’s August 2023 one-time special dividend. Net cash used in financing activities for nine months ended September 30, 2023 were impacted by the Company’s one-time special cash dividend of $1.50 per share to stockholders of record at the close of business on August 21, 2023 and shares repurchased under the Company’s Repurchase Program. An aggregate cash dividend of $217.7 million was paid on August 31, 2023. During the nine months ended September 30, 2023, the Company repurchased 4,140,519 shares for a total cost of $55.9 million. These outflows were offset partially by cash inflows related to share-based compensation activity.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7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See Note 2 to the condensed consolidated financial statements for disclosure of the impact that recent accounting pronouncements may have on the condensed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there have been no significant changes to our critical accounting policies and estimates compared with those disclosed in Part II, Item 7, “Management’s Discussion and Analysis of Financial Condition and Results of Operations” included in the Company’s Annual Report on Form 10-K for the year ended December 31, 2023.</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September 30, 2024, no material change had occurred in our market risks, compared with the disclosure in our Annual Report on Form 10-K for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has evaluated the effectiveness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quarter covered by this report, there were no changes in our internal control over financial reporting (as defined in Rules 13a-15(f) and 15d-15(f) under the Exchange Act) that materially affected, or are reasonably likely to materially affect, our internal control over financial reporting.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in response to this Item is included in “Part I — Item 1. — Note 12 — Commitments and Contingencies” and is incorporated by reference into Part II of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September 30, 2024, no material changes had occurred in our risk factors, compared with the disclosure in our Annual Report on Form 10-K for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relates to the Company’s purchase of its common stock during each month within the third quarter of 2024:</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3"/>
                <w:szCs w:val="13"/>
                <w:color w:val="auto"/>
              </w:rPr>
            </w:pPr>
          </w:p>
        </w:tc>
        <w:tc>
          <w:tcPr>
            <w:tcW w:w="1380" w:type="dxa"/>
            <w:vAlign w:val="bottom"/>
            <w:gridSpan w:val="2"/>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80" w:type="dxa"/>
            <w:vAlign w:val="bottom"/>
          </w:tcPr>
          <w:p>
            <w:pPr>
              <w:spacing w:after="0"/>
              <w:rPr>
                <w:sz w:val="12"/>
                <w:szCs w:val="12"/>
                <w:color w:val="auto"/>
              </w:rPr>
            </w:pPr>
          </w:p>
        </w:tc>
        <w:tc>
          <w:tcPr>
            <w:tcW w:w="1380" w:type="dxa"/>
            <w:vAlign w:val="bottom"/>
            <w:gridSpan w:val="2"/>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218"/>
              <w:spacing w:after="0" w:line="146"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8"/>
              <w:spacing w:after="0" w:line="189" w:lineRule="exact"/>
              <w:rPr>
                <w:sz w:val="20"/>
                <w:szCs w:val="20"/>
                <w:color w:val="auto"/>
              </w:rPr>
            </w:pPr>
            <w:r>
              <w:rPr>
                <w:rFonts w:ascii="Times New Roman" w:cs="Times New Roman" w:eastAsia="Times New Roman" w:hAnsi="Times New Roman"/>
                <w:sz w:val="14"/>
                <w:szCs w:val="14"/>
                <w:b w:val="1"/>
                <w:bCs w:val="1"/>
                <w:color w:val="auto"/>
                <w:w w:val="98"/>
              </w:rPr>
              <w:t xml:space="preserve">Programs </w:t>
            </w:r>
            <w:r>
              <w:rPr>
                <w:rFonts w:ascii="Times New Roman" w:cs="Times New Roman" w:eastAsia="Times New Roman" w:hAnsi="Times New Roman"/>
                <w:sz w:val="19"/>
                <w:szCs w:val="19"/>
                <w:b w:val="1"/>
                <w:bCs w:val="1"/>
                <w:color w:val="auto"/>
                <w:w w:val="98"/>
                <w:vertAlign w:val="superscript"/>
              </w:rPr>
              <w:t>(2)</w:t>
            </w:r>
          </w:p>
        </w:tc>
        <w:tc>
          <w:tcPr>
            <w:tcW w:w="0" w:type="dxa"/>
            <w:vAlign w:val="bottom"/>
          </w:tcPr>
          <w:p>
            <w:pPr>
              <w:spacing w:after="0"/>
              <w:rPr>
                <w:sz w:val="1"/>
                <w:szCs w:val="1"/>
                <w:color w:val="auto"/>
              </w:rPr>
            </w:pPr>
          </w:p>
        </w:tc>
      </w:tr>
      <w:tr>
        <w:trPr>
          <w:trHeight w:val="237"/>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2024 through July 31, 2024</w:t>
            </w:r>
          </w:p>
        </w:tc>
        <w:tc>
          <w:tcPr>
            <w:tcW w:w="14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38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80,478,639</w:t>
            </w:r>
          </w:p>
        </w:tc>
        <w:tc>
          <w:tcPr>
            <w:tcW w:w="0" w:type="dxa"/>
            <w:vAlign w:val="bottom"/>
          </w:tcPr>
          <w:p>
            <w:pPr>
              <w:spacing w:after="0"/>
              <w:rPr>
                <w:sz w:val="1"/>
                <w:szCs w:val="1"/>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August 1, 2024 through August 31, 2024</w:t>
            </w:r>
          </w:p>
        </w:tc>
        <w:tc>
          <w:tcPr>
            <w:tcW w:w="14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80,478,639</w:t>
            </w:r>
          </w:p>
        </w:tc>
        <w:tc>
          <w:tcPr>
            <w:tcW w:w="0" w:type="dxa"/>
            <w:vAlign w:val="bottom"/>
          </w:tcPr>
          <w:p>
            <w:pPr>
              <w:spacing w:after="0"/>
              <w:rPr>
                <w:sz w:val="1"/>
                <w:szCs w:val="1"/>
                <w:color w:val="auto"/>
              </w:rPr>
            </w:pPr>
          </w:p>
        </w:tc>
      </w:tr>
      <w:tr>
        <w:trPr>
          <w:trHeight w:val="247"/>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2024 through September 30, 2024</w:t>
            </w:r>
          </w:p>
        </w:tc>
        <w:tc>
          <w:tcPr>
            <w:tcW w:w="142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80,478,639</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80,478,639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-187960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-187960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5" w:lineRule="exact"/>
        <w:rPr>
          <w:sz w:val="20"/>
          <w:szCs w:val="20"/>
          <w:color w:val="auto"/>
        </w:rPr>
      </w:pPr>
    </w:p>
    <w:p>
      <w:pPr>
        <w:ind w:left="820" w:hanging="213"/>
        <w:spacing w:after="0"/>
        <w:tabs>
          <w:tab w:leader="none" w:pos="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for shares purchased as part of our Repurchase Program (includes brokerage commissions).</w:t>
      </w:r>
    </w:p>
    <w:p>
      <w:pPr>
        <w:spacing w:after="0" w:line="3" w:lineRule="exact"/>
        <w:rPr>
          <w:rFonts w:ascii="Times New Roman" w:cs="Times New Roman" w:eastAsia="Times New Roman" w:hAnsi="Times New Roman"/>
          <w:sz w:val="14"/>
          <w:szCs w:val="14"/>
          <w:color w:val="auto"/>
        </w:rPr>
      </w:pPr>
    </w:p>
    <w:p>
      <w:pPr>
        <w:ind w:left="820" w:right="620" w:hanging="213"/>
        <w:spacing w:after="0" w:line="227" w:lineRule="auto"/>
        <w:tabs>
          <w:tab w:leader="none" w:pos="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 2022, the Company’s Board of Directors authorized the repurchase of up to $50.0 million of the Company’s common stock over the 12-month period ending August 2, 2023. On November 8, 2022, the Company’s Board of Directors authorized an increase to the total available amount under its Repurchase Program to $150.0 million and extended the program through December 31, 2023. On February 28, 2023, the Company’s Board of Directors authorized an increase to the total available amount under its Repurchase Program to $200.0 million. On September 14, 2023, the Company announced that its Board of Directors approved a one-year extension of its share repurchase authorization, extending the previously authorized $200.0 million program through December 31, 2024. Through November 8, 2024, the Company repurchased approximately $119.5 million of shares under the Repurchase Program.</w:t>
      </w:r>
    </w:p>
    <w:p>
      <w:pPr>
        <w:spacing w:after="0" w:line="1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In connection with the execution of the Merger Agreement, the Company suspended purchases under its Repurchase Program.</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officers (as defined in Rule 16a-1(f) of the Securities Exchange Act of 1934, as amended) adopted, terminated, or modified a Rule 10b5-1 trading arrangement or non-Rule 10b5-1 trading arrangement (as such terms are defined in Item 408 of Regulation S-K), except as described in the table below.</w:t>
      </w:r>
    </w:p>
    <w:p>
      <w:pPr>
        <w:sectPr>
          <w:pgSz w:w="11900" w:h="16838" w:orient="portrait"/>
          <w:cols w:equalWidth="0" w:num="1">
            <w:col w:w="11240"/>
          </w:cols>
          <w:pgMar w:left="320" w:top="1305" w:right="339" w:bottom="1440" w:gutter="0" w:footer="0" w:header="0"/>
        </w:sectPr>
      </w:pP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Trading Arrangement</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Scheduled Expiration</w:t>
            </w:r>
          </w:p>
        </w:tc>
        <w:tc>
          <w:tcPr>
            <w:tcW w:w="0" w:type="dxa"/>
            <w:vAlign w:val="bottom"/>
          </w:tcPr>
          <w:p>
            <w:pPr>
              <w:spacing w:after="0"/>
              <w:rPr>
                <w:sz w:val="1"/>
                <w:szCs w:val="1"/>
                <w:color w:val="auto"/>
              </w:rPr>
            </w:pPr>
          </w:p>
        </w:tc>
      </w:tr>
      <w:tr>
        <w:trPr>
          <w:trHeight w:val="138"/>
        </w:trPr>
        <w:tc>
          <w:tcPr>
            <w:tcW w:w="124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Director/Officer</w:t>
            </w: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Rule 10b5-1</w:t>
            </w:r>
            <w:r>
              <w:rPr>
                <w:rFonts w:ascii="Times New Roman" w:cs="Times New Roman" w:eastAsia="Times New Roman" w:hAnsi="Times New Roman"/>
                <w:sz w:val="18"/>
                <w:szCs w:val="18"/>
                <w:b w:val="1"/>
                <w:bCs w:val="1"/>
                <w:color w:val="auto"/>
                <w:w w:val="98"/>
                <w:vertAlign w:val="superscript"/>
              </w:rPr>
              <w:t>(1)</w:t>
            </w:r>
          </w:p>
        </w:tc>
        <w:tc>
          <w:tcPr>
            <w:tcW w:w="10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Non-Rule 10b5-</w:t>
            </w:r>
          </w:p>
        </w:tc>
        <w:tc>
          <w:tcPr>
            <w:tcW w:w="120" w:type="dxa"/>
            <w:vAlign w:val="bottom"/>
          </w:tcPr>
          <w:p>
            <w:pPr>
              <w:spacing w:after="0"/>
              <w:rPr>
                <w:sz w:val="12"/>
                <w:szCs w:val="12"/>
                <w:color w:val="auto"/>
              </w:rPr>
            </w:pPr>
          </w:p>
        </w:tc>
        <w:tc>
          <w:tcPr>
            <w:tcW w:w="14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Date of Rule 10b5-1</w:t>
            </w:r>
          </w:p>
        </w:tc>
        <w:tc>
          <w:tcPr>
            <w:tcW w:w="0" w:type="dxa"/>
            <w:vAlign w:val="bottom"/>
          </w:tcPr>
          <w:p>
            <w:pPr>
              <w:spacing w:after="0"/>
              <w:rPr>
                <w:sz w:val="1"/>
                <w:szCs w:val="1"/>
                <w:color w:val="auto"/>
              </w:rPr>
            </w:pPr>
          </w:p>
        </w:tc>
      </w:tr>
      <w:tr>
        <w:trPr>
          <w:trHeight w:val="189"/>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6"/>
                <w:szCs w:val="16"/>
                <w:color w:val="auto"/>
              </w:rPr>
            </w:pP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Title</w:t>
            </w:r>
          </w:p>
        </w:tc>
        <w:tc>
          <w:tcPr>
            <w:tcW w:w="120" w:type="dxa"/>
            <w:vAlign w:val="bottom"/>
          </w:tcPr>
          <w:p>
            <w:pPr>
              <w:spacing w:after="0"/>
              <w:rPr>
                <w:sz w:val="16"/>
                <w:szCs w:val="16"/>
                <w:color w:val="auto"/>
              </w:rPr>
            </w:pPr>
          </w:p>
        </w:tc>
        <w:tc>
          <w:tcPr>
            <w:tcW w:w="1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Date of Adoption/Termination</w:t>
            </w:r>
          </w:p>
        </w:tc>
        <w:tc>
          <w:tcPr>
            <w:tcW w:w="10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7"/>
              </w:rPr>
              <w:t>Trading Plan</w:t>
            </w:r>
            <w:r>
              <w:rPr>
                <w:rFonts w:ascii="Times New Roman" w:cs="Times New Roman" w:eastAsia="Times New Roman" w:hAnsi="Times New Roman"/>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29"/>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David L. Gamsey</w:t>
            </w:r>
          </w:p>
        </w:tc>
        <w:tc>
          <w:tcPr>
            <w:tcW w:w="140" w:type="dxa"/>
            <w:vAlign w:val="bottom"/>
          </w:tcPr>
          <w:p>
            <w:pPr>
              <w:spacing w:after="0"/>
              <w:rPr>
                <w:sz w:val="11"/>
                <w:szCs w:val="11"/>
                <w:color w:val="auto"/>
              </w:rPr>
            </w:pPr>
          </w:p>
        </w:tc>
        <w:tc>
          <w:tcPr>
            <w:tcW w:w="146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Chief Financial</w:t>
            </w:r>
          </w:p>
        </w:tc>
        <w:tc>
          <w:tcPr>
            <w:tcW w:w="120" w:type="dxa"/>
            <w:vAlign w:val="bottom"/>
          </w:tcPr>
          <w:p>
            <w:pPr>
              <w:spacing w:after="0"/>
              <w:rPr>
                <w:sz w:val="11"/>
                <w:szCs w:val="11"/>
                <w:color w:val="auto"/>
              </w:rPr>
            </w:pPr>
          </w:p>
        </w:tc>
        <w:tc>
          <w:tcPr>
            <w:tcW w:w="1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Adopted August 9, 2024</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August 8, 2025</w:t>
            </w:r>
          </w:p>
        </w:tc>
        <w:tc>
          <w:tcPr>
            <w:tcW w:w="0" w:type="dxa"/>
            <w:vAlign w:val="bottom"/>
          </w:tcPr>
          <w:p>
            <w:pPr>
              <w:spacing w:after="0"/>
              <w:rPr>
                <w:sz w:val="1"/>
                <w:szCs w:val="1"/>
                <w:color w:val="auto"/>
              </w:rPr>
            </w:pPr>
          </w:p>
        </w:tc>
      </w:tr>
      <w:tr>
        <w:trPr>
          <w:trHeight w:val="228"/>
        </w:trPr>
        <w:tc>
          <w:tcPr>
            <w:tcW w:w="12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Officer</w:t>
            </w:r>
            <w:r>
              <w:rPr>
                <w:rFonts w:ascii="Times New Roman" w:cs="Times New Roman" w:eastAsia="Times New Roman" w:hAnsi="Times New Roman"/>
                <w:sz w:val="19"/>
                <w:szCs w:val="19"/>
                <w:color w:val="auto"/>
                <w:vertAlign w:val="superscript"/>
              </w:rPr>
              <w:t>(3)</w:t>
            </w:r>
          </w:p>
        </w:tc>
        <w:tc>
          <w:tcPr>
            <w:tcW w:w="12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Joseph Jaeger</w:t>
            </w:r>
          </w:p>
        </w:tc>
        <w:tc>
          <w:tcPr>
            <w:tcW w:w="1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President, Americas</w:t>
            </w:r>
            <w:r>
              <w:rPr>
                <w:rFonts w:ascii="Times New Roman" w:cs="Times New Roman" w:eastAsia="Times New Roman" w:hAnsi="Times New Roman"/>
                <w:sz w:val="19"/>
                <w:szCs w:val="19"/>
                <w:color w:val="auto"/>
                <w:vertAlign w:val="superscript"/>
              </w:rPr>
              <w:t>(3)</w:t>
            </w:r>
          </w:p>
        </w:tc>
        <w:tc>
          <w:tcPr>
            <w:tcW w:w="120" w:type="dxa"/>
            <w:vAlign w:val="bottom"/>
          </w:tcPr>
          <w:p>
            <w:pPr>
              <w:spacing w:after="0"/>
              <w:rPr>
                <w:sz w:val="21"/>
                <w:szCs w:val="21"/>
                <w:color w:val="auto"/>
              </w:rPr>
            </w:pP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Adopted August 12, 2024</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November 21, 2025</w:t>
            </w:r>
          </w:p>
        </w:tc>
        <w:tc>
          <w:tcPr>
            <w:tcW w:w="0" w:type="dxa"/>
            <w:vAlign w:val="bottom"/>
          </w:tcPr>
          <w:p>
            <w:pPr>
              <w:spacing w:after="0"/>
              <w:rPr>
                <w:sz w:val="1"/>
                <w:szCs w:val="1"/>
                <w:color w:val="auto"/>
              </w:rPr>
            </w:pPr>
          </w:p>
        </w:tc>
      </w:tr>
      <w:tr>
        <w:trPr>
          <w:trHeight w:val="171"/>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Bret T. Jardine</w:t>
            </w:r>
          </w:p>
        </w:tc>
        <w:tc>
          <w:tcPr>
            <w:tcW w:w="14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Chief Legal Officer &amp;</w:t>
            </w:r>
          </w:p>
        </w:tc>
        <w:tc>
          <w:tcPr>
            <w:tcW w:w="120" w:type="dxa"/>
            <w:vAlign w:val="bottom"/>
          </w:tcPr>
          <w:p>
            <w:pPr>
              <w:spacing w:after="0"/>
              <w:rPr>
                <w:sz w:val="14"/>
                <w:szCs w:val="14"/>
                <w:color w:val="auto"/>
              </w:rPr>
            </w:pPr>
          </w:p>
        </w:tc>
        <w:tc>
          <w:tcPr>
            <w:tcW w:w="1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Adopted August 16, 2024</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August 15, 2025</w:t>
            </w:r>
          </w:p>
        </w:tc>
        <w:tc>
          <w:tcPr>
            <w:tcW w:w="0" w:type="dxa"/>
            <w:vAlign w:val="bottom"/>
          </w:tcPr>
          <w:p>
            <w:pPr>
              <w:spacing w:after="0"/>
              <w:rPr>
                <w:sz w:val="1"/>
                <w:szCs w:val="1"/>
                <w:color w:val="auto"/>
              </w:rPr>
            </w:pPr>
          </w:p>
        </w:tc>
      </w:tr>
      <w:tr>
        <w:trPr>
          <w:trHeight w:val="107"/>
        </w:trPr>
        <w:tc>
          <w:tcPr>
            <w:tcW w:w="12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Corporate Secretary</w:t>
            </w:r>
          </w:p>
        </w:tc>
        <w:tc>
          <w:tcPr>
            <w:tcW w:w="120" w:type="dxa"/>
            <w:vAlign w:val="bottom"/>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-618490</wp:posOffset>
            </wp:positionV>
            <wp:extent cx="7132320" cy="2057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2057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jc w:val="center"/>
        <w:ind w:left="-159"/>
        <w:spacing w:after="0" w:line="266" w:lineRule="auto"/>
        <w:rPr>
          <w:sz w:val="20"/>
          <w:szCs w:val="20"/>
          <w:color w:val="auto"/>
        </w:rPr>
      </w:pPr>
      <w:r>
        <w:rPr>
          <w:rFonts w:ascii="Times New Roman" w:cs="Times New Roman" w:eastAsia="Times New Roman" w:hAnsi="Times New Roman"/>
          <w:sz w:val="13"/>
          <w:szCs w:val="13"/>
          <w:b w:val="1"/>
          <w:bCs w:val="1"/>
          <w:color w:val="auto"/>
        </w:rPr>
        <w:t>Aggregate Number of Securities to Be Purchased or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-1905</wp:posOffset>
            </wp:positionV>
            <wp:extent cx="16370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ind w:right="240"/>
        <w:spacing w:after="0" w:line="250" w:lineRule="auto"/>
        <w:rPr>
          <w:sz w:val="20"/>
          <w:szCs w:val="20"/>
          <w:color w:val="auto"/>
        </w:rPr>
      </w:pPr>
      <w:r>
        <w:rPr>
          <w:rFonts w:ascii="Times New Roman" w:cs="Times New Roman" w:eastAsia="Times New Roman" w:hAnsi="Times New Roman"/>
          <w:sz w:val="14"/>
          <w:szCs w:val="14"/>
          <w:color w:val="auto"/>
        </w:rPr>
        <w:t>Sale of up to 325,000 shares of common stock in multiple transactions</w:t>
      </w:r>
    </w:p>
    <w:p>
      <w:pPr>
        <w:spacing w:after="0" w:line="1"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14"/>
          <w:szCs w:val="14"/>
          <w:color w:val="auto"/>
        </w:rPr>
        <w:t>Sale of up to 50,000 shares of common stock in multiple transactions</w:t>
      </w:r>
    </w:p>
    <w:p>
      <w:pPr>
        <w:spacing w:after="0" w:line="1"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14"/>
          <w:szCs w:val="14"/>
          <w:color w:val="auto"/>
        </w:rPr>
        <w:t>Sale of up to 40,286 shares of common stock in multiple transactions</w:t>
      </w:r>
    </w:p>
    <w:p>
      <w:pPr>
        <w:spacing w:after="0" w:line="80" w:lineRule="exact"/>
        <w:rPr>
          <w:sz w:val="20"/>
          <w:szCs w:val="20"/>
          <w:color w:val="auto"/>
        </w:rPr>
      </w:pPr>
    </w:p>
    <w:p>
      <w:pPr>
        <w:sectPr>
          <w:pgSz w:w="11900" w:h="16838" w:orient="portrait"/>
          <w:cols w:equalWidth="0" w:num="2">
            <w:col w:w="8560" w:space="120"/>
            <w:col w:w="2560"/>
          </w:cols>
          <w:pgMar w:left="320" w:top="1305" w:right="339" w:bottom="1440" w:gutter="0" w:footer="0" w:header="0"/>
          <w:type w:val="continuous"/>
        </w:sectPr>
      </w:pPr>
    </w:p>
    <w:p>
      <w:pPr>
        <w:ind w:left="240" w:hanging="232"/>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Intended to satisfy the affirmative defense of Rule 10b5-1(c).</w:t>
      </w:r>
    </w:p>
    <w:p>
      <w:pPr>
        <w:spacing w:after="0" w:line="3" w:lineRule="exact"/>
        <w:rPr>
          <w:rFonts w:ascii="Times New Roman" w:cs="Times New Roman" w:eastAsia="Times New Roman" w:hAnsi="Times New Roman"/>
          <w:sz w:val="14"/>
          <w:szCs w:val="14"/>
          <w:color w:val="auto"/>
        </w:rPr>
      </w:pPr>
    </w:p>
    <w:p>
      <w:pPr>
        <w:ind w:left="240" w:hanging="232"/>
        <w:spacing w:after="0" w:line="221" w:lineRule="auto"/>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trading plan may also expire on such earlier date that all transactions under the trading plan are completed.</w:t>
      </w:r>
    </w:p>
    <w:p>
      <w:pPr>
        <w:ind w:left="240" w:hanging="232"/>
        <w:spacing w:after="0"/>
        <w:tabs>
          <w:tab w:leader="none" w:pos="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their respective retirements, each of David L. Gamsey and Joseph Jaeger, was not an “officer” of the Company as of November 12, 2024.</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Global Chief Operating Officer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11, 2024, the Company’s Board of Directors promoted Douglas Nairne to the role of Global Chief Operating Officer (principal operating officer), effective as of November 11, 2024. As Global Chief Operating Officer, Mr. Nairne will oversee all of the Company’s global operations, customer care, and customer onboarding teams.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Nairne, 58, previously served as the Company’s Chief Operations Officer – International since joining the Company in October 2021, and was responsible for First Advantage’s operations in the Asia-Pacific (APAC), India and Europe, Middle East, and Africa (EMEA) regions. Prior to joining the Company, Mr. Nairne served as the Chairman and Chief Executive Officer of Dataflow Group, a background screening company for employers recruiting high-risk, internationally mobile professionals from July 2011 to July 2018 and served in an advisory position from July 2018 to September 2021. Mr. Nairne’s past experience includes positions as an officer in the Canadian Army, a journalist for the South China Morning Post, and Chief Operating Officer of IntegraScreen. Mr. Nairne holds a B. A. from the University of Manitoba, a master’s in journalism from Hong Kong University, and a master’s in business administration from the Hong Kong University of Science and Technology and Northwestern University’s Kellogg School of Management.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promotion of Mr. Nairne: (i) his annual base salary will increase to $500,000.00 (to be converted into HKD at the applicable exchange rate), (ii) he will be eligible to receive a discretionary annual cash bonus of up to 60% of his annual base salary, and (iii) he will receive a one-time cash bonus of $100,000.00 in connection with the Company’s acquisition of Sterling Check Corp. Additionally, on November 14, 2024, Mr. Nairne will receive a grant of equity awards, pursuant to the First Advantage 2021 Omnibus Incentive Plan (as amended) and the Company’s current forms of equity awards (substantially in the forms filed with the Company’s Annual Report on Form 10-K for the year ended December 31, 2023, as Exhibit 10.9 (Form of Restricted Stock Unit Award Grant Notice and Agreement) and Exhibit 10.5 (Form of Standard Option Award Grant Notice and Agreement)), having a fair value equal to $1,000,000.00, comprised of 50% stock options and 50% restricted stock units, with each grant vesting annually in four equal installments from November 1, 2024. The exact number of stock options and restricted stock units subject to the awards will be determined on November 14, 2024, based on the prior twenty day average closing price of the Company’s common stock in the case of the restricted stock units and using a Black-Scholes valuation for the stock options. The per share exercise price of the stock options will be the closing price on November 14, 2024.</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Mr. Nairne was not appointed pursuant to any arrangement or understanding with any other person, has no family relationships with any director or executive officer of the Company, and there are no transactions involving Mr. Nairne that would be required to be reported under Item 404(a)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40" w:type="dxa"/>
            <w:vAlign w:val="bottom"/>
            <w:tcBorders>
              <w:bottom w:val="single" w:sz="8" w:color="auto"/>
            </w:tcBorders>
            <w:gridSpan w:val="14"/>
          </w:tcPr>
          <w:p>
            <w:pPr>
              <w:ind w:left="3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bottom w:val="single" w:sz="8" w:color="0000FF"/>
            </w:tcBorders>
            <w:gridSpan w:val="18"/>
          </w:tcPr>
          <w:p>
            <w:pPr>
              <w:spacing w:after="0" w:line="162" w:lineRule="exact"/>
              <w:rPr>
                <w:rFonts w:ascii="Times New Roman" w:cs="Times New Roman" w:eastAsia="Times New Roman" w:hAnsi="Times New Roman"/>
                <w:sz w:val="16"/>
                <w:szCs w:val="16"/>
                <w:color w:val="0000FF"/>
              </w:rPr>
            </w:pPr>
            <w:hyperlink r:id="rId208">
              <w:r>
                <w:rPr>
                  <w:rFonts w:ascii="Times New Roman" w:cs="Times New Roman" w:eastAsia="Times New Roman" w:hAnsi="Times New Roman"/>
                  <w:sz w:val="16"/>
                  <w:szCs w:val="16"/>
                  <w:color w:val="0000FF"/>
                </w:rPr>
                <w:t>Agreement and Plan of Merger, dated as of February 28, 2024, by and among First Advantage Corporation, Sterling Check Corp. and Starter Merger Sub,</w:t>
              </w:r>
            </w:hyperlink>
          </w:p>
        </w:tc>
        <w:tc>
          <w:tcPr>
            <w:tcW w:w="180" w:type="dxa"/>
            <w:vAlign w:val="bottom"/>
            <w:gridSpan w:val="5"/>
          </w:tcPr>
          <w:p>
            <w:pPr>
              <w:spacing w:after="0"/>
              <w:rPr>
                <w:sz w:val="14"/>
                <w:szCs w:val="14"/>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3"/>
          </w:tcPr>
          <w:p>
            <w:pPr>
              <w:spacing w:after="0" w:line="183" w:lineRule="exact"/>
              <w:rPr>
                <w:rFonts w:ascii="Times New Roman" w:cs="Times New Roman" w:eastAsia="Times New Roman" w:hAnsi="Times New Roman"/>
                <w:sz w:val="16"/>
                <w:szCs w:val="16"/>
                <w:color w:val="0000FF"/>
              </w:rPr>
            </w:pPr>
            <w:hyperlink r:id="rId208">
              <w:r>
                <w:rPr>
                  <w:rFonts w:ascii="Times New Roman" w:cs="Times New Roman" w:eastAsia="Times New Roman" w:hAnsi="Times New Roman"/>
                  <w:sz w:val="16"/>
                  <w:szCs w:val="16"/>
                  <w:color w:val="0000FF"/>
                </w:rPr>
                <w:t>Inc. (incorporated herein by reference to Exhibit 2.1 of First Advantage’s Form 8-K filed on March 1, 2024).</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rPr>
            </w:pPr>
            <w:hyperlink r:id="rId209">
              <w:r>
                <w:rPr>
                  <w:rFonts w:ascii="Times New Roman" w:cs="Times New Roman" w:eastAsia="Times New Roman" w:hAnsi="Times New Roman"/>
                  <w:sz w:val="16"/>
                  <w:szCs w:val="16"/>
                  <w:color w:val="0000FF"/>
                </w:rPr>
                <w:t>Waiver of Brazil Antitrust Filing Obligation and Closing Condition, dated as of March 25, 2024, related to the Agreement and Plan of Merger, dated as of</w:t>
              </w:r>
            </w:hyperlink>
          </w:p>
        </w:tc>
        <w:tc>
          <w:tcPr>
            <w:tcW w:w="200" w:type="dxa"/>
            <w:vAlign w:val="bottom"/>
            <w:gridSpan w:val="6"/>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bottom w:val="single" w:sz="8" w:color="0000FF"/>
            </w:tcBorders>
            <w:gridSpan w:val="12"/>
          </w:tcPr>
          <w:p>
            <w:pPr>
              <w:spacing w:after="0" w:line="183" w:lineRule="exact"/>
              <w:rPr>
                <w:rFonts w:ascii="Times New Roman" w:cs="Times New Roman" w:eastAsia="Times New Roman" w:hAnsi="Times New Roman"/>
                <w:sz w:val="16"/>
                <w:szCs w:val="16"/>
                <w:color w:val="0000FF"/>
              </w:rPr>
            </w:pPr>
            <w:hyperlink r:id="rId209">
              <w:r>
                <w:rPr>
                  <w:rFonts w:ascii="Times New Roman" w:cs="Times New Roman" w:eastAsia="Times New Roman" w:hAnsi="Times New Roman"/>
                  <w:sz w:val="16"/>
                  <w:szCs w:val="16"/>
                  <w:color w:val="0000FF"/>
                </w:rPr>
                <w:t>February 28, 2024, by and among First Advantage Corporation, Sterling Check Corp. and Starter Merger Sub, Inc. (incorporated herein by reference to</w:t>
              </w:r>
            </w:hyperlink>
          </w:p>
        </w:tc>
        <w:tc>
          <w:tcPr>
            <w:tcW w:w="340" w:type="dxa"/>
            <w:vAlign w:val="bottom"/>
            <w:gridSpan w:val="11"/>
          </w:tcPr>
          <w:p>
            <w:pPr>
              <w:spacing w:after="0"/>
              <w:rPr>
                <w:sz w:val="15"/>
                <w:szCs w:val="15"/>
                <w:color w:val="auto"/>
              </w:rPr>
            </w:pPr>
          </w:p>
        </w:tc>
      </w:tr>
      <w:tr>
        <w:trPr>
          <w:trHeight w:val="182"/>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3"/>
          </w:tcPr>
          <w:p>
            <w:pPr>
              <w:spacing w:after="0" w:line="183" w:lineRule="exact"/>
              <w:rPr>
                <w:rFonts w:ascii="Times New Roman" w:cs="Times New Roman" w:eastAsia="Times New Roman" w:hAnsi="Times New Roman"/>
                <w:sz w:val="16"/>
                <w:szCs w:val="16"/>
                <w:color w:val="0000FF"/>
              </w:rPr>
            </w:pPr>
            <w:hyperlink r:id="rId209">
              <w:r>
                <w:rPr>
                  <w:rFonts w:ascii="Times New Roman" w:cs="Times New Roman" w:eastAsia="Times New Roman" w:hAnsi="Times New Roman"/>
                  <w:sz w:val="16"/>
                  <w:szCs w:val="16"/>
                  <w:color w:val="0000FF"/>
                </w:rPr>
                <w:t>Exhibit 2.2 of First Advantage’s Form 10-Q filed on May 9, 2024).</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210">
              <w:r>
                <w:rPr>
                  <w:rFonts w:ascii="Times New Roman" w:cs="Times New Roman" w:eastAsia="Times New Roman" w:hAnsi="Times New Roman"/>
                  <w:sz w:val="16"/>
                  <w:szCs w:val="16"/>
                  <w:color w:val="0000FF"/>
                </w:rPr>
                <w:t>Amended and Restated Certificate of Incorporation of First Advantage Corporation (incorporated herein by reference to Exhibit 3.1 of First Advantage’s</w:t>
              </w:r>
            </w:hyperlink>
          </w:p>
        </w:tc>
        <w:tc>
          <w:tcPr>
            <w:tcW w:w="260" w:type="dxa"/>
            <w:vAlign w:val="bottom"/>
            <w:gridSpan w:val="7"/>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Borders>
              <w:bottom w:val="single" w:sz="8" w:color="0000FF"/>
            </w:tcBorders>
            <w:gridSpan w:val="2"/>
          </w:tcPr>
          <w:p>
            <w:pPr>
              <w:spacing w:after="0" w:line="183" w:lineRule="exact"/>
              <w:rPr>
                <w:rFonts w:ascii="Times New Roman" w:cs="Times New Roman" w:eastAsia="Times New Roman" w:hAnsi="Times New Roman"/>
                <w:sz w:val="16"/>
                <w:szCs w:val="16"/>
                <w:color w:val="0000FF"/>
              </w:rPr>
            </w:pPr>
            <w:hyperlink r:id="rId210">
              <w:r>
                <w:rPr>
                  <w:rFonts w:ascii="Times New Roman" w:cs="Times New Roman" w:eastAsia="Times New Roman" w:hAnsi="Times New Roman"/>
                  <w:sz w:val="16"/>
                  <w:szCs w:val="16"/>
                  <w:color w:val="0000FF"/>
                </w:rPr>
                <w:t>Form 8-K filed on June 25, 2021).</w:t>
              </w:r>
            </w:hyperlink>
          </w:p>
        </w:tc>
        <w:tc>
          <w:tcPr>
            <w:tcW w:w="7980" w:type="dxa"/>
            <w:vAlign w:val="bottom"/>
            <w:gridSpan w:val="21"/>
          </w:tcPr>
          <w:p>
            <w:pPr>
              <w:spacing w:after="0"/>
              <w:rPr>
                <w:sz w:val="15"/>
                <w:szCs w:val="15"/>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211">
              <w:r>
                <w:rPr>
                  <w:rFonts w:ascii="Times New Roman" w:cs="Times New Roman" w:eastAsia="Times New Roman" w:hAnsi="Times New Roman"/>
                  <w:sz w:val="16"/>
                  <w:szCs w:val="16"/>
                  <w:color w:val="0000FF"/>
                </w:rPr>
                <w:t>Amended and Restated Bylaws of First Advantage Corporation (incorporated herein by reference to Exhibit 3.2 of First Advantage’s Form 8-K filed on June</w:t>
              </w:r>
            </w:hyperlink>
          </w:p>
        </w:tc>
      </w:tr>
      <w:tr>
        <w:trPr>
          <w:trHeight w:val="183"/>
        </w:trPr>
        <w:tc>
          <w:tcPr>
            <w:tcW w:w="920" w:type="dxa"/>
            <w:vAlign w:val="bottom"/>
          </w:tcPr>
          <w:p>
            <w:pPr>
              <w:spacing w:after="0"/>
              <w:rPr>
                <w:sz w:val="15"/>
                <w:szCs w:val="15"/>
                <w:color w:val="auto"/>
              </w:rPr>
            </w:pPr>
          </w:p>
        </w:tc>
        <w:tc>
          <w:tcPr>
            <w:tcW w:w="800" w:type="dxa"/>
            <w:vAlign w:val="bottom"/>
            <w:gridSpan w:val="3"/>
          </w:tcPr>
          <w:p>
            <w:pPr>
              <w:ind w:left="120"/>
              <w:spacing w:after="0" w:line="183" w:lineRule="exact"/>
              <w:rPr>
                <w:rFonts w:ascii="Times New Roman" w:cs="Times New Roman" w:eastAsia="Times New Roman" w:hAnsi="Times New Roman"/>
                <w:sz w:val="16"/>
                <w:szCs w:val="16"/>
                <w:color w:val="0000FF"/>
                <w:w w:val="97"/>
              </w:rPr>
            </w:pPr>
            <w:hyperlink r:id="rId211">
              <w:r>
                <w:rPr>
                  <w:rFonts w:ascii="Times New Roman" w:cs="Times New Roman" w:eastAsia="Times New Roman" w:hAnsi="Times New Roman"/>
                  <w:sz w:val="16"/>
                  <w:szCs w:val="16"/>
                  <w:color w:val="0000FF"/>
                  <w:w w:val="97"/>
                </w:rPr>
                <w:t>25, 2021).</w:t>
              </w:r>
            </w:hyperlink>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212">
              <w:r>
                <w:rPr>
                  <w:rFonts w:ascii="Times New Roman" w:cs="Times New Roman" w:eastAsia="Times New Roman" w:hAnsi="Times New Roman"/>
                  <w:sz w:val="16"/>
                  <w:szCs w:val="16"/>
                  <w:color w:val="0000FF"/>
                </w:rPr>
                <w:t>Retirement Agreement, dated as of August 7, 2024, between David L. Gamsey and First Advantage Corporation (incorporated herein by reference to Exhibit</w:t>
              </w:r>
            </w:hyperlink>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tcBorders>
              <w:bottom w:val="single" w:sz="8" w:color="0000FF"/>
            </w:tcBorders>
            <w:gridSpan w:val="5"/>
          </w:tcPr>
          <w:p>
            <w:pPr>
              <w:spacing w:after="0" w:line="183" w:lineRule="exact"/>
              <w:rPr>
                <w:rFonts w:ascii="Times New Roman" w:cs="Times New Roman" w:eastAsia="Times New Roman" w:hAnsi="Times New Roman"/>
                <w:sz w:val="16"/>
                <w:szCs w:val="16"/>
                <w:color w:val="0000FF"/>
              </w:rPr>
            </w:pPr>
            <w:hyperlink r:id="rId212">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of First Advantage’s Form 8-K filed on August 8, 2024).</w:t>
              </w:r>
            </w:hyperlink>
          </w:p>
        </w:tc>
        <w:tc>
          <w:tcPr>
            <w:tcW w:w="20" w:type="dxa"/>
            <w:vAlign w:val="bottom"/>
            <w:tcBorders>
              <w:bottom w:val="single" w:sz="8" w:color="0000EE"/>
            </w:tcBorders>
          </w:tcPr>
          <w:p>
            <w:pPr>
              <w:spacing w:after="0"/>
              <w:rPr>
                <w:sz w:val="15"/>
                <w:szCs w:val="15"/>
                <w:color w:val="auto"/>
              </w:rPr>
            </w:pPr>
          </w:p>
        </w:tc>
        <w:tc>
          <w:tcPr>
            <w:tcW w:w="6180" w:type="dxa"/>
            <w:vAlign w:val="bottom"/>
            <w:gridSpan w:val="17"/>
          </w:tcPr>
          <w:p>
            <w:pPr>
              <w:spacing w:after="0"/>
              <w:rPr>
                <w:sz w:val="15"/>
                <w:szCs w:val="15"/>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rPr>
            </w:pPr>
            <w:hyperlink r:id="rId213">
              <w:r>
                <w:rPr>
                  <w:rFonts w:ascii="Times New Roman" w:cs="Times New Roman" w:eastAsia="Times New Roman" w:hAnsi="Times New Roman"/>
                  <w:sz w:val="16"/>
                  <w:szCs w:val="16"/>
                  <w:color w:val="0000FF"/>
                </w:rPr>
                <w:t>Retirement Agreement, dated as of September 3, 2024, between Joseph Jaeger and First Advantage Corporation (incorporated herein by reference to Exhibit</w:t>
              </w:r>
            </w:hyperlink>
          </w:p>
        </w:tc>
        <w:tc>
          <w:tcPr>
            <w:tcW w:w="20" w:type="dxa"/>
            <w:vAlign w:val="bottom"/>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Borders>
              <w:bottom w:val="single" w:sz="8" w:color="0000FF"/>
            </w:tcBorders>
            <w:gridSpan w:val="7"/>
          </w:tcPr>
          <w:p>
            <w:pPr>
              <w:spacing w:after="0" w:line="183" w:lineRule="exact"/>
              <w:rPr>
                <w:rFonts w:ascii="Times New Roman" w:cs="Times New Roman" w:eastAsia="Times New Roman" w:hAnsi="Times New Roman"/>
                <w:sz w:val="16"/>
                <w:szCs w:val="16"/>
                <w:color w:val="0000FF"/>
              </w:rPr>
            </w:pPr>
            <w:hyperlink r:id="rId213">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of First Advantage’s Form 8-K filed on September 3, 2024).</w:t>
              </w:r>
            </w:hyperlink>
          </w:p>
        </w:tc>
        <w:tc>
          <w:tcPr>
            <w:tcW w:w="20" w:type="dxa"/>
            <w:vAlign w:val="bottom"/>
            <w:tcBorders>
              <w:bottom w:val="single" w:sz="8" w:color="0000EE"/>
            </w:tcBorders>
          </w:tcPr>
          <w:p>
            <w:pPr>
              <w:spacing w:after="0"/>
              <w:rPr>
                <w:sz w:val="15"/>
                <w:szCs w:val="15"/>
                <w:color w:val="auto"/>
              </w:rPr>
            </w:pPr>
          </w:p>
        </w:tc>
        <w:tc>
          <w:tcPr>
            <w:tcW w:w="5960" w:type="dxa"/>
            <w:vAlign w:val="bottom"/>
            <w:gridSpan w:val="15"/>
          </w:tcPr>
          <w:p>
            <w:pPr>
              <w:spacing w:after="0"/>
              <w:rPr>
                <w:sz w:val="15"/>
                <w:szCs w:val="15"/>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Letter Agreement, dated as of October 31, 2024, by and among First Advantage Corporation, Broad Street Principal Investments, L.L.C., Checkers Control</w:t>
              </w:r>
            </w:hyperlink>
          </w:p>
        </w:tc>
        <w:tc>
          <w:tcPr>
            <w:tcW w:w="80" w:type="dxa"/>
            <w:vAlign w:val="bottom"/>
            <w:gridSpan w:val="2"/>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tcBorders>
              <w:bottom w:val="single" w:sz="8" w:color="0000FF"/>
            </w:tcBorders>
            <w:gridSpan w:val="20"/>
          </w:tcPr>
          <w:p>
            <w:pPr>
              <w:spacing w:after="0" w:line="183" w:lineRule="exact"/>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Partnership, L.P., Broad Street Control Advisors, L.L.C. and the other parties thereto (incorporated herein by reference to Exhibit 10.1 of First Advantage’s</w:t>
              </w:r>
            </w:hyperlink>
          </w:p>
        </w:tc>
        <w:tc>
          <w:tcPr>
            <w:tcW w:w="100" w:type="dxa"/>
            <w:vAlign w:val="bottom"/>
            <w:gridSpan w:val="3"/>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3"/>
          </w:tcPr>
          <w:p>
            <w:pPr>
              <w:spacing w:after="0" w:line="183" w:lineRule="exact"/>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Form 8-K filed on October 31, 2024).</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Borders>
              <w:right w:val="single" w:sz="8" w:color="0000EE"/>
            </w:tcBorders>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Amendment No. 4 to the First Lien Credit Agreement, among Fastball Parent, Inc., First Advantage Holdings, LLC, each lender from time to time party</w:t>
              </w:r>
            </w:hyperlink>
          </w:p>
        </w:tc>
        <w:tc>
          <w:tcPr>
            <w:tcW w:w="280" w:type="dxa"/>
            <w:vAlign w:val="bottom"/>
            <w:gridSpan w:val="8"/>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bottom w:val="single" w:sz="8" w:color="0000FF"/>
            </w:tcBorders>
            <w:gridSpan w:val="13"/>
          </w:tcPr>
          <w:p>
            <w:pPr>
              <w:spacing w:after="0" w:line="183" w:lineRule="exact"/>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thereto, Bank of America, N.A., as Administrative Agent and Collateral Agent and the Issuing Banks party thereto from time to time, dated October 31,</w:t>
              </w:r>
            </w:hyperlink>
          </w:p>
        </w:tc>
        <w:tc>
          <w:tcPr>
            <w:tcW w:w="320" w:type="dxa"/>
            <w:vAlign w:val="bottom"/>
            <w:gridSpan w:val="10"/>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3"/>
          </w:tcPr>
          <w:p>
            <w:pPr>
              <w:spacing w:after="0" w:line="183" w:lineRule="exact"/>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2024 (incorporated herein by reference to Exhibit 10.2 of First Advantage’s Form 8-K filed on October 31, 2024).</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4280" w:type="dxa"/>
            <w:vAlign w:val="bottom"/>
            <w:tcBorders>
              <w:right w:val="single" w:sz="8" w:color="0000EE"/>
            </w:tcBorders>
            <w:gridSpan w:val="7"/>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15d-14(a) under the Securities Exchange Act of 1934, as Adopted Pursuant to</w:t>
            </w:r>
          </w:p>
        </w:tc>
        <w:tc>
          <w:tcPr>
            <w:tcW w:w="140" w:type="dxa"/>
            <w:vAlign w:val="bottom"/>
            <w:gridSpan w:val="4"/>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3"/>
          </w:tcPr>
          <w:p>
            <w:pPr>
              <w:spacing w:after="0" w:line="183"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EE"/>
            </w:tcBorders>
            <w:gridSpan w:val="4"/>
            <w:shd w:val="clear" w:color="auto" w:fill="0000FF"/>
          </w:tcPr>
          <w:p>
            <w:pPr>
              <w:spacing w:after="0" w:line="20" w:lineRule="exact"/>
              <w:rPr>
                <w:sz w:val="1"/>
                <w:szCs w:val="1"/>
                <w:color w:val="auto"/>
              </w:rPr>
            </w:pPr>
          </w:p>
        </w:tc>
        <w:tc>
          <w:tcPr>
            <w:tcW w:w="67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15d-14(a) under the Securities Exchange Act of 1934, as Adopted Pursuant to</w:t>
            </w:r>
          </w:p>
        </w:tc>
        <w:tc>
          <w:tcPr>
            <w:tcW w:w="180" w:type="dxa"/>
            <w:vAlign w:val="bottom"/>
            <w:gridSpan w:val="5"/>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23"/>
          </w:tcPr>
          <w:p>
            <w:pPr>
              <w:spacing w:after="0" w:line="183"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EE"/>
            </w:tcBorders>
            <w:gridSpan w:val="4"/>
            <w:shd w:val="clear" w:color="auto" w:fill="0000FF"/>
          </w:tcPr>
          <w:p>
            <w:pPr>
              <w:spacing w:after="0" w:line="20" w:lineRule="exact"/>
              <w:rPr>
                <w:sz w:val="1"/>
                <w:szCs w:val="1"/>
                <w:color w:val="auto"/>
              </w:rPr>
            </w:pPr>
          </w:p>
        </w:tc>
        <w:tc>
          <w:tcPr>
            <w:tcW w:w="67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 Adopted Pursuant to Section 906 of the Sarbanes-Oxley Act of 2002.</w:t>
            </w:r>
          </w:p>
        </w:tc>
        <w:tc>
          <w:tcPr>
            <w:tcW w:w="300" w:type="dxa"/>
            <w:vAlign w:val="bottom"/>
            <w:gridSpan w:val="9"/>
          </w:tcPr>
          <w:p>
            <w:pPr>
              <w:spacing w:after="0"/>
              <w:rPr>
                <w:sz w:val="17"/>
                <w:szCs w:val="17"/>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as Adopted Pursuant to Section 906 of the Sarbanes-Oxley Act of 2002.</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60" w:type="dxa"/>
            <w:vAlign w:val="bottom"/>
            <w:tcBorders>
              <w:right w:val="single" w:sz="8" w:color="0000EE"/>
            </w:tcBorders>
            <w:gridSpan w:val="12"/>
            <w:shd w:val="clear" w:color="auto" w:fill="0000FF"/>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XBRL tags are embedded within the Inline</w:t>
            </w:r>
          </w:p>
        </w:tc>
      </w:tr>
      <w:tr>
        <w:trPr>
          <w:trHeight w:val="210"/>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2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95123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7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FIRST ADVANTAGE CORPORATION</w:t>
      </w:r>
    </w:p>
    <w:p>
      <w:pPr>
        <w:spacing w:after="0" w:line="252" w:lineRule="exact"/>
        <w:rPr>
          <w:sz w:val="20"/>
          <w:szCs w:val="20"/>
          <w:color w:val="auto"/>
        </w:rPr>
      </w:pPr>
    </w:p>
    <w:p>
      <w:pPr>
        <w:ind w:left="20"/>
        <w:spacing w:after="0"/>
        <w:tabs>
          <w:tab w:leader="none" w:pos="5660" w:val="left"/>
          <w:tab w:leader="none" w:pos="808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Scott Staples</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left="20"/>
        <w:spacing w:after="0"/>
        <w:tabs>
          <w:tab w:leader="none" w:pos="5660" w:val="left"/>
          <w:tab w:leader="none" w:pos="804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Steven Marks</w:t>
      </w:r>
    </w:p>
    <w:p>
      <w:pPr>
        <w:spacing w:after="0" w:line="3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Executive Vice President &amp; Chief Financial Officer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81" w:right="6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Staples, certify that:</w:t>
      </w:r>
    </w:p>
    <w:p>
      <w:pPr>
        <w:spacing w:after="0" w:line="333"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First Advantage Corporation;</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8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660" w:val="left"/>
          <w:tab w:leader="none" w:pos="808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Scott Staples</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Marks, certify that:</w:t>
      </w:r>
    </w:p>
    <w:p>
      <w:pPr>
        <w:spacing w:after="0" w:line="333"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First Advantage Corporation;</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80" w:hanging="514"/>
        <w:spacing w:after="0" w:line="266"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660" w:val="left"/>
          <w:tab w:leader="none" w:pos="804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Steven Marks</w:t>
      </w:r>
    </w:p>
    <w:p>
      <w:pPr>
        <w:spacing w:after="0" w:line="3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Executive Vice President &amp; Chief Financial Officer</w:t>
      </w:r>
    </w:p>
    <w:p>
      <w:pPr>
        <w:spacing w:after="0" w:line="3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First Advantage Corporation (the “Company”) for the quarter ended September 30, 2024, as filed with the Securities and Exchange Commission on the date hereof (the “Report”), I certify, pursuant to 18 U.S.C. § 1350, as adopted pursuant to § 906 of the Sarbanes-Oxley Act of 2002, that, to the best of my knowledge:</w:t>
      </w:r>
    </w:p>
    <w:p>
      <w:pPr>
        <w:spacing w:after="0" w:line="28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tabs>
          <w:tab w:leader="none" w:pos="5660" w:val="left"/>
          <w:tab w:leader="none" w:pos="808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Scott Staples</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5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First Advantage Corporation (the “Company”) for the quarter ended September 30, 2024, as filed with the Securities and Exchange Commission on the date hereof (the “Report”), I certify, pursuant to 18 U.S.C. § 1350, as adopted pursuant to § 906 of the Sarbanes-Oxley Act of 2002, that, to the best of my knowledge:</w:t>
      </w:r>
    </w:p>
    <w:p>
      <w:pPr>
        <w:spacing w:after="0" w:line="28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tabs>
          <w:tab w:leader="none" w:pos="5660" w:val="left"/>
          <w:tab w:leader="none" w:pos="804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Steven Marks</w:t>
      </w:r>
    </w:p>
    <w:p>
      <w:pPr>
        <w:spacing w:after="0" w:line="3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Executive Vice President &amp; Chief Financial Officer</w:t>
      </w:r>
    </w:p>
    <w:p>
      <w:pPr>
        <w:spacing w:after="0" w:line="3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2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08" Type="http://schemas.openxmlformats.org/officeDocument/2006/relationships/hyperlink" Target="https://www.sec.gov/Archives/edgar/data/1210677/000095017024023541/fa-ex2_1.htm" TargetMode="External"/><Relationship Id="rId209" Type="http://schemas.openxmlformats.org/officeDocument/2006/relationships/hyperlink" Target="https://www.sec.gov/Archives/edgar/data/1210677/000095017024056995/fa-ex2_2.htm" TargetMode="External"/><Relationship Id="rId210" Type="http://schemas.openxmlformats.org/officeDocument/2006/relationships/hyperlink" Target="https://www.sec.gov/Archives/edgar/data/1210677/000119312521200542/d12470dex31.htm" TargetMode="External"/><Relationship Id="rId211" Type="http://schemas.openxmlformats.org/officeDocument/2006/relationships/hyperlink" Target="https://www.sec.gov/Archives/edgar/data/1210677/000119312521200542/d12470dex32.htm" TargetMode="External"/><Relationship Id="rId212" Type="http://schemas.openxmlformats.org/officeDocument/2006/relationships/hyperlink" Target="https://www.sec.gov/Archives/edgar/data/1210677/000095017024093275/fa-ex10_1.htm" TargetMode="External"/><Relationship Id="rId213" Type="http://schemas.openxmlformats.org/officeDocument/2006/relationships/hyperlink" Target="https://www.sec.gov/Archives/edgar/data/1210677/000095017024102822/fa-ex10_1.htm" TargetMode="External"/><Relationship Id="rId214" Type="http://schemas.openxmlformats.org/officeDocument/2006/relationships/hyperlink" Target="https://www.sec.gov/Archives/edgar/data/1210677/000095017024119269/fa-ex10_1.htm" TargetMode="External"/><Relationship Id="rId215" Type="http://schemas.openxmlformats.org/officeDocument/2006/relationships/hyperlink" Target="https://www.sec.gov/Archives/edgar/data/1210677/000095017024119269/fa-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2024-11-12T15:52:07Z</dcterms:created>
  <dcterms:modified xsi:type="dcterms:W3CDTF">2024-11-12T15:52:07Z</dcterms:modified>
</cp:coreProperties>
</file>