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60630.htm"/>
      <w:bookmarkStart w:id="1" w:name="ksfa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868-4151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171,753,691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80"/>
                  <w:sz w:val="20"/>
                  <w:u w:val="single"/>
                </w:rPr>
                <w:t>Condensed Consolidated Statements of Operations and Comprehensive Income (Loss</w:t>
              </w:r>
            </w:hyperlink>
            <w:r>
              <w:rPr>
                <w:rFonts w:ascii="Times New Roman" w:hAnsi="Times New Roman"/>
                <w:color w:val="0563C1"/>
                <w:sz w:val="20"/>
                <w:u w:val="single"/>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146"/>
        <w:gridCol w:w="211"/>
        <w:gridCol w:w="931"/>
        <w:gridCol w:w="166"/>
        <w:gridCol w:w="146"/>
        <w:gridCol w:w="234"/>
        <w:gridCol w:w="1036"/>
        <w:gridCol w:w="613"/>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$7,792 and $8,084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297,281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deferred financing costs of $30,756 and $34,498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2,520,250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171,571,364 and 174,190,461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4"/>
        <w:gridCol w:w="546"/>
        <w:gridCol w:w="211"/>
        <w:gridCol w:w="1141"/>
        <w:gridCol w:w="166"/>
        <w:gridCol w:w="146"/>
        <w:gridCol w:w="211"/>
        <w:gridCol w:w="1141"/>
        <w:gridCol w:w="546"/>
        <w:gridCol w:w="546"/>
        <w:gridCol w:w="211"/>
        <w:gridCol w:w="1141"/>
        <w:gridCol w:w="166"/>
        <w:gridCol w:w="146"/>
        <w:gridCol w:w="211"/>
        <w:gridCol w:w="1141"/>
        <w:gridCol w:w="591"/>
      </w:tblGrid>
      <w:tr>
        <w:trPr/>
        <w:tc>
          <w:tcPr>
            <w:tcW w:w="19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352,896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173,288,662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172,930,881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172,930,881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and 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(21,107</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taxes on share repurchases incurred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1,293,784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1,299,163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Corporation, a Delaware corporation, was formed on November 15, 2019. Hereafter, First Advantage Corporation and its subsidiaries will collectively be referred to as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identity, and compliance services performed across all phases of the employee lifecycle from pre-onboarding services to post-onboarding and ongoing monitoring services, covering employees, contractors, contingent workers,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historically experienced seasonality with respect to certain customer industries as a result of fluctuations in hiring volumes and other economic activities. Certain customers across various industries historically increase their hiring throughout the second quarter of the year as winter concludes, and the school year ends, giving rise to student and graduate hiring, and increased commercial activity tied to other activities. This is generally followed by elevated pre-holiday season hiring volumes later in the summer and through October and November of each year. As a result, the Company has a mostly balanced revenue distribution across the second, third, and fourth quarters each year and a seasonal low in the first quarter.</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estimates, judgments, and assumptions, include, but are not limited to, the determination of the fair value and useful lives of assets acquired and liabilities assumed through business combinations, goodwill impairment, impairment of long-lived assets,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debt are disclosed in 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June 30, 2026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b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intangible assets are subject to nonrecurring fair value measurement as the result of business acquisitions. The fair values of these assets were estimated using the present value of expected future cash flows through unobservable inputs (Level 3).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 —</w:t>
      </w:r>
      <w:r>
        <w:rPr>
          <w:rFonts w:ascii="Times New Roman" w:hAnsi="Times New Roman"/>
          <w:color w:val="000000"/>
          <w:sz w:val="20"/>
        </w:rPr>
        <w:t xml:space="preserve">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did not have any customers which represented 10% or more of its consolidated revenues in any segment during the three and six months ended June 30, 2026 and 2025. Additionally, the Company did not have any customers which represented 10% or more of its consolidated accounts receivable, net for any period presented.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Foreign currency translation (loss) income included in accumulated other comprehensive income (loss) was approximately $(5.9) million and $14.4 million for the three months ended June 30, 2026 and 2025, respectively. Foreign currency translation (loss) income included in accumulated other comprehensive income (loss) was approximately $(12.8) million and $19.8 million for the six months ended June 30, 2026 and 2025,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loss. Foreign currency transaction income (loss) included in the accompanying condensed consolidated statements of operations and comprehensive income (loss) was approximately $0.2 million and $(0.6) million for the three months ended June 30, 2026 and 2025, respectively. Foreign currency transaction income (loss) included in the accompanying condensed consolidated statements of operations and comprehensive income (loss) was approximately $4.2 million and $(0.8) million for the six months ended June 30, 2026 and 2025,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There were no accounting pronouncements issued during the six months ended June 30, 2026 that are expected to have a material impact on the condensed consolidated financial statements.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3.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June 30, 2026 and December 31, 2025 consisted of the following (in thousands):</w:t>
      </w:r>
    </w:p>
    <w:tbl>
      <w:tblPr>
        <w:tblW w:w="10030" w:type="dxa"/>
        <w:jc w:val="left"/>
        <w:tblInd w:w="0" w:type="dxa"/>
        <w:tblLayout w:type="fixed"/>
        <w:tblCellMar>
          <w:top w:w="28" w:type="dxa"/>
          <w:left w:w="28" w:type="dxa"/>
          <w:bottom w:w="28" w:type="dxa"/>
          <w:right w:w="28" w:type="dxa"/>
        </w:tblCellMar>
      </w:tblPr>
      <w:tblGrid>
        <w:gridCol w:w="6736"/>
        <w:gridCol w:w="146"/>
        <w:gridCol w:w="225"/>
        <w:gridCol w:w="900"/>
        <w:gridCol w:w="166"/>
        <w:gridCol w:w="146"/>
        <w:gridCol w:w="301"/>
        <w:gridCol w:w="1199"/>
        <w:gridCol w:w="2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expense of property and equipment was approximately $27.5 million and $27.7 million for the three months ended June 30, 2026 and 2025, respectively. Depreciation and amortization expense of property and equipment was approximately $55.3 million for both the six months ended June 30, 2026 and 2025.</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Note 4.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changes in the carrying amount of goodwill for the six months ended June 30, 2026 by reportable segment were as follows (in thousands): </w:t>
      </w:r>
    </w:p>
    <w:tbl>
      <w:tblPr>
        <w:tblW w:w="9858" w:type="dxa"/>
        <w:jc w:val="left"/>
        <w:tblInd w:w="0" w:type="dxa"/>
        <w:tblLayout w:type="fixed"/>
        <w:tblCellMar>
          <w:top w:w="28" w:type="dxa"/>
          <w:left w:w="28" w:type="dxa"/>
          <w:bottom w:w="28" w:type="dxa"/>
          <w:right w:w="28" w:type="dxa"/>
        </w:tblCellMar>
      </w:tblPr>
      <w:tblGrid>
        <w:gridCol w:w="3721"/>
        <w:gridCol w:w="146"/>
        <w:gridCol w:w="274"/>
        <w:gridCol w:w="1016"/>
        <w:gridCol w:w="146"/>
        <w:gridCol w:w="146"/>
        <w:gridCol w:w="273"/>
        <w:gridCol w:w="1017"/>
        <w:gridCol w:w="166"/>
        <w:gridCol w:w="146"/>
        <w:gridCol w:w="211"/>
        <w:gridCol w:w="931"/>
        <w:gridCol w:w="166"/>
        <w:gridCol w:w="146"/>
        <w:gridCol w:w="211"/>
        <w:gridCol w:w="93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goodwill for asset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June 30, 2026 and December 31, 2025 (in thousands):</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pPr>
      <w:r>
        <w:rPr/>
        <w:t> </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January 2026, the Company sold certain customer relationships associated with an adjacent product to an unrelated third party for cash consideration. The customers transferred represented less than 0.5% of consolidated revenues for the year ended December 31, 2025. The Company retained the underlying technology, data, and other assets and continues to operate the subsidiary’s remaining portions of the business. Because the transaction did not represent a strategic shift or the disposal of a separate major line of business, the related operations are not presented as discontinued operations. In connection with the asset disposition, the Company derecognized $5.0 million of goodwill and $2.5 million of customer lists.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Amortization expense of trade names, customer lists, and other intangible assets was approximately $34.4 million and $34.2 million for the three months ended June 30, 2026 and 2025, respectively. Amortization expense of trade names, customer lists, and other intangible assets was approximately $68.8 million and $68.3 million for the six months ended June 30, 2026 and 2025, respectively. Trade names and customer lists are amortized on an accelerated basis based upon their estimated useful life. Other intangible assets are amortized on a straight-line or accelerated basis over their expected useful life of five years.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June 30, 2026 and December 31, 2025 and consisted of the following (in thousands): </w:t>
      </w:r>
    </w:p>
    <w:tbl>
      <w:tblPr>
        <w:tblW w:w="5862" w:type="dxa"/>
        <w:jc w:val="left"/>
        <w:tblInd w:w="0" w:type="dxa"/>
        <w:tblLayout w:type="fixed"/>
        <w:tblCellMar>
          <w:top w:w="28" w:type="dxa"/>
          <w:left w:w="28" w:type="dxa"/>
          <w:bottom w:w="28" w:type="dxa"/>
          <w:right w:w="28" w:type="dxa"/>
        </w:tblCellMar>
      </w:tblPr>
      <w:tblGrid>
        <w:gridCol w:w="2551"/>
        <w:gridCol w:w="146"/>
        <w:gridCol w:w="211"/>
        <w:gridCol w:w="931"/>
        <w:gridCol w:w="166"/>
        <w:gridCol w:w="146"/>
        <w:gridCol w:w="277"/>
        <w:gridCol w:w="1223"/>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is a party to a First Lien Credit Agreement (as amended, “2024 First Lien Credit Agreement”), which provided for a term loan of $2.185 billion due October 31, 2031 and a $250.0 million revolving credit facility due October 31, 2029. </w:t>
      </w:r>
    </w:p>
    <w:p>
      <w:pPr>
        <w:pStyle w:val="TextBody"/>
        <w:bidi w:val="0"/>
        <w:spacing w:before="0" w:after="180"/>
        <w:jc w:val="left"/>
        <w:rPr>
          <w:rFonts w:ascii="Times New Roman" w:hAnsi="Times New Roman"/>
          <w:sz w:val="20"/>
        </w:rPr>
      </w:pPr>
      <w:r>
        <w:rPr>
          <w:rFonts w:ascii="Times New Roman" w:hAnsi="Times New Roman"/>
          <w:color w:val="000000"/>
          <w:sz w:val="20"/>
        </w:rPr>
        <w:t>On July 30, 2025, the Company amended its 2024 First Lien Credit Agreement (“2025 Amended First Lien Credit Agreement”) to reduce the interest rate on its term loan to a range of 2.50% to 2.75%, based on the first lien ratio, plus the Secured Overnight Financing Rate (“SOFR”) and an applicable margin (“First Lien Credit Facility”). The amendment also reduced the interest rate on its revolving credit facility to a range of 2.25% to 2.75%, based on the first lien ratio, plus SOFR (“Amended Revolver”).</w:t>
      </w:r>
      <w:r>
        <w:rPr>
          <w:rFonts w:ascii="Times New Roman" w:hAnsi="Times New Roman"/>
          <w:color w:val="FF0000"/>
          <w:sz w:val="20"/>
        </w:rPr>
        <w:t xml:space="preserve"> </w:t>
      </w:r>
      <w:r>
        <w:rPr>
          <w:rFonts w:ascii="Times New Roman" w:hAnsi="Times New Roman"/>
          <w:color w:val="000000"/>
          <w:sz w:val="20"/>
        </w:rPr>
        <w:t xml:space="preserve">The Amended First Lien Credit Facility amortizes in equal quarterly installments in aggregate annual amounts equal to 1.00% of the principal amount. The Amended Revolver has no amortization.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six months ended June 30, 2026, the Company made aggregate voluntary principal prepayments of $50.0 million on its outstanding term loan. As a result of these prepayments, the Company recognized a loss on extinguishment of debt of $0.7 million, related to the write-off of unamortized deferred financing costs. No prepayment penalties were incurred. In accordance with the terms of the 2025 Amended First Lien Credit Agreement, the voluntary prepayments reduced the remaining scheduled future principal repayment obligations on the term loan.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As of June 30, 2026, there were no outstanding borrowings under the Amended Revolver and $2,064.5 million outstanding under the First Lien Credit Facility. In addition, $0.7 million in letters of credit were issued under the 2025 Amended First Lien Credit Agreement to support three office leases. As the Company had no outstanding amounts under the Amended Revolver, it was not subject to the consolidated first lien leverage ratio covenant. The Company was compliant with all covenants under the agreement as of June 30, 2026.</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6.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reduce exposure to variability in expected future cash outflows on variable rate debt attributable to the changes in one-month SOFR, the Company has historically entered into interest rate derivative instruments to economically offset a portion of this risk and may do so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six months ended June 30, 2026, the Company had the following derivatives that were not designated as a hedge in qualifying hedging relationships:</w:t>
      </w:r>
    </w:p>
    <w:tbl>
      <w:tblPr>
        <w:tblW w:w="7459" w:type="dxa"/>
        <w:jc w:val="left"/>
        <w:tblInd w:w="0" w:type="dxa"/>
        <w:tblLayout w:type="fixed"/>
        <w:tblCellMar>
          <w:top w:w="28" w:type="dxa"/>
          <w:left w:w="28" w:type="dxa"/>
          <w:bottom w:w="28" w:type="dxa"/>
          <w:right w:w="28" w:type="dxa"/>
        </w:tblCellMar>
      </w:tblPr>
      <w:tblGrid>
        <w:gridCol w:w="1516"/>
        <w:gridCol w:w="146"/>
        <w:gridCol w:w="1681"/>
        <w:gridCol w:w="146"/>
        <w:gridCol w:w="1681"/>
        <w:gridCol w:w="146"/>
        <w:gridCol w:w="1321"/>
        <w:gridCol w:w="146"/>
        <w:gridCol w:w="6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not designated as hedges are not speculative and are used to manage the Company’s exposure to interest rate movements; however, the Company has not elected to apply hedge accounting for these instruments.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as of June 30, 2026 and December 31, 2025 (in thousands):</w:t>
      </w:r>
    </w:p>
    <w:tbl>
      <w:tblPr>
        <w:tblW w:w="8877" w:type="dxa"/>
        <w:jc w:val="left"/>
        <w:tblInd w:w="0" w:type="dxa"/>
        <w:tblLayout w:type="fixed"/>
        <w:tblCellMar>
          <w:top w:w="28" w:type="dxa"/>
          <w:left w:w="28" w:type="dxa"/>
          <w:bottom w:w="28" w:type="dxa"/>
          <w:right w:w="28" w:type="dxa"/>
        </w:tblCellMar>
      </w:tblPr>
      <w:tblGrid>
        <w:gridCol w:w="2041"/>
        <w:gridCol w:w="146"/>
        <w:gridCol w:w="3436"/>
        <w:gridCol w:w="146"/>
        <w:gridCol w:w="303"/>
        <w:gridCol w:w="822"/>
        <w:gridCol w:w="146"/>
        <w:gridCol w:w="146"/>
        <w:gridCol w:w="403"/>
        <w:gridCol w:w="1097"/>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9289" w:type="dxa"/>
        <w:jc w:val="left"/>
        <w:tblInd w:w="0" w:type="dxa"/>
        <w:tblLayout w:type="fixed"/>
        <w:tblCellMar>
          <w:top w:w="28" w:type="dxa"/>
          <w:left w:w="28" w:type="dxa"/>
          <w:bottom w:w="28" w:type="dxa"/>
          <w:right w:w="28" w:type="dxa"/>
        </w:tblCellMar>
      </w:tblPr>
      <w:tblGrid>
        <w:gridCol w:w="2041"/>
        <w:gridCol w:w="146"/>
        <w:gridCol w:w="2101"/>
        <w:gridCol w:w="146"/>
        <w:gridCol w:w="249"/>
        <w:gridCol w:w="675"/>
        <w:gridCol w:w="172"/>
        <w:gridCol w:w="172"/>
        <w:gridCol w:w="249"/>
        <w:gridCol w:w="746"/>
        <w:gridCol w:w="166"/>
        <w:gridCol w:w="146"/>
        <w:gridCol w:w="228"/>
        <w:gridCol w:w="617"/>
        <w:gridCol w:w="157"/>
        <w:gridCol w:w="157"/>
        <w:gridCol w:w="228"/>
        <w:gridCol w:w="682"/>
        <w:gridCol w:w="21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7.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income tax expense and related balance sheet accounts reflect the consolidated results of the Company and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six months ended June 30, 2026, the Company estimated its annual effective tax rate based on projected full-year income and applied that rate to year-to-date pre-tax income. The resulting income tax provision was then adjusted for discrete tax items recognized during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six months ended June 30, 2026 were 32.5% and 32.7%, respectively. The Company’s effective income tax rates for the three and six months ended June 30, 2026 differed from the U.S. federal statutory income tax rate of 21% primarily due to the jurisdictional mix of earnings, U.S. state income taxes, and non-deductible share-based compensation. The jurisdictional mix of earnings was significantly affected by acquisition-related depreciation and amortization expense recorded in the U.S., which substantially reduced U.S. pre-tax income and increased the relative proportion of pre-tax income generated in certain of the Company’s more significant foreign jurisdictions, which generally have higher statutory tax rates than the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six months ended June 30, 2025 was 104.2% and 11.6%, respectively. The Company’s effective income tax rate for the three and six months ended June 30, 2025 differed from the U.S. federal statutory rate of 21% primarily due to the jurisdictional mix of earnings, driven by significant acquisition-related depreciation and amortization expense that impacted U.S. net loss in the periods and income taxes in the majority of foreign jurisdictions. The effective tax rates were further impacted by U.S. state income taxes and non-deductible share-based compensation.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8.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from transactional contracts with a defined price but an undefined quantity are recognized utilizing the right to invoice expedient, with revenues recognized as the services are provided and become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 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Contract balances are generated when the revenues recognized in a given period varies from billing. A contract asset is created when the Company performs a service for a customer and recognizes more revenues than what has been billed. The contract asset balance was $16.9 million as of both June 30, 2026 and December 31, 2025, and is included in accounts receivable, net in the accompanying condensed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$5.3 million and $5.0 million as of June 30, 2026 and December 31, 2025,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disclosures about the disaggregation of our revenues, see Note 14, “Reportable Segments.”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condensed consolidated statements of operations and comprehensive income (loss) as follows (in thousands): </w:t>
      </w:r>
    </w:p>
    <w:tbl>
      <w:tblPr>
        <w:tblW w:w="9067" w:type="dxa"/>
        <w:jc w:val="left"/>
        <w:tblInd w:w="0" w:type="dxa"/>
        <w:tblLayout w:type="fixed"/>
        <w:tblCellMar>
          <w:top w:w="28" w:type="dxa"/>
          <w:left w:w="28" w:type="dxa"/>
          <w:bottom w:w="28" w:type="dxa"/>
          <w:right w:w="28" w:type="dxa"/>
        </w:tblCellMar>
      </w:tblPr>
      <w:tblGrid>
        <w:gridCol w:w="3906"/>
        <w:gridCol w:w="146"/>
        <w:gridCol w:w="257"/>
        <w:gridCol w:w="697"/>
        <w:gridCol w:w="178"/>
        <w:gridCol w:w="178"/>
        <w:gridCol w:w="257"/>
        <w:gridCol w:w="697"/>
        <w:gridCol w:w="146"/>
        <w:gridCol w:w="146"/>
        <w:gridCol w:w="222"/>
        <w:gridCol w:w="603"/>
        <w:gridCol w:w="154"/>
        <w:gridCol w:w="154"/>
        <w:gridCol w:w="222"/>
        <w:gridCol w:w="713"/>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Prior to the Company’s 2021 Initial Public Offering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(“RSU”) at the holder’s election. Converted awards are subject to the same terms and conditions (including vesting) as applied to the replaced Sterling equity award. All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the Company had approximately $55.2 million of unrecognized pre-tax non-cash compensation expense related to its equity-based compensation plans. This amount includes approximately $30.8 million related to RSUs, $24.1 million related to stock options, and $0.3 million related to restricted stock. The Company expects to recognize this expense over a weighted average period of 1.9 years.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355"/>
        <w:gridCol w:w="146"/>
        <w:gridCol w:w="1396"/>
        <w:gridCol w:w="146"/>
        <w:gridCol w:w="146"/>
        <w:gridCol w:w="931"/>
        <w:gridCol w:w="166"/>
        <w:gridCol w:w="146"/>
        <w:gridCol w:w="369"/>
        <w:gridCol w:w="816"/>
        <w:gridCol w:w="146"/>
        <w:gridCol w:w="146"/>
        <w:gridCol w:w="2462"/>
        <w:gridCol w:w="146"/>
        <w:gridCol w:w="1688"/>
      </w:tblGrid>
      <w:tr>
        <w:trP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1,214,792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 million</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 million</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June 30, 2026, 22,044,326 shares were available for issuance under the 2021 Equity Plan.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315"/>
        <w:gridCol w:w="146"/>
        <w:gridCol w:w="1647"/>
        <w:gridCol w:w="146"/>
        <w:gridCol w:w="146"/>
        <w:gridCol w:w="931"/>
        <w:gridCol w:w="166"/>
        <w:gridCol w:w="146"/>
        <w:gridCol w:w="309"/>
        <w:gridCol w:w="841"/>
        <w:gridCol w:w="146"/>
        <w:gridCol w:w="146"/>
        <w:gridCol w:w="2326"/>
        <w:gridCol w:w="146"/>
        <w:gridCol w:w="1648"/>
      </w:tblGrid>
      <w:tr>
        <w:trPr/>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 million</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 million</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six months ended June 30, 2026 was estimated at the date of grant using the Black-Scholes option-pricing model with the following weighted average assumptions: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six months ended June 30, 2026 is as follows:</w:t>
      </w:r>
    </w:p>
    <w:tbl>
      <w:tblPr>
        <w:tblW w:w="6809" w:type="dxa"/>
        <w:jc w:val="left"/>
        <w:tblInd w:w="0" w:type="dxa"/>
        <w:tblLayout w:type="fixed"/>
        <w:tblCellMar>
          <w:top w:w="28" w:type="dxa"/>
          <w:left w:w="28" w:type="dxa"/>
          <w:bottom w:w="28" w:type="dxa"/>
          <w:right w:w="28" w:type="dxa"/>
        </w:tblCellMar>
      </w:tblPr>
      <w:tblGrid>
        <w:gridCol w:w="1696"/>
        <w:gridCol w:w="146"/>
        <w:gridCol w:w="1471"/>
        <w:gridCol w:w="146"/>
        <w:gridCol w:w="146"/>
        <w:gridCol w:w="9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six months ended June 30, 2026 is as follows:</w:t>
      </w:r>
    </w:p>
    <w:tbl>
      <w:tblPr>
        <w:tblW w:w="7499" w:type="dxa"/>
        <w:jc w:val="left"/>
        <w:tblInd w:w="0" w:type="dxa"/>
        <w:tblLayout w:type="fixed"/>
        <w:tblCellMar>
          <w:top w:w="28" w:type="dxa"/>
          <w:left w:w="28" w:type="dxa"/>
          <w:bottom w:w="28" w:type="dxa"/>
          <w:right w:w="28" w:type="dxa"/>
        </w:tblCellMar>
      </w:tblPr>
      <w:tblGrid>
        <w:gridCol w:w="1696"/>
        <w:gridCol w:w="146"/>
        <w:gridCol w:w="225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six months ended June 30, 2026 is as follows:</w:t>
      </w:r>
    </w:p>
    <w:tbl>
      <w:tblPr>
        <w:tblW w:w="6509" w:type="dxa"/>
        <w:jc w:val="left"/>
        <w:tblInd w:w="0" w:type="dxa"/>
        <w:tblLayout w:type="fixed"/>
        <w:tblCellMar>
          <w:top w:w="28" w:type="dxa"/>
          <w:left w:w="28" w:type="dxa"/>
          <w:bottom w:w="28" w:type="dxa"/>
          <w:right w:w="28" w:type="dxa"/>
        </w:tblCellMar>
      </w:tblPr>
      <w:tblGrid>
        <w:gridCol w:w="1696"/>
        <w:gridCol w:w="146"/>
        <w:gridCol w:w="1471"/>
        <w:gridCol w:w="146"/>
        <w:gridCol w:w="146"/>
        <w:gridCol w:w="6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six months ended June 30, 2026 is as follows:</w:t>
      </w:r>
    </w:p>
    <w:tbl>
      <w:tblPr>
        <w:tblW w:w="7499" w:type="dxa"/>
        <w:jc w:val="left"/>
        <w:tblInd w:w="0" w:type="dxa"/>
        <w:tblLayout w:type="fixed"/>
        <w:tblCellMar>
          <w:top w:w="28" w:type="dxa"/>
          <w:left w:w="28" w:type="dxa"/>
          <w:bottom w:w="28" w:type="dxa"/>
          <w:right w:w="28" w:type="dxa"/>
        </w:tblCellMar>
      </w:tblPr>
      <w:tblGrid>
        <w:gridCol w:w="1696"/>
        <w:gridCol w:w="146"/>
        <w:gridCol w:w="225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 (“ESPP”)</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and $0.1 million for the three months ended June 30, 2026 and 2025, respectively. The Company recorded an associated expense of approximately $0.5 million and $0.3 million for the six months ended June 30,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10.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and December 31, 2025, 250,000,000 shares of Preferred Stock were authorized, and no Preferred Stock was issued or outstanding.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25, 2026, the Company’s Board of Directors authorized the repurchase of up to $100.0 million of the Company’s common stock (the “2026 Repurchase Program”) with no expiration date.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repurchase activity under the 2026 Repurchase Program is summarized as follows (in thousands, except share and per share amounts):</w:t>
      </w:r>
    </w:p>
    <w:tbl>
      <w:tblPr>
        <w:tblW w:w="8780" w:type="dxa"/>
        <w:jc w:val="left"/>
        <w:tblInd w:w="0" w:type="dxa"/>
        <w:tblLayout w:type="fixed"/>
        <w:tblCellMar>
          <w:top w:w="28" w:type="dxa"/>
          <w:left w:w="28" w:type="dxa"/>
          <w:bottom w:w="28" w:type="dxa"/>
          <w:right w:w="28" w:type="dxa"/>
        </w:tblCellMar>
      </w:tblPr>
      <w:tblGrid>
        <w:gridCol w:w="3616"/>
        <w:gridCol w:w="146"/>
        <w:gridCol w:w="418"/>
        <w:gridCol w:w="1847"/>
        <w:gridCol w:w="146"/>
        <w:gridCol w:w="146"/>
        <w:gridCol w:w="382"/>
        <w:gridCol w:w="1688"/>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3,241,846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recorded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repurchase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recorded to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June 30, 2026, the remaining authorized value of shares available to be repurchased under this program was approximately $61.8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Repurchased shares of common stock were retired. The par value of repurchased shares was deducted from common stock and the excess repurchase price over par value is reflected as a reduction to accumulated deficit. Additional associated costs include the related brokerage commissions and excise taxes on share repurchases.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to the Company’s contractual obligations as compared to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$8.3 million and $8.7 million as of June 30, 2026 and December 31, 2025, respectively, for matters that it believes entail a loss that is both probable and estimable. This is included in accrued liabilities in the accompanying condensed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180" w:after="180"/>
        <w:jc w:val="left"/>
        <w:rPr>
          <w:rFonts w:ascii="Times New Roman" w:hAnsi="Times New Roman"/>
          <w:sz w:val="20"/>
        </w:rPr>
      </w:pPr>
      <w:r>
        <w:rPr>
          <w:rFonts w:ascii="Times New Roman" w:hAnsi="Times New Roman"/>
          <w:b/>
          <w:color w:val="000000"/>
          <w:sz w:val="20"/>
        </w:rPr>
        <w:t>Note 12.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Company had no material related party transactions for the six months ended June 30, 2026.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color w:val="000000"/>
          <w:sz w:val="20"/>
        </w:rPr>
        <w:t>Note 13.</w:t>
      </w:r>
      <w:r>
        <w:rPr>
          <w:rFonts w:ascii="Times New Roman" w:hAnsi="Times New Roman"/>
          <w:color w:val="000000"/>
          <w:sz w:val="20"/>
        </w:rPr>
        <w:t xml:space="preserve"> </w:t>
      </w:r>
      <w:r>
        <w:rPr>
          <w:rFonts w:ascii="Times New Roman" w:hAnsi="Times New Roman"/>
          <w:b/>
          <w:color w:val="000000"/>
          <w:sz w:val="20"/>
        </w:rPr>
        <w:t>Net Income (Loss)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(loss) per share was calculated as follows:</w:t>
      </w:r>
    </w:p>
    <w:tbl>
      <w:tblPr>
        <w:tblW w:w="10205" w:type="dxa"/>
        <w:jc w:val="left"/>
        <w:tblInd w:w="0" w:type="dxa"/>
        <w:tblLayout w:type="fixed"/>
        <w:tblCellMar>
          <w:top w:w="28" w:type="dxa"/>
          <w:left w:w="28" w:type="dxa"/>
          <w:bottom w:w="28" w:type="dxa"/>
          <w:right w:w="28" w:type="dxa"/>
        </w:tblCellMar>
      </w:tblPr>
      <w:tblGrid>
        <w:gridCol w:w="3564"/>
        <w:gridCol w:w="146"/>
        <w:gridCol w:w="211"/>
        <w:gridCol w:w="1141"/>
        <w:gridCol w:w="146"/>
        <w:gridCol w:w="146"/>
        <w:gridCol w:w="211"/>
        <w:gridCol w:w="1141"/>
        <w:gridCol w:w="146"/>
        <w:gridCol w:w="146"/>
        <w:gridCol w:w="211"/>
        <w:gridCol w:w="1141"/>
        <w:gridCol w:w="146"/>
        <w:gridCol w:w="146"/>
        <w:gridCol w:w="211"/>
        <w:gridCol w:w="1141"/>
        <w:gridCol w:w="211"/>
      </w:tblGrid>
      <w:tr>
        <w:trPr/>
        <w:tc>
          <w:tcPr>
            <w:tcW w:w="3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171,747,641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173,288,662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172,782,144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172,930,881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 options to purchase shares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173,911,739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172,930,881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three months ended June 30, 2026 and 2025, a total of 5,320,079 and 2,125,020 stock options, RSUs, and restricted stock awards were excluded from the calculation of diluted net income per share, respectively, because their effect was anti-dilutive. For the six months ended June 30, 2026 and 2025, a total of 7,246,512 and 3,938,915 stock options, RSUs, and restricted stock awards were excluded from the calculation of diluted net income (loss) per share, respectively, because their effect was anti-dilutive.</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14. Reportable 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three reportable segments: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chief operating decision maker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2. “Summary of Significant Accounting Policies” included in the Annual Report on Form 10-K for the year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Reconciliations of Segment Adjusted EBITDA to net income (loss) for the three and six months ended June 30, 2026 and 2025 is as follows (in thousands):</w:t>
      </w:r>
    </w:p>
    <w:tbl>
      <w:tblPr>
        <w:tblW w:w="10205" w:type="dxa"/>
        <w:jc w:val="left"/>
        <w:tblInd w:w="0" w:type="dxa"/>
        <w:tblLayout w:type="fixed"/>
        <w:tblCellMar>
          <w:top w:w="28" w:type="dxa"/>
          <w:left w:w="28" w:type="dxa"/>
          <w:bottom w:w="28" w:type="dxa"/>
          <w:right w:w="28" w:type="dxa"/>
        </w:tblCellMar>
      </w:tblPr>
      <w:tblGrid>
        <w:gridCol w:w="3221"/>
        <w:gridCol w:w="246"/>
        <w:gridCol w:w="354"/>
        <w:gridCol w:w="1312"/>
        <w:gridCol w:w="166"/>
        <w:gridCol w:w="146"/>
        <w:gridCol w:w="445"/>
        <w:gridCol w:w="1434"/>
        <w:gridCol w:w="166"/>
        <w:gridCol w:w="146"/>
        <w:gridCol w:w="211"/>
        <w:gridCol w:w="781"/>
        <w:gridCol w:w="146"/>
        <w:gridCol w:w="146"/>
        <w:gridCol w:w="211"/>
        <w:gridCol w:w="781"/>
        <w:gridCol w:w="293"/>
      </w:tblGrid>
      <w:tr>
        <w:trPr/>
        <w:tc>
          <w:tcPr>
            <w:tcW w:w="32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450,451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16,914</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1"/>
        <w:gridCol w:w="246"/>
        <w:gridCol w:w="352"/>
        <w:gridCol w:w="1305"/>
        <w:gridCol w:w="166"/>
        <w:gridCol w:w="146"/>
        <w:gridCol w:w="443"/>
        <w:gridCol w:w="1425"/>
        <w:gridCol w:w="166"/>
        <w:gridCol w:w="146"/>
        <w:gridCol w:w="211"/>
        <w:gridCol w:w="781"/>
        <w:gridCol w:w="166"/>
        <w:gridCol w:w="146"/>
        <w:gridCol w:w="211"/>
        <w:gridCol w:w="781"/>
        <w:gridCol w:w="313"/>
      </w:tblGrid>
      <w:tr>
        <w:trPr/>
        <w:tc>
          <w:tcPr>
            <w:tcW w:w="3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393,167</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113,946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1"/>
        <w:gridCol w:w="246"/>
        <w:gridCol w:w="354"/>
        <w:gridCol w:w="1312"/>
        <w:gridCol w:w="166"/>
        <w:gridCol w:w="146"/>
        <w:gridCol w:w="445"/>
        <w:gridCol w:w="1434"/>
        <w:gridCol w:w="166"/>
        <w:gridCol w:w="146"/>
        <w:gridCol w:w="211"/>
        <w:gridCol w:w="781"/>
        <w:gridCol w:w="146"/>
        <w:gridCol w:w="146"/>
        <w:gridCol w:w="211"/>
        <w:gridCol w:w="781"/>
        <w:gridCol w:w="293"/>
      </w:tblGrid>
      <w:tr>
        <w:trPr/>
        <w:tc>
          <w:tcPr>
            <w:tcW w:w="32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837,136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61,449</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1"/>
        <w:gridCol w:w="246"/>
        <w:gridCol w:w="352"/>
        <w:gridCol w:w="1305"/>
        <w:gridCol w:w="166"/>
        <w:gridCol w:w="146"/>
        <w:gridCol w:w="443"/>
        <w:gridCol w:w="1425"/>
        <w:gridCol w:w="166"/>
        <w:gridCol w:w="146"/>
        <w:gridCol w:w="211"/>
        <w:gridCol w:w="781"/>
        <w:gridCol w:w="166"/>
        <w:gridCol w:w="146"/>
        <w:gridCol w:w="211"/>
        <w:gridCol w:w="781"/>
        <w:gridCol w:w="313"/>
      </w:tblGrid>
      <w:tr>
        <w:trPr/>
        <w:tc>
          <w:tcPr>
            <w:tcW w:w="3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749,813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206,058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(40,886</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sans-serif" w:hAnsi="sans-serif"/>
          <w:sz w:val="22"/>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2026 include approximately $0.3</w:t>
      </w:r>
      <w:r>
        <w:rPr>
          <w:rFonts w:ascii="sans-serif" w:hAnsi="sans-serif"/>
          <w:color w:val="000000"/>
          <w:sz w:val="22"/>
        </w:rPr>
        <w:t xml:space="preserve"> </w:t>
      </w:r>
      <w:r>
        <w:rPr>
          <w:rFonts w:ascii="Times New Roman" w:hAnsi="Times New Roman"/>
          <w:color w:val="000000"/>
          <w:sz w:val="16"/>
        </w:rPr>
        <w:t>million and $0.5</w:t>
      </w:r>
      <w:r>
        <w:rPr>
          <w:rFonts w:ascii="sans-serif" w:hAnsi="sans-serif"/>
          <w:color w:val="000000"/>
          <w:sz w:val="22"/>
        </w:rPr>
        <w:t xml:space="preserve"> </w:t>
      </w:r>
      <w:r>
        <w:rPr>
          <w:rFonts w:ascii="Times New Roman" w:hAnsi="Times New Roman"/>
          <w:color w:val="000000"/>
          <w:sz w:val="16"/>
        </w:rPr>
        <w:t>million, respectively, of expense associated with the Sterling Acquisition. Transaction and acquisition related charges for the three and six months ended June 30, 2025 include approximately $2.3</w:t>
      </w:r>
      <w:r>
        <w:rPr>
          <w:rFonts w:ascii="sans-serif" w:hAnsi="sans-serif"/>
          <w:color w:val="000000"/>
          <w:sz w:val="22"/>
        </w:rPr>
        <w:t xml:space="preserve"> </w:t>
      </w:r>
      <w:r>
        <w:rPr>
          <w:rFonts w:ascii="Times New Roman" w:hAnsi="Times New Roman"/>
          <w:color w:val="000000"/>
          <w:sz w:val="16"/>
        </w:rPr>
        <w:t>million and $6.1</w:t>
      </w:r>
      <w:r>
        <w:rPr>
          <w:rFonts w:ascii="sans-serif" w:hAnsi="sans-serif"/>
          <w:color w:val="000000"/>
          <w:sz w:val="22"/>
        </w:rPr>
        <w:t xml:space="preserve"> </w:t>
      </w:r>
      <w:r>
        <w:rPr>
          <w:rFonts w:ascii="Times New Roman" w:hAnsi="Times New Roman"/>
          <w:color w:val="000000"/>
          <w:sz w:val="16"/>
        </w:rPr>
        <w:t>million, respectively, of expense associated with the Sterling Acquisition.</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sans-serif" w:hAnsi="sans-serif"/>
          <w:sz w:val="22"/>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and six months ended June 30, 2026 include approximately $2.2</w:t>
      </w:r>
      <w:r>
        <w:rPr>
          <w:rFonts w:ascii="sans-serif" w:hAnsi="sans-serif"/>
          <w:color w:val="000000"/>
          <w:sz w:val="22"/>
        </w:rPr>
        <w:t xml:space="preserve"> </w:t>
      </w:r>
      <w:r>
        <w:rPr>
          <w:rFonts w:ascii="Times New Roman" w:hAnsi="Times New Roman"/>
          <w:color w:val="000000"/>
          <w:sz w:val="16"/>
        </w:rPr>
        <w:t>million and $3.6</w:t>
      </w:r>
      <w:r>
        <w:rPr>
          <w:rFonts w:ascii="sans-serif" w:hAnsi="sans-serif"/>
          <w:color w:val="000000"/>
          <w:sz w:val="22"/>
        </w:rPr>
        <w:t xml:space="preserve"> </w:t>
      </w:r>
      <w:r>
        <w:rPr>
          <w:rFonts w:ascii="Times New Roman" w:hAnsi="Times New Roman"/>
          <w:color w:val="000000"/>
          <w:sz w:val="16"/>
        </w:rPr>
        <w:t>million, respectively, of expense associated with the integration of Sterling. Integration, restructuring, and other charges for the three and six months ended June 30, 2025 include approximately $3.7</w:t>
      </w:r>
      <w:r>
        <w:rPr>
          <w:rFonts w:ascii="sans-serif" w:hAnsi="sans-serif"/>
          <w:color w:val="000000"/>
          <w:sz w:val="22"/>
        </w:rPr>
        <w:t xml:space="preserve"> </w:t>
      </w:r>
      <w:r>
        <w:rPr>
          <w:rFonts w:ascii="Times New Roman" w:hAnsi="Times New Roman"/>
          <w:color w:val="000000"/>
          <w:sz w:val="16"/>
        </w:rPr>
        <w:t>million and $11.6</w:t>
      </w:r>
      <w:r>
        <w:rPr>
          <w:rFonts w:ascii="sans-serif" w:hAnsi="sans-serif"/>
          <w:color w:val="000000"/>
          <w:sz w:val="22"/>
        </w:rPr>
        <w:t xml:space="preserve"> </w:t>
      </w:r>
      <w:r>
        <w:rPr>
          <w:rFonts w:ascii="Times New Roman" w:hAnsi="Times New Roman"/>
          <w:color w:val="000000"/>
          <w:sz w:val="16"/>
        </w:rPr>
        <w:t>million, respectively, of expense associated with the integration of Sterling.</w:t>
      </w:r>
    </w:p>
    <w:p>
      <w:pPr>
        <w:pStyle w:val="TextBody"/>
        <w:bidi w:val="0"/>
        <w:spacing w:before="0" w:after="180"/>
        <w:jc w:val="left"/>
        <w:rPr>
          <w:rFonts w:ascii="Times New Roman" w:hAnsi="Times New Roman"/>
          <w:sz w:val="20"/>
        </w:rPr>
      </w:pPr>
      <w:r>
        <w:rPr>
          <w:rFonts w:ascii="Times New Roman" w:hAnsi="Times New Roman"/>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categorizes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7317" w:type="dxa"/>
        <w:jc w:val="left"/>
        <w:tblInd w:w="0" w:type="dxa"/>
        <w:tblLayout w:type="fixed"/>
        <w:tblCellMar>
          <w:top w:w="28" w:type="dxa"/>
          <w:left w:w="28" w:type="dxa"/>
          <w:bottom w:w="28" w:type="dxa"/>
          <w:right w:w="28" w:type="dxa"/>
        </w:tblCellMar>
      </w:tblPr>
      <w:tblGrid>
        <w:gridCol w:w="1736"/>
        <w:gridCol w:w="246"/>
        <w:gridCol w:w="211"/>
        <w:gridCol w:w="781"/>
        <w:gridCol w:w="146"/>
        <w:gridCol w:w="146"/>
        <w:gridCol w:w="211"/>
        <w:gridCol w:w="781"/>
        <w:gridCol w:w="246"/>
        <w:gridCol w:w="246"/>
        <w:gridCol w:w="211"/>
        <w:gridCol w:w="781"/>
        <w:gridCol w:w="146"/>
        <w:gridCol w:w="146"/>
        <w:gridCol w:w="211"/>
        <w:gridCol w:w="781"/>
        <w:gridCol w:w="291"/>
      </w:tblGrid>
      <w:tr>
        <w:trPr/>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334,907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5682" w:type="dxa"/>
        <w:jc w:val="left"/>
        <w:tblInd w:w="0" w:type="dxa"/>
        <w:tblLayout w:type="fixed"/>
        <w:tblCellMar>
          <w:top w:w="28" w:type="dxa"/>
          <w:left w:w="28" w:type="dxa"/>
          <w:bottom w:w="28" w:type="dxa"/>
          <w:right w:w="28" w:type="dxa"/>
        </w:tblCellMar>
      </w:tblPr>
      <w:tblGrid>
        <w:gridCol w:w="2311"/>
        <w:gridCol w:w="146"/>
        <w:gridCol w:w="211"/>
        <w:gridCol w:w="931"/>
        <w:gridCol w:w="146"/>
        <w:gridCol w:w="146"/>
        <w:gridCol w:w="277"/>
        <w:gridCol w:w="1223"/>
        <w:gridCol w:w="2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3,260,844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15. Subsequent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4, 2026, the Company made a voluntary principal repayment in the amount of $45.0 million under its First Lien Credit Facility. The repayment was made using available cash on hand. No prepayment penalties were incurred.</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discussion and analysis of First Advantage Corporation’s financial condition and results of operations is provided as a supplement to the condensed consolidated financial statements for the three and six months ended June 30, 2026, and should be read in conjunction with the audited consolidated financial statements for the year ended December 31, 2025, our “Risk Factors,” and “Management’s Discussion and Analysis of Financial Condition and Results of Operations” included in the Company’s Annual Report on Form 10-K for the year ended December 31, 2025 (the “2025 Annual Report”), filed with the Securities and Exchange Commission (the “SEC”).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Such risks and uncertainties include, but are not limited to, the following: the failure to realize the expected benefits of the Sterling Acquisition; adverse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 our operations in a highly regulated industry and the fact that we are subject to numerous and evolving laws and regulations, including with respect to personal data, data security, and artificial intelligence (“AI”); our inability to identify and successfully implement our growth strategies on a timely basis or at all; potential harm to our business, brand, and reputation as a result of security breaches, cyber-attacks, social, ethical, and legal issues relating to the use of new and evolving technologies, employee or other internal misconduct, computer viruses, or the mishandling of personal data; operating in a penetrated and competitive market; our reliance on third-party data providers; our sales to government entities and higher-tier contractors to governmental customers which involve unique competitive, procurement, budget, administrative and contractual risks;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failure to comply with anti-corruption, economic and trade sanctions, and anti-money laundering laws and regulations; disruptions at our Operation Centers of Excellence and other operational sites; our contracts with our customers, which do not guarantee exclusivity or contracted volumes; the timing, manner and volume of repurchases of common stock pursuant to our share repurchase program;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executives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on these and other factors that could cause First Advantage’s actual results to differ materially from expected results, please see our 2025 Annual Report, as such factors may be updated from time to time in our periodic filings with the SEC, which are accessible on the SEC’s website at www.sec.gov. The forward-looking statements included in this Quarterly Report on Form 10-Q are made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Form 10-Q, unless otherwise noted or indicated by the context:</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Sterling” refers to Sterling Check Corp., which became an indirect, wholly owned subsidiary of First Advantage on October 31, 2024, and now operates as a separate reportable segment;</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0" w:after="180"/>
        <w:jc w:val="left"/>
        <w:rPr>
          <w:color w:val="000000"/>
        </w:rPr>
      </w:pPr>
      <w:r>
        <w:rPr>
          <w:color w:val="000000"/>
        </w:rPr>
        <w:t>•</w:t>
      </w:r>
    </w:p>
    <w:p>
      <w:pPr>
        <w:pStyle w:val="TextBody"/>
        <w:bidi w:val="0"/>
        <w:spacing w:before="0" w:after="180"/>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derive a substantial majority of our revenues from pre-onboarding screening and perform screens across over 200 countries and territories, enabling us to serve as a one-stop-shop provider to both multinational companies and growth companies. Our over 80,000 customers are global enterprises, mid-sized companies, and small companies, and our products and solutions are used by personnel in Executive Management, Human Resources, Talent Acquisition, Compliance, Risk, Legal, Safety, and Vendor Management.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out-of-pocket costs, and bundling of products.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generated revenues of $448.8 million for the three months ended June 30, 2026, as compared to $390.6 million for the three months ended June 30, 2025 and generated revenues of $834.0 million for the six months ended June 30, 2026, as compared to $745.2 million for the six months ended June 30, 2025. Approximately 88% of our revenues for the three months ended June 30, 2026 was generated in the United States, while the remaining 12% was generated abroad. Approximately 87% of our revenues for the six months ended June 30, 2026 was generated in the United States, while the remaining 13% was generated abroad. Other than the United States, no single country accounted for 10% or more of our total revenues for the three and six months ended June 30, 2026. Please refer to “Results of Operations” for further details.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As a result, we have a mostly balanced revenue distribution across the second, third, and fourth quarters each year and a seasonal low in the first quarter. We expect that changes in consumer behavior, labor market conditions, technological innovation, and broader macroeconomic factors may impact future seasonality, but we are unable to predict these potential shifts and their impact to our business.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jc w:val="left"/>
        <w:rPr>
          <w:rFonts w:ascii="Times New Roman" w:hAnsi="Times New Roman"/>
          <w:color w:val="000000"/>
          <w:sz w:val="20"/>
        </w:rPr>
      </w:pPr>
      <w:r>
        <w:rPr>
          <w:rFonts w:ascii="Times New Roman" w:hAnsi="Times New Roman"/>
          <w:color w:val="000000"/>
          <w:sz w:val="20"/>
        </w:rPr>
        <w:t>Our results continue to be influenced by our customers’ underlying business performance, hiring patterns, and workforce strategies, which collectively drive demand for our background screening and adjacent solutions. Customer demand remains sensitive to a range of macroeconomic and labor-market factors, including hiring velocity, employee turnover, sector</w:t>
        <w:noBreakHyphen/>
        <w:t>specific employment trends, and overall economic conditions. During periods of economic uncertainty, employers may reduce or delay hiring, slow onboarding activity, or take a more measured approach to workforce expansion, which can negatively impact demand for our solutions.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Macroeconomic conditions during the period have continued to be volatile. While parts of the global economy have demonstrated resiliency and growth, employers continue to operate in an environment partially characterized by uncertain interest rates, inflationary pressure driven in part by higher energy and transportation costs, and uneven hiring activity across industries and geographies. Recent geopolitical developments, including ongoing conflicts in the Middle East and resulting disruptions to global energy markets, have contributed to inflation concerns, higher operating costs for many businesses, and increased uncertainty in planning and investment decisions. In addition, continued uncertainty surrounding global trade and tariff policies, shifting supply</w:t>
        <w:noBreakHyphen/>
        <w:t>chain strategies, and evolving regulatory and compliance requirements have contributed to cautious employer behavior, particularly among customers with international operations or exposure to cyclical end markets.</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Heightened geopolitical tensions, regional conflicts, and policy uncertainty have increased variability in customer hiring plans and workforce strategies. These conditions have resulted in slower decision</w:t>
        <w:noBreakHyphen/>
        <w:t>making, increased cost scrutiny, and greater focus on operational efficiency, including the pace and scale of new hiring initiatives. If the economic uncertainty is sustained or increases, we may experience a negative impact on new business generation, customer renewals, overall demand levels, sales and marketing efforts, revenues growth rates, customer deployments, customer collections, product development, or other financial metrics. Any of these factors could harm our business, financial condition, and operating results. Our ability to grow our business will also depend on the long-term strength, diversity, and durability of the verticals that we focus on and rely upon to drive our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these macroeconomic conditions, we remain confident in the overall long-term health of our business, the strength of our product offerings, and our ability to continue to execute on our strategy and help our customers hire with confidence and manage risk across the entire employee lifecycle. Our continued focus on delivering innovative solutions that enhance workplace safety and address evolving compliance requirements as well as our diversified customer base have contributed to the stability of our business and long-term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our “Risk Factors” and “Management’s Discussion and Analysis of Financial Condition and Results of Operations” included in the 2025 Annual Report.</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performed across all phases of the workforce lifecycle from pre-onboarding screening services to post-onboarding and ongoing monitoring services, covering employees, contractors, contingent workers,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applicant evaluation process and support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Cost of Services (exclusive of depreciation and amortization below)</w:t>
      </w:r>
      <w:r>
        <w:rPr>
          <w:rFonts w:ascii="Times New Roman" w:hAnsi="Times New Roman"/>
          <w:color w:val="000000"/>
          <w:sz w:val="20"/>
        </w:rPr>
        <w:t>:</w:t>
      </w:r>
      <w:r>
        <w:rPr>
          <w:color w:val="000000"/>
        </w:rPr>
        <w:t xml:space="preserve"> </w:t>
      </w:r>
      <w:r>
        <w:rPr>
          <w:rFonts w:ascii="Times New Roman" w:hAnsi="Times New Roman"/>
          <w:color w:val="000000"/>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Selling, General, and Administrative Expense</w:t>
      </w:r>
      <w:r>
        <w:rPr>
          <w:rFonts w:ascii="Times New Roman" w:hAnsi="Times New Roman"/>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acquisitions. Selling, general, and administrative expenses also include gains and losses from the sale of assets that do not constitute a sale of a business or discontinued operations. We do not allocate depreciation and amortization to selling, general, and administrative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customers. Operating expenses are influenced by revenue levels, customer and product mix, and the progress of acquisition-related integration activities. As revenues grow, we would generally expect cost of services to grow proportionally, although the rate of growth may vary based on automation, productivity initiatives, efficiency gains, shifts in mix, and third</w:t>
        <w:noBreakHyphen/>
        <w:t>party pass</w:t>
        <w:noBreakHyphen/>
        <w:t>through costs. We regularly review expenses and investments in the context of revenue trends and observed changes in the business to ensure alignment with our financial objectives. While we expect operating expenses to increase in absolute dollars as we support continued growth, we believe that, over the long term, operating expenses as a percentage of total revenues will gradually decline as we scale the business and advance our operating efficiency and automation initiatives.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other expense, net consists of the following: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Interest expense, net</w:t>
      </w:r>
      <w:r>
        <w:rPr>
          <w:rFonts w:ascii="Times New Roman" w:hAnsi="Times New Roman"/>
          <w:color w:val="000000"/>
          <w:sz w:val="20"/>
        </w:rPr>
        <w:t xml:space="preserve">: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Loss on Extinguishment of Debt</w:t>
      </w:r>
      <w:r>
        <w:rPr>
          <w:rFonts w:ascii="Times New Roman" w:hAnsi="Times New Roman"/>
          <w:color w:val="000000"/>
          <w:sz w:val="20"/>
        </w:rPr>
        <w:t>: Represents non-operating expense incurred when we repay or refinance debt prior to maturity. This includes the write-off of unamortized debt issuance costs and early repayment penalties, if any.</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Provision for income taxes consists of U.S. domestic and foreign corporate income taxes related to earnings, with applicable statutory tax rates varying by jurisdiction. Our effective tax rate may be affected by a number of factors, including changes in tax laws, regulations, or statutory rates; regulatory guidance, or new administrative interpretations of judicial decisions; and shifts in proportion of income earned in jurisdictions with differing statutory tax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our business continues to expand globally, the distribution of pretax income across domestic and foreign jurisdictions may fluctuate, resulting in volatility in our effective tax rate. Additionally, the effective tax rate may also be affected by the availability of tax credits and incentives, non-deductible expenses, changes in valuation allowances, and the resolution of uncertain tax positions. These factors, individually or collectively, may cause our provision for income taxes and effective tax rate to differ materially from period to period.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and six months ended June 30, 2026 compared to the three and six months ended June 30, 2025</w:t>
      </w:r>
    </w:p>
    <w:tbl>
      <w:tblPr>
        <w:tblW w:w="10205" w:type="dxa"/>
        <w:jc w:val="left"/>
        <w:tblInd w:w="0" w:type="dxa"/>
        <w:tblLayout w:type="fixed"/>
        <w:tblCellMar>
          <w:top w:w="28" w:type="dxa"/>
          <w:left w:w="28" w:type="dxa"/>
          <w:bottom w:w="28" w:type="dxa"/>
          <w:right w:w="28" w:type="dxa"/>
        </w:tblCellMar>
      </w:tblPr>
      <w:tblGrid>
        <w:gridCol w:w="3174"/>
        <w:gridCol w:w="546"/>
        <w:gridCol w:w="211"/>
        <w:gridCol w:w="781"/>
        <w:gridCol w:w="271"/>
        <w:gridCol w:w="146"/>
        <w:gridCol w:w="211"/>
        <w:gridCol w:w="781"/>
        <w:gridCol w:w="546"/>
        <w:gridCol w:w="546"/>
        <w:gridCol w:w="211"/>
        <w:gridCol w:w="781"/>
        <w:gridCol w:w="271"/>
        <w:gridCol w:w="146"/>
        <w:gridCol w:w="211"/>
        <w:gridCol w:w="781"/>
        <w:gridCol w:w="591"/>
      </w:tblGrid>
      <w:tr>
        <w:trPr/>
        <w:tc>
          <w:tcPr>
            <w:tcW w:w="31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352,896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8267" w:type="dxa"/>
        <w:jc w:val="left"/>
        <w:tblInd w:w="0" w:type="dxa"/>
        <w:tblLayout w:type="fixed"/>
        <w:tblCellMar>
          <w:top w:w="28" w:type="dxa"/>
          <w:left w:w="28" w:type="dxa"/>
          <w:bottom w:w="28" w:type="dxa"/>
          <w:right w:w="28" w:type="dxa"/>
        </w:tblCellMar>
      </w:tblPr>
      <w:tblGrid>
        <w:gridCol w:w="2606"/>
        <w:gridCol w:w="246"/>
        <w:gridCol w:w="211"/>
        <w:gridCol w:w="781"/>
        <w:gridCol w:w="166"/>
        <w:gridCol w:w="146"/>
        <w:gridCol w:w="211"/>
        <w:gridCol w:w="781"/>
        <w:gridCol w:w="266"/>
        <w:gridCol w:w="246"/>
        <w:gridCol w:w="211"/>
        <w:gridCol w:w="781"/>
        <w:gridCol w:w="166"/>
        <w:gridCol w:w="146"/>
        <w:gridCol w:w="211"/>
        <w:gridCol w:w="781"/>
        <w:gridCol w:w="311"/>
      </w:tblGrid>
      <w:tr>
        <w:trPr/>
        <w:tc>
          <w:tcPr>
            <w:tcW w:w="2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203,743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$448.8 million for the three months ended June 30, 2026, compared to $390.6 million for the three months ended June 30, 2025. Revenues for the three months ended June 30, 2026 increased by $58.1 million, or 14.9%, compared to the three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net increase of $41.6 million, or 10.6% from existing customer revenues, primarily driven by continued strength from upselling and cross-selling initiatives as well as increased volumes from existing customers, which were offset by the impact of lost accounts;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$16.6 million, or 4.2%, from new customers, primarily attributable to our First Advantage Americas and Sterling segments.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$834.0 million for the six months ended June 30, 2026, compared to $745.2 million for the six months ended June 30, 2025. Revenues for the six months ended June 30, 2026 increased by $88.7 million, or 11.9%,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net increase of $56.9 million, or 7.6% from existing customer revenues, primarily driven by continued strength from upselling and cross-selling initiatives as well as increased volumes from existing customers, which were offset by the impact of lost accounts;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$31.8 million, or 4.3%, from new customers, primarily attributable to our First Advantage Americas and Sterling segments.</w:t>
      </w:r>
    </w:p>
    <w:p>
      <w:pPr>
        <w:pStyle w:val="TextBody"/>
        <w:bidi w:val="0"/>
        <w:spacing w:before="60" w:after="180"/>
        <w:jc w:val="left"/>
        <w:rPr>
          <w:rFonts w:ascii="Times New Roman" w:hAnsi="Times New Roman"/>
          <w:sz w:val="20"/>
        </w:rPr>
      </w:pPr>
      <w:r>
        <w:rPr>
          <w:rFonts w:ascii="Times New Roman" w:hAnsi="Times New Roman"/>
          <w:color w:val="000000"/>
          <w:sz w:val="20"/>
        </w:rPr>
        <w:t>Pricing remained relatively stable across all periods.</w:t>
      </w:r>
      <w:r>
        <w:rPr>
          <w:rFonts w:ascii="Times New Roman" w:hAnsi="Times New Roman"/>
          <w:color w:val="FF0000"/>
          <w:sz w:val="20"/>
        </w:rPr>
        <w:t xml:space="preserve"> </w:t>
      </w:r>
    </w:p>
    <w:p>
      <w:pPr>
        <w:pStyle w:val="TextBody"/>
        <w:bidi w:val="0"/>
        <w:spacing w:before="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8532" w:type="dxa"/>
        <w:jc w:val="left"/>
        <w:tblInd w:w="0" w:type="dxa"/>
        <w:tblLayout w:type="fixed"/>
        <w:tblCellMar>
          <w:top w:w="28" w:type="dxa"/>
          <w:left w:w="28" w:type="dxa"/>
          <w:bottom w:w="28" w:type="dxa"/>
          <w:right w:w="28" w:type="dxa"/>
        </w:tblCellMar>
      </w:tblPr>
      <w:tblGrid>
        <w:gridCol w:w="2851"/>
        <w:gridCol w:w="146"/>
        <w:gridCol w:w="211"/>
        <w:gridCol w:w="781"/>
        <w:gridCol w:w="271"/>
        <w:gridCol w:w="146"/>
        <w:gridCol w:w="211"/>
        <w:gridCol w:w="781"/>
        <w:gridCol w:w="271"/>
        <w:gridCol w:w="146"/>
        <w:gridCol w:w="211"/>
        <w:gridCol w:w="781"/>
        <w:gridCol w:w="271"/>
        <w:gridCol w:w="146"/>
        <w:gridCol w:w="211"/>
        <w:gridCol w:w="781"/>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$244.8 million for the three months ended June 30, 2026, compared to $207.8 million for the three months ended June 30, 2025. Cost of services for the three months ended June 30, 2026 increased by $36.9 million, or 17.8%, compared to the three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$29.8 million increase in third-party data expenses as a result of increased revenue volumes;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$1.0 million increase in software costs.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Cost of services as a percentage of revenues was 54.5% for the three months ended June 30, 2026, compared to 53.2% for the three months ended June 30, 2025. The cost of services percentage of revenues for the second quarter of 2026 was impacted by product and customer mix and increases in third party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Cost of services was $456.2 million for the six months ended June 30, 2026, compared to $400.4 million for the six months ended June 30, 2025. Cost of services for the six months ended June 30, 2026 increased by $55.8 million, or 13.9%,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$46.4 million increase in third-party data expenses as a result of increased revenue volumes;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$2.1 million increase in software costs.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Cost of services as a percentage of revenues was 54.7% for the six months ended June 30, 2026, compared to 53.7% for the six months ended June 30, 2025. The cost of services percentage of revenues for the first half of 2026 was impacted by product and customer mix and increases in third party costs.</w:t>
      </w:r>
    </w:p>
    <w:p>
      <w:pPr>
        <w:pStyle w:val="TextBody"/>
        <w:bidi w:val="0"/>
        <w:spacing w:before="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7737" w:type="dxa"/>
        <w:jc w:val="left"/>
        <w:tblInd w:w="0" w:type="dxa"/>
        <w:tblLayout w:type="fixed"/>
        <w:tblCellMar>
          <w:top w:w="28" w:type="dxa"/>
          <w:left w:w="28" w:type="dxa"/>
          <w:bottom w:w="28" w:type="dxa"/>
          <w:right w:w="28" w:type="dxa"/>
        </w:tblCellMar>
      </w:tblPr>
      <w:tblGrid>
        <w:gridCol w:w="2776"/>
        <w:gridCol w:w="146"/>
        <w:gridCol w:w="231"/>
        <w:gridCol w:w="741"/>
        <w:gridCol w:w="160"/>
        <w:gridCol w:w="160"/>
        <w:gridCol w:w="231"/>
        <w:gridCol w:w="741"/>
        <w:gridCol w:w="146"/>
        <w:gridCol w:w="146"/>
        <w:gridCol w:w="211"/>
        <w:gridCol w:w="677"/>
        <w:gridCol w:w="146"/>
        <w:gridCol w:w="146"/>
        <w:gridCol w:w="211"/>
        <w:gridCol w:w="677"/>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Product and technology expense was $27.3 million for the three months ended June 30, 2026, compared to $25.7 million for the three months ended June 30, 2025. Product and technology expense for the three months ended June 30, 2026 increased by $1.6 million, or 6.2%, compared to the three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 a $2.8 million increase in personnel expenses and software costs related to continued investments in our products, solutions and technology platforms. The increase was offset by a $1.3 million decrease in professional services costs from non-recurring integration activities incurred in the prior year.</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$51.9 million for the six months ended June 30, 2026, compared to $52.8 million for the six months ended June 30, 2025. Product and technology expense for the six months ended June 30, 2026 decreased by $1.0 million, or 1.8%,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product and technology expense was primarily due to a $3.5 million decrease in software costs and professional services costs from non-recurring integration activities incurred in the prior year. The decrease was offset by a $2.0 million increase in personnel expenses related to continued investments in our products, solutions, and technology platforms.</w:t>
      </w:r>
    </w:p>
    <w:p>
      <w:pPr>
        <w:pStyle w:val="TextBody"/>
        <w:bidi w:val="0"/>
        <w:spacing w:before="0" w:after="18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8875" w:type="dxa"/>
        <w:jc w:val="left"/>
        <w:tblInd w:w="0" w:type="dxa"/>
        <w:tblLayout w:type="fixed"/>
        <w:tblCellMar>
          <w:top w:w="28" w:type="dxa"/>
          <w:left w:w="28" w:type="dxa"/>
          <w:bottom w:w="28" w:type="dxa"/>
          <w:right w:w="28" w:type="dxa"/>
        </w:tblCellMar>
      </w:tblPr>
      <w:tblGrid>
        <w:gridCol w:w="3706"/>
        <w:gridCol w:w="146"/>
        <w:gridCol w:w="231"/>
        <w:gridCol w:w="741"/>
        <w:gridCol w:w="160"/>
        <w:gridCol w:w="160"/>
        <w:gridCol w:w="231"/>
        <w:gridCol w:w="741"/>
        <w:gridCol w:w="146"/>
        <w:gridCol w:w="146"/>
        <w:gridCol w:w="211"/>
        <w:gridCol w:w="781"/>
        <w:gridCol w:w="146"/>
        <w:gridCol w:w="146"/>
        <w:gridCol w:w="211"/>
        <w:gridCol w:w="78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$57.8 million for the three months ended June 30, 2026, compared to $57.5 million for the three months ended June 30, 2025. Selling, general, and administrative expense for the three months ended June 30, 2026 increased by $0.3 million, or 0.6%, compared to the three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increased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$3.0 million increase in incentive expenses related to commission and bonus programs;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$1.8 million increase in professional services and related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increases were partially offset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$2.1 million decrease in other personnel and facilities expenses resulting from cost-savings actions implemented by the Company in 2025;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$1.8 million favorable impact from foreign exchange gains.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$111.3 million for the six months ended June 30, 2026, compared to $123.1 million for the six months ended June 30, 2025. Selling, general, and administrative expense for the six months ended June 30, 2026 decreased by $11.8 million, or 9.6%,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decreased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$5.0 million decrease in personnel expenses resulting from cost-savings actions implemented by the Company in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$4.9 million decrease in share-based compensation expense, primarily due to Sterling equity awards converted to First Advantage equity awards in connection with the October 2024 acquisition becoming fully vested;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$3.4 million decrease in bonus expense, primarily driven by lower cash compensation related to Sterling equity awards converted to cash awards in connection with the October 2024 acquisition becoming fully vested.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decreases were partially offset by a $5.2 million loss on the sale of assets related to an adjacent product during the six months ended June 30, 2026, which did not constitute a sale of a business or discontinued operations.</w:t>
      </w:r>
    </w:p>
    <w:p>
      <w:pPr>
        <w:pStyle w:val="TextBody"/>
        <w:bidi w:val="0"/>
        <w:spacing w:before="6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7765" w:type="dxa"/>
        <w:jc w:val="left"/>
        <w:tblInd w:w="0" w:type="dxa"/>
        <w:tblLayout w:type="fixed"/>
        <w:tblCellMar>
          <w:top w:w="28" w:type="dxa"/>
          <w:left w:w="28" w:type="dxa"/>
          <w:bottom w:w="28" w:type="dxa"/>
          <w:right w:w="28" w:type="dxa"/>
        </w:tblCellMar>
      </w:tblPr>
      <w:tblGrid>
        <w:gridCol w:w="2596"/>
        <w:gridCol w:w="146"/>
        <w:gridCol w:w="231"/>
        <w:gridCol w:w="741"/>
        <w:gridCol w:w="160"/>
        <w:gridCol w:w="160"/>
        <w:gridCol w:w="231"/>
        <w:gridCol w:w="741"/>
        <w:gridCol w:w="146"/>
        <w:gridCol w:w="146"/>
        <w:gridCol w:w="211"/>
        <w:gridCol w:w="781"/>
        <w:gridCol w:w="146"/>
        <w:gridCol w:w="146"/>
        <w:gridCol w:w="211"/>
        <w:gridCol w:w="78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was $61.9 million for the three months ended June 30, 2026 and 2025, remaining relatively flat year-over-year.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Depreciation and amortization was $124.1 million for the six months ended June 30, 2026, compared to $123.6 million for the six months ended June 30, 2025. Depreciation and amortization for the six months ended June 30, 2026 increased by $0.5 million, or 0.4%, compared to the six months ended June 30, 2025, remaining relatively flat year-over-year.</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Expense, Net</w:t>
      </w:r>
    </w:p>
    <w:tbl>
      <w:tblPr>
        <w:tblW w:w="6732" w:type="dxa"/>
        <w:jc w:val="left"/>
        <w:tblInd w:w="0" w:type="dxa"/>
        <w:tblLayout w:type="fixed"/>
        <w:tblCellMar>
          <w:top w:w="28" w:type="dxa"/>
          <w:left w:w="28" w:type="dxa"/>
          <w:bottom w:w="28" w:type="dxa"/>
          <w:right w:w="28" w:type="dxa"/>
        </w:tblCellMar>
      </w:tblPr>
      <w:tblGrid>
        <w:gridCol w:w="1771"/>
        <w:gridCol w:w="146"/>
        <w:gridCol w:w="231"/>
        <w:gridCol w:w="741"/>
        <w:gridCol w:w="160"/>
        <w:gridCol w:w="160"/>
        <w:gridCol w:w="231"/>
        <w:gridCol w:w="741"/>
        <w:gridCol w:w="146"/>
        <w:gridCol w:w="146"/>
        <w:gridCol w:w="211"/>
        <w:gridCol w:w="677"/>
        <w:gridCol w:w="146"/>
        <w:gridCol w:w="146"/>
        <w:gridCol w:w="211"/>
        <w:gridCol w:w="677"/>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$31.6 million for the three months ended June 30, 2026, compared to $44.8 million for the three months ended June 30, 2025. Interest expense, net for the three months ended June 30, 2026 decreased by $13.2 million or 29.4%, compared to the three months ended June 30, 2025. </w:t>
      </w:r>
    </w:p>
    <w:p>
      <w:pPr>
        <w:pStyle w:val="TextBody"/>
        <w:bidi w:val="0"/>
        <w:jc w:val="left"/>
        <w:rPr>
          <w:rFonts w:ascii="Times New Roman" w:hAnsi="Times New Roman"/>
          <w:color w:val="000000"/>
          <w:sz w:val="20"/>
        </w:rPr>
      </w:pPr>
      <w:r>
        <w:rPr>
          <w:rFonts w:ascii="Times New Roman" w:hAnsi="Times New Roman"/>
          <w:color w:val="000000"/>
          <w:sz w:val="20"/>
        </w:rPr>
        <w:t>The decrease in interest expense was primarily driven by lower interest on the Company’s term loan, reflecting voluntary principal repayments and reduced interest rates following the Company’s 2025 amendment to its 2024 First Lien Credit Agreement. The decrease was further impacted by an increase in unrealized gains of $5.7 million on the Company’s interest rate swaps, driven by interest rate volatility during the period.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$61.4 million for the six months ended June 30, 2026, compared to $91.4 million for the six months ended June 30, 2025. Interest expense, net for the six months ended June 30, 2026 decreased by $29.9 million or 32.7%, compared to the six months ended June 30, 2025. </w:t>
      </w:r>
    </w:p>
    <w:p>
      <w:pPr>
        <w:pStyle w:val="TextBody"/>
        <w:bidi w:val="0"/>
        <w:jc w:val="left"/>
        <w:rPr>
          <w:rFonts w:ascii="Times New Roman" w:hAnsi="Times New Roman"/>
          <w:color w:val="000000"/>
          <w:sz w:val="20"/>
        </w:rPr>
      </w:pPr>
      <w:r>
        <w:rPr>
          <w:rFonts w:ascii="Times New Roman" w:hAnsi="Times New Roman"/>
          <w:color w:val="000000"/>
          <w:sz w:val="20"/>
        </w:rPr>
        <w:t>The decrease in interest expense was primarily driven by lower interest on the Company’s term loan, reflecting voluntary principal repayments and reduced interest rates following the Company’s 2025 amendment to its 2024 First Lien Credit Agreement. The decrease was further impacted by an increase in unrealized gains of $14.6 million on the Company’s interest rate swaps, driven by interest rate volatility during the period.</w:t>
      </w:r>
    </w:p>
    <w:p>
      <w:pPr>
        <w:pStyle w:val="TextBody"/>
        <w:bidi w:val="0"/>
        <w:spacing w:before="180" w:after="18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xml:space="preserve"> </w:t>
      </w:r>
    </w:p>
    <w:tbl>
      <w:tblPr>
        <w:tblW w:w="7647" w:type="dxa"/>
        <w:jc w:val="left"/>
        <w:tblInd w:w="0" w:type="dxa"/>
        <w:tblLayout w:type="fixed"/>
        <w:tblCellMar>
          <w:top w:w="28" w:type="dxa"/>
          <w:left w:w="28" w:type="dxa"/>
          <w:bottom w:w="28" w:type="dxa"/>
          <w:right w:w="28" w:type="dxa"/>
        </w:tblCellMar>
      </w:tblPr>
      <w:tblGrid>
        <w:gridCol w:w="2686"/>
        <w:gridCol w:w="146"/>
        <w:gridCol w:w="307"/>
        <w:gridCol w:w="613"/>
        <w:gridCol w:w="212"/>
        <w:gridCol w:w="212"/>
        <w:gridCol w:w="307"/>
        <w:gridCol w:w="613"/>
        <w:gridCol w:w="146"/>
        <w:gridCol w:w="146"/>
        <w:gridCol w:w="280"/>
        <w:gridCol w:w="560"/>
        <w:gridCol w:w="194"/>
        <w:gridCol w:w="194"/>
        <w:gridCol w:w="280"/>
        <w:gridCol w:w="560"/>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Loss on extinguishment of debt for the three and six months ended June 30, 2026 relates to the write-off of unamortized deferred financing costs as a result of voluntary principal repayments of $25.0 million and $50.0 million during the three and six months ended June 30, 2026, respectively, on the Company’s outstanding term loan facility. </w:t>
      </w:r>
    </w:p>
    <w:p>
      <w:pPr>
        <w:pStyle w:val="TextBody"/>
        <w:bidi w:val="0"/>
        <w:spacing w:before="0" w:after="18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8017" w:type="dxa"/>
        <w:jc w:val="left"/>
        <w:tblInd w:w="0" w:type="dxa"/>
        <w:tblLayout w:type="fixed"/>
        <w:tblCellMar>
          <w:top w:w="28" w:type="dxa"/>
          <w:left w:w="28" w:type="dxa"/>
          <w:bottom w:w="28" w:type="dxa"/>
          <w:right w:w="28" w:type="dxa"/>
        </w:tblCellMar>
      </w:tblPr>
      <w:tblGrid>
        <w:gridCol w:w="3016"/>
        <w:gridCol w:w="146"/>
        <w:gridCol w:w="249"/>
        <w:gridCol w:w="675"/>
        <w:gridCol w:w="172"/>
        <w:gridCol w:w="172"/>
        <w:gridCol w:w="249"/>
        <w:gridCol w:w="746"/>
        <w:gridCol w:w="166"/>
        <w:gridCol w:w="146"/>
        <w:gridCol w:w="228"/>
        <w:gridCol w:w="617"/>
        <w:gridCol w:w="157"/>
        <w:gridCol w:w="157"/>
        <w:gridCol w:w="228"/>
        <w:gridCol w:w="682"/>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(benefit) for income taxes was $8.1 million for the three months ended June 30, 2026, compared to $(7.6) million for the three months ended June 30, 2025. Our provision for income taxes for the three months ended June 30, 2026 increased by $15.8 million, compared to the three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the provision for income taxes was primarily due to higher pre-tax earnings during the three months ended June 30, 2026, as compared to the three months ended June 30, 2025, during which the Company reported a pre-tax loss.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provision (benefit) for income taxes was $9.3 million for the six months ended June 30, 2026, compared to $(5.4) million for the six months ended June 30, 2025. Our provision for income taxes for the six months ended June 30, 2026 increased by $14.7 million,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the provision for income taxes was primarily due to higher pre-tax earnings during the six months ended June 30, 2026, as compared to the six months ended June 30, 2025, during which the Company reported a pre-tax loss.</w:t>
      </w:r>
    </w:p>
    <w:p>
      <w:pPr>
        <w:pStyle w:val="TextBody"/>
        <w:bidi w:val="0"/>
        <w:spacing w:before="0" w:after="180"/>
        <w:jc w:val="left"/>
        <w:rPr>
          <w:rFonts w:ascii="Times New Roman" w:hAnsi="Times New Roman"/>
          <w:sz w:val="20"/>
        </w:rPr>
      </w:pPr>
      <w:r>
        <w:rPr>
          <w:rFonts w:ascii="Times New Roman" w:hAnsi="Times New Roman"/>
          <w:i/>
          <w:color w:val="000000"/>
          <w:sz w:val="20"/>
        </w:rPr>
        <w:t>Net Income and Net Income Margin</w:t>
      </w:r>
      <w:r>
        <w:rPr>
          <w:rFonts w:ascii="Times New Roman" w:hAnsi="Times New Roman"/>
          <w:color w:val="000000"/>
          <w:sz w:val="20"/>
        </w:rPr>
        <w:t xml:space="preserve"> </w:t>
      </w:r>
    </w:p>
    <w:tbl>
      <w:tblPr>
        <w:tblW w:w="7973" w:type="dxa"/>
        <w:jc w:val="left"/>
        <w:tblInd w:w="0" w:type="dxa"/>
        <w:tblLayout w:type="fixed"/>
        <w:tblCellMar>
          <w:top w:w="28" w:type="dxa"/>
          <w:left w:w="28" w:type="dxa"/>
          <w:bottom w:w="28" w:type="dxa"/>
          <w:right w:w="28" w:type="dxa"/>
        </w:tblCellMar>
      </w:tblPr>
      <w:tblGrid>
        <w:gridCol w:w="2521"/>
        <w:gridCol w:w="146"/>
        <w:gridCol w:w="246"/>
        <w:gridCol w:w="791"/>
        <w:gridCol w:w="317"/>
        <w:gridCol w:w="170"/>
        <w:gridCol w:w="246"/>
        <w:gridCol w:w="492"/>
        <w:gridCol w:w="271"/>
        <w:gridCol w:w="146"/>
        <w:gridCol w:w="211"/>
        <w:gridCol w:w="676"/>
        <w:gridCol w:w="271"/>
        <w:gridCol w:w="146"/>
        <w:gridCol w:w="211"/>
        <w:gridCol w:w="736"/>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income was $16.9 million for the three months ended June 30, 2026, compared to $0.3 million for the three months ended June 30, 2025. Net income for the three months ended June 30, 2026 increased by $16.6 million compared to the three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margin was 3.8% for the three months ended June 30, 2026, compared to 0.1% for the three months ended June 30, 2025. The improvement in our net income margin was primarily attributable to increased revenues, our ability to leverage operational efficiencies to control overall expenses, and lower interest expense.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color w:val="000000"/>
          <w:sz w:val="20"/>
        </w:rPr>
        <w:t>Net income (loss)</w:t>
      </w:r>
      <w:r>
        <w:rPr>
          <w:rFonts w:ascii="Times New Roman" w:hAnsi="Times New Roman"/>
          <w:color w:val="FF0000"/>
          <w:sz w:val="20"/>
        </w:rPr>
        <w:t xml:space="preserve"> </w:t>
      </w:r>
      <w:r>
        <w:rPr>
          <w:rFonts w:ascii="Times New Roman" w:hAnsi="Times New Roman"/>
          <w:color w:val="000000"/>
          <w:sz w:val="20"/>
        </w:rPr>
        <w:t xml:space="preserve">was $19.1 million for the six months ended June 30, 2026, compared to $(40.9) million for the six months ended June 30, 2025. Net income for the six months ended June 30, 2026 increased by $60.0 million compared to the six months ended June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(loss) margin was 2.3% for the six months ended June 30, 2026, compared to (5.5)% for the six months ended June 30, 2025. The improvement in our net income margin was primarily attributable to increased revenues, our ability to leverage operational efficiencies to control overall expenses, and lower interest expense.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$128.5 million for the three months ended June 30, 2026 and represented an Adjusted EBITDA Margin of 28.6%. Adjusted EBITDA was $113.9 million for the three months ended June 30, 2025 and represented an Adjusted EBITDA Margin of 29.2%. Adjusted EBITDA for the three months ended June 30, 2026 increased by $14.6 million, or 12.8%, compared to the three months ended June 30, 2025. Growth in Adjusted EBITDA was driven primarily by revenues growth from new and existing customers, partially offset by continued investments in our products, solutions and technology platforms, and changes in revenue and customer mix.</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$233.8 million for the six months ended June 30, 2026 and represented an Adjusted EBITDA Margin of 28.0%. Adjusted EBITDA was $206.1 million for the six months ended June 30, 2025 and represented an Adjusted EBITDA Margin of 27.7%. Adjusted EBITDA for the six months ended June 30, 2026 increased by $27.8 million, or 13.5%, compared to the six months ended June 30, 2025. Growth in Adjusted EBITDA was driven primarily from revenues growth attributed to new and existing customers and margin expansion attributed to cost efficiencies.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9047" w:type="dxa"/>
        <w:jc w:val="left"/>
        <w:tblInd w:w="0" w:type="dxa"/>
        <w:tblLayout w:type="fixed"/>
        <w:tblCellMar>
          <w:top w:w="28" w:type="dxa"/>
          <w:left w:w="28" w:type="dxa"/>
          <w:bottom w:w="28" w:type="dxa"/>
          <w:right w:w="28" w:type="dxa"/>
        </w:tblCellMar>
      </w:tblPr>
      <w:tblGrid>
        <w:gridCol w:w="3826"/>
        <w:gridCol w:w="146"/>
        <w:gridCol w:w="211"/>
        <w:gridCol w:w="781"/>
        <w:gridCol w:w="146"/>
        <w:gridCol w:w="146"/>
        <w:gridCol w:w="211"/>
        <w:gridCol w:w="781"/>
        <w:gridCol w:w="166"/>
        <w:gridCol w:w="146"/>
        <w:gridCol w:w="211"/>
        <w:gridCol w:w="781"/>
        <w:gridCol w:w="146"/>
        <w:gridCol w:w="146"/>
        <w:gridCol w:w="211"/>
        <w:gridCol w:w="781"/>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206,058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Share-based compensation for the three and six months ended June 30, 2026 includes approximately $0.1 million and $0.6 million, respectively, of incrementally recognized expense associated with the May 2023 modification of the vesting terms of outstanding unvested and unearned performance-based options, restricted stock units, and restricted stock awards. Share-based compensation for the three and six months ended June 30, 2025 includes approximately $1.8 million and $3.8 million, respectively, of incrementally recognized expense associated with the May 2023 modification of the vesting terms of outstanding unvested and unearned performance-based options, restricted stock units, and restricted stock awards.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2026 include approximately $0.3 million and $0.5 million, respectively, of expense associated with the Sterling Acquisition. Transaction and acquisition related charges for the three and six months ended June 30, 2025 include approximately $2.3 million and $6.1 million, respectively, of expense associated with the Sterling Acquisition.</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and six months ended June 30, 2026 include approximately $2.2 million and $3.6 million, respectively, of expense associated with the integration of Sterling. Integration, restructuring, and other charges for the three and six months ended June 30, 2025 include approximately $3.7 million and $11.6 million, respectively, of expense associated with the integration of Sterling.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8322" w:type="dxa"/>
        <w:jc w:val="left"/>
        <w:tblInd w:w="0" w:type="dxa"/>
        <w:tblLayout w:type="fixed"/>
        <w:tblCellMar>
          <w:top w:w="28" w:type="dxa"/>
          <w:left w:w="28" w:type="dxa"/>
          <w:bottom w:w="28" w:type="dxa"/>
          <w:right w:w="28" w:type="dxa"/>
        </w:tblCellMar>
      </w:tblPr>
      <w:tblGrid>
        <w:gridCol w:w="2521"/>
        <w:gridCol w:w="146"/>
        <w:gridCol w:w="211"/>
        <w:gridCol w:w="781"/>
        <w:gridCol w:w="301"/>
        <w:gridCol w:w="146"/>
        <w:gridCol w:w="211"/>
        <w:gridCol w:w="781"/>
        <w:gridCol w:w="301"/>
        <w:gridCol w:w="146"/>
        <w:gridCol w:w="211"/>
        <w:gridCol w:w="781"/>
        <w:gridCol w:w="301"/>
        <w:gridCol w:w="146"/>
        <w:gridCol w:w="211"/>
        <w:gridCol w:w="781"/>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by segment for the periods presented. See Note 14, “Reportable Segments” to the condensed consolidated financial statements for a reconciliation of Adjusted EBITDA for the periods presented by segment. </w:t>
      </w:r>
    </w:p>
    <w:tbl>
      <w:tblPr>
        <w:tblW w:w="8672" w:type="dxa"/>
        <w:jc w:val="left"/>
        <w:tblInd w:w="0" w:type="dxa"/>
        <w:tblLayout w:type="fixed"/>
        <w:tblCellMar>
          <w:top w:w="28" w:type="dxa"/>
          <w:left w:w="28" w:type="dxa"/>
          <w:bottom w:w="28" w:type="dxa"/>
          <w:right w:w="28" w:type="dxa"/>
        </w:tblCellMar>
      </w:tblPr>
      <w:tblGrid>
        <w:gridCol w:w="2801"/>
        <w:gridCol w:w="146"/>
        <w:gridCol w:w="211"/>
        <w:gridCol w:w="781"/>
        <w:gridCol w:w="301"/>
        <w:gridCol w:w="146"/>
        <w:gridCol w:w="211"/>
        <w:gridCol w:w="781"/>
        <w:gridCol w:w="301"/>
        <w:gridCol w:w="146"/>
        <w:gridCol w:w="211"/>
        <w:gridCol w:w="781"/>
        <w:gridCol w:w="301"/>
        <w:gridCol w:w="146"/>
        <w:gridCol w:w="211"/>
        <w:gridCol w:w="781"/>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91,567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106,785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128,521</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113,946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233,808</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206,058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390,633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745,221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 xml:space="preserve">See the reconciliation of net income (loss)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$61.4 million for the three months ended June 30, 2026, compared to $47.0 million for the three months ended June 30, 2025. Adjusted Net Income for the three months ended June 30, 2026 increased by $14.5 million, or 30.8% compared to the three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$0.35 for the three months ended June 30, 2026, compared to $0.27 for the three months ended June 30, 2025. Adjusted Diluted Earnings Per Share for the three months ended June 30, 2026 increased by $0.08, or 29.6% compared to the three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$106.5 million for the six months ended June 30, 2026, compared to $77.5 million for the six months ended June 30, 2025. Adjusted Net Income for the six months ended June 30, 2026 increased by $29.1 million, or 37.6% compared to the six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$0.61 for the six months ended June 30, 2026, compared to $0.44 for the six months ended June 30, 2025. Adjusted Diluted Earnings Per Share for the six months ended June 30, 2026 increased by $0.17, or 38.6% compared to the six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2025 refinancing of the Company’s 2024 First Lien Credit Agreement, voluntary debt prepayments, and gains or losses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a reconciliation of Adjusted Net Income for the periods presented.</w:t>
      </w:r>
    </w:p>
    <w:tbl>
      <w:tblPr>
        <w:tblW w:w="9580" w:type="dxa"/>
        <w:jc w:val="left"/>
        <w:tblInd w:w="0" w:type="dxa"/>
        <w:tblLayout w:type="fixed"/>
        <w:tblCellMar>
          <w:top w:w="28" w:type="dxa"/>
          <w:left w:w="28" w:type="dxa"/>
          <w:bottom w:w="28" w:type="dxa"/>
          <w:right w:w="28" w:type="dxa"/>
        </w:tblCellMar>
      </w:tblPr>
      <w:tblGrid>
        <w:gridCol w:w="4351"/>
        <w:gridCol w:w="146"/>
        <w:gridCol w:w="229"/>
        <w:gridCol w:w="734"/>
        <w:gridCol w:w="180"/>
        <w:gridCol w:w="158"/>
        <w:gridCol w:w="229"/>
        <w:gridCol w:w="734"/>
        <w:gridCol w:w="166"/>
        <w:gridCol w:w="146"/>
        <w:gridCol w:w="211"/>
        <w:gridCol w:w="781"/>
        <w:gridCol w:w="166"/>
        <w:gridCol w:w="146"/>
        <w:gridCol w:w="211"/>
        <w:gridCol w:w="781"/>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61,426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1924"/>
        <w:gridCol w:w="546"/>
        <w:gridCol w:w="211"/>
        <w:gridCol w:w="1141"/>
        <w:gridCol w:w="166"/>
        <w:gridCol w:w="146"/>
        <w:gridCol w:w="211"/>
        <w:gridCol w:w="1141"/>
        <w:gridCol w:w="546"/>
        <w:gridCol w:w="546"/>
        <w:gridCol w:w="211"/>
        <w:gridCol w:w="1141"/>
        <w:gridCol w:w="166"/>
        <w:gridCol w:w="146"/>
        <w:gridCol w:w="211"/>
        <w:gridCol w:w="1141"/>
        <w:gridCol w:w="611"/>
      </w:tblGrid>
      <w:tr>
        <w:trPr/>
        <w:tc>
          <w:tcPr>
            <w:tcW w:w="19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 (GAAP)</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0.27</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172,930,881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173,225,170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175,069,451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173,911,739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174,979,973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Represents the loss on extinguishment and non-cash interest expense associated with the amortization of debt issuance costs related to the refinancing of the Company’s First Lien Credit Facility. This adjustment also includes the impact of changes in fair value of interest rate swaps, which represents the difference between unrealized fair value gains or losses and actual cash payments and receipts on the interest rate swaps.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(b)</w:t>
      </w:r>
    </w:p>
    <w:p>
      <w:pPr>
        <w:pStyle w:val="TextBody"/>
        <w:bidi w:val="0"/>
        <w:spacing w:before="0" w:after="0"/>
        <w:jc w:val="left"/>
        <w:rPr/>
      </w:pPr>
      <w:r>
        <w:rPr>
          <w:rFonts w:ascii="Times New Roman" w:hAnsi="Times New Roman"/>
          <w:color w:val="000000"/>
          <w:sz w:val="15"/>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5"/>
        </w:rPr>
        <w:t xml:space="preserve">Business Combinations. </w:t>
      </w:r>
      <w:r>
        <w:rPr>
          <w:rFonts w:ascii="Times New Roman" w:hAnsi="Times New Roman"/>
          <w:color w:val="000000"/>
          <w:sz w:val="15"/>
        </w:rPr>
        <w:t>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(c)</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 xml:space="preserve">Share-based compensation for the three and six months ended June 30, 2026 includes approximately $0.1 million and $0.6 million, respectively, of incrementally recognized expense associated with the May 2023 modification of the vesting terms of outstanding unvested and unearned performance-based options, restricted stock units, and restricted stock awards. Share-based compensation for the three and six months ended June 30, 2025 includes approximately $1.8 million and $3.8 million, respectively, of incrementally recognized expense associated with the May 2023 modification of the vesting terms of outstanding unvested and unearned performance-based options, restricted stock units, and restricted stock awards.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(d)</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2026 include approximately $0.3 million and $0.5 million, respectively, of expense associated with the Sterling Acquisition. Transaction and acquisition related charges for the three and six months ended June 30, 2025 include approximately $2.3 million and $6.1 million, respectively, of expense associated with the Sterling Acquisition.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(e)</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and six months ended June 30, 2026 include approximately $2.2 million and $3.6 million, respectively, of expense associated with the integration of Sterling. Integration, restructuring, and other charges for the three and six months ended June 30, 2025 include approximately $3.7 million and $11.6 million, respectively, of expense associated with the integration of Sterling.</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(f)</w:t>
      </w:r>
    </w:p>
    <w:p>
      <w:pPr>
        <w:pStyle w:val="TextBody"/>
        <w:bidi w:val="0"/>
        <w:jc w:val="left"/>
        <w:rPr>
          <w:rFonts w:ascii="Times New Roman" w:hAnsi="Times New Roman"/>
          <w:color w:val="000000"/>
          <w:sz w:val="15"/>
        </w:rPr>
      </w:pPr>
      <w:r>
        <w:rPr>
          <w:rFonts w:ascii="Times New Roman" w:hAnsi="Times New Roman"/>
          <w:color w:val="000000"/>
          <w:sz w:val="15"/>
        </w:rPr>
        <w:t>Effective tax rates of approximately 25.9% and 25.8% have been used to compute Adjusted Net Income and Adjusted Diluted Earnings Per Share for the three and six months ended June 30, 2026, respectively. Effective tax rates of approximately 25.6% and 25.4% have been used to compute Adjusted Net Income and Adjusted Diluted Earnings Per Share for the three and six months ended June 30, 2025, respectively.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ongoing investments in software development and other capital expenditures, as well as other strategic growth initiatives. In addition, income taxes represent, and are expected to continue to represent, a significant use of cash depending on future profitability and applicable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Sterling Acquisition.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we had $237.9 million in cash and cash equivalents and $249.3 million available under our revolving credit facility. As of June 30, 2026, we had $2,064.5 million of total debt outstanding. We believe our cash on hand, together with amounts available under our revolving credit facility and cash provided by operating activities are and will continue to be adequate to meet our operational and business needs in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our 2025 Annual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was a party to a First Lien Credit Agreement (as amended, “First Lien Credit Agreement”), which provided for a term loan of $766.6 million due January 31, 2027, carrying an interest rate prior to the effectiveness of the 2024 First Lien Credit Agreement of 2.75% to 3.00%, based on the first lien ratio, plus the Secured Overnight Financing Rate as administered by the Federal Reserve Bank of New York (“SOFR”) (subsequent to an amendment in June 2023 to transition the reference rate from LIBOR (the London Interbank Offer Rate)), and a $100.0 million revolving credit facility due July 31, 2026.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connection with the Sterling Acquisition, on October 31, 2024, the Company refinanced its existing First Lien Credit Agreement and all related Sterling debt (the “2024 First Lien Credit Agreement”). The 2024 First Lien Credit Agreement provided for a term loan of $2.185 billion due October 31, 2031, carrying an interest rate of 3.00% to 3.25%, based on the first lien ratio, plus SOFR and a $250.0 million revolving credit facility due October 31, 2029.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July 30, 2025, the Company amended its 2024 First Lien Credit Agreement (“2025 Amended First Lien Credit Agreement”) to reduce the interest rate on its term loan facility to a range of 2.50% to 2.75%, based on the first lien ratio, plus SOFR (“First Lien Credit Facility”). The amendment also reduced the interest rate on its revolving credit facility to a range of 2.25% to 2.75%, based on the first lien ratio, plus SOFR (“Amended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Borrowings under the 2025 Amended First Lien Credit Agreement bear interest at a rate per annum equal to an applicable margin plus, at our option, either (a) 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Amended Revolver has no amortization.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See Note 5, “Debt,” to the condensed consolidated financial statements included elsewhere in this Quarterly Report on Form 10-Q for further information.</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six months ended June 30, 2026 compared to the six months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6074"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provided by operating activities was $123.0 million for the six months ended June 30, 2026, compared to $56.8 million for the six months ended June 30, 2025. Net cash provided by operating activities for the six months ended June 30, 2026 increased by $66.2 million compared to the six months ended June 30, 2025. Cash flows provided by operating activities were positively impacted by revenue growth from existing customers, new customer go-lives, and lower interest payments on the Company’s term loan and revolving credit facility. These favorable impacts were partially offset by higher working capital requirements, largely attributable to the Company’s revenue growth, and compensation payments in the first half of 2026.</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investing activities was $33.5 million for the six months ended June 30, 2026, compared to $23.8 million for the six months ended June 30, 2025. Net cash used in investing activities for the six months ended June 30, 2026 increased by $9.7 million compared to the six months ended June 30, 2025. The increase in cash flows used in investing activities was primarily due to increased spend on software development related to the Company’s screening platforms, partially offset by $2.0 million of cash proceeds from the sale of assets related to an adjacent product.</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financing activities was $85.2 million for the six months ended June 30, 2026, compared to $21.1 million for the six months ended June 30, 2025. Net cash used in financing activities for the six months ended June 30, 2026 was primarily driven by principal repayments of $50.0 million on the Company’s term loan and shares repurchased under the Company’s Repurchase Program. During the six months ended June 30, 2026, 3,241,846 shares were repurchased under the Repurchase Program at a total cost of $38.2 million.</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Contractual Obligations, Commitments, and Other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and six months ended June 30, 2026, there have been no significant changes to our contractual obligations, commitments, and other contingencies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six months ended June 30, 2026, there have been no significant changes to our critical accounting policies and estimates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no material change had occurred in our market risks, compared with the disclosure in our 2025 Annual Report.</w:t>
      </w:r>
    </w:p>
    <w:p>
      <w:pPr>
        <w:pStyle w:val="TextBody"/>
        <w:bidi w:val="0"/>
        <w:spacing w:before="18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in response to this Item is included in “Part I — Item 1. — Note 11 — Commitments and Contingencies” and is incorporated by reference into Part II of this Quarterly Report on Form 10-Q.</w:t>
      </w:r>
    </w:p>
    <w:p>
      <w:pPr>
        <w:pStyle w:val="TextBody"/>
        <w:bidi w:val="0"/>
        <w:spacing w:before="18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risk factors, compared with the disclosure in our 2025 Annual Report.</w:t>
      </w:r>
    </w:p>
    <w:p>
      <w:pPr>
        <w:pStyle w:val="TextBody"/>
        <w:bidi w:val="0"/>
        <w:spacing w:before="18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with no expiration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share repurchases were made under the Company's publicly announced program, and there are no other programs under which the Company repurchases shares. The following information relates to the Company’s purchase of its common stock during each month within the second quarter of 2026:</w:t>
      </w:r>
    </w:p>
    <w:tbl>
      <w:tblPr>
        <w:tblW w:w="10205" w:type="dxa"/>
        <w:jc w:val="left"/>
        <w:tblInd w:w="0" w:type="dxa"/>
        <w:tblLayout w:type="fixed"/>
        <w:tblCellMar>
          <w:top w:w="28" w:type="dxa"/>
          <w:left w:w="28" w:type="dxa"/>
          <w:bottom w:w="28" w:type="dxa"/>
          <w:right w:w="28" w:type="dxa"/>
        </w:tblCellMar>
      </w:tblPr>
      <w:tblGrid>
        <w:gridCol w:w="1391"/>
        <w:gridCol w:w="146"/>
        <w:gridCol w:w="202"/>
        <w:gridCol w:w="1289"/>
        <w:gridCol w:w="146"/>
        <w:gridCol w:w="146"/>
        <w:gridCol w:w="252"/>
        <w:gridCol w:w="684"/>
        <w:gridCol w:w="146"/>
        <w:gridCol w:w="146"/>
        <w:gridCol w:w="333"/>
        <w:gridCol w:w="2129"/>
        <w:gridCol w:w="146"/>
        <w:gridCol w:w="146"/>
        <w:gridCol w:w="458"/>
        <w:gridCol w:w="2249"/>
        <w:gridCol w:w="196"/>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w:t>
              <w:br/>
              <w:t xml:space="preserve">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67,127,260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63,141,615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61,820,884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61,820,884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Average price paid per share for shares purchased as part of our Repurchase Program (includes brokerage commissions).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terminated, or modified a Rule 10b5-1 trading arrangement or non-Rule 10b5-1 trading arrangement (as such terms are defined in Item 408 of Regulation S-K), except as described below.</w:t>
      </w:r>
    </w:p>
    <w:tbl>
      <w:tblPr>
        <w:tblW w:w="10205" w:type="dxa"/>
        <w:jc w:val="left"/>
        <w:tblInd w:w="0" w:type="dxa"/>
        <w:tblLayout w:type="fixed"/>
        <w:tblCellMar>
          <w:top w:w="28" w:type="dxa"/>
          <w:left w:w="28" w:type="dxa"/>
          <w:bottom w:w="28" w:type="dxa"/>
          <w:right w:w="28" w:type="dxa"/>
        </w:tblCellMar>
      </w:tblPr>
      <w:tblGrid>
        <w:gridCol w:w="935"/>
        <w:gridCol w:w="146"/>
        <w:gridCol w:w="1621"/>
        <w:gridCol w:w="146"/>
        <w:gridCol w:w="1318"/>
        <w:gridCol w:w="146"/>
        <w:gridCol w:w="633"/>
        <w:gridCol w:w="146"/>
        <w:gridCol w:w="869"/>
        <w:gridCol w:w="146"/>
        <w:gridCol w:w="1767"/>
        <w:gridCol w:w="146"/>
        <w:gridCol w:w="2186"/>
      </w:tblGrid>
      <w:tr>
        <w:trPr/>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br/>
              <w:t>Modification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rPr/>
        <w:tc>
          <w:tcPr>
            <w:tcW w:w="9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Bret T. Jardine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Legal Officer &amp;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Adopted May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Sale of up to 25,000</w:t>
            </w:r>
            <w:r>
              <w:rPr>
                <w:rFonts w:ascii="Times New Roman" w:hAnsi="Times New Roman"/>
                <w:color w:val="000000"/>
                <w:sz w:val="20"/>
              </w:rPr>
              <w:t> </w:t>
            </w:r>
            <w:r>
              <w:rPr>
                <w:rFonts w:ascii="Times New Roman" w:hAnsi="Times New Roman"/>
                <w:color w:val="000000"/>
                <w:sz w:val="16"/>
              </w:rPr>
              <w:t>shares of common stock in one transaction</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Intended to satisfy the affirmative defense of Rule 10b5-1(c).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A trading plan may also expire on such earlier date that all transactions under the trading plan are completed. The Rule 10b5-1 Plan presented in the table above terminated on June 1, 2026 (prior to the expiration of its “cooling period”) pursuant to its terms when all shares of common stock covered by such plan were sold pursuant to the then current previously reported Rule 10b5-1 Plan, which would have otherwise expired on August 7, 2026.</w:t>
      </w:r>
    </w:p>
    <w:p>
      <w:pPr>
        <w:pStyle w:val="TextBody"/>
        <w:bidi w:val="0"/>
        <w:jc w:val="both"/>
        <w:rPr/>
      </w:pPr>
      <w:r>
        <w:rPr/>
        <w:t> </w:t>
      </w:r>
    </w:p>
    <w:p>
      <w:pPr>
        <w:pStyle w:val="TextBody"/>
        <w:bidi w:val="0"/>
        <w:jc w:val="both"/>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inadvertently omitted the below disclosure from Part II, Item 9B in the 2025 Annual Report, regarding an amendment to the number of shares to be sold under the previously reported Rule 10b5-1 Plan, originally adopted by Mr. Clark on June 12,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3"/>
        <w:gridCol w:w="146"/>
        <w:gridCol w:w="676"/>
        <w:gridCol w:w="146"/>
        <w:gridCol w:w="1476"/>
        <w:gridCol w:w="146"/>
        <w:gridCol w:w="689"/>
        <w:gridCol w:w="146"/>
        <w:gridCol w:w="919"/>
        <w:gridCol w:w="146"/>
        <w:gridCol w:w="2089"/>
        <w:gridCol w:w="146"/>
        <w:gridCol w:w="2457"/>
      </w:tblGrid>
      <w:tr>
        <w:trPr/>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1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br/>
              <w:t>Modification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rPr/>
        <w:tc>
          <w:tcPr>
            <w:tcW w:w="1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L. Clark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Modified November 26,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Sale of up to 4,921</w:t>
            </w:r>
            <w:r>
              <w:rPr>
                <w:rFonts w:ascii="Times New Roman" w:hAnsi="Times New Roman"/>
                <w:color w:val="000000"/>
                <w:sz w:val="20"/>
              </w:rPr>
              <w:t> </w:t>
            </w:r>
            <w:r>
              <w:rPr>
                <w:rFonts w:ascii="Times New Roman" w:hAnsi="Times New Roman"/>
                <w:color w:val="000000"/>
                <w:sz w:val="16"/>
              </w:rPr>
              <w:t>shares of common stock in one transaction</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Intended to satisfy the affirmative defense of Rule 10b5-1(c).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A trading plan may also expire on such earlier date that all transactions under the trading plan are completed.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12"/>
        <w:gridCol w:w="146"/>
        <w:gridCol w:w="9247"/>
      </w:tblGrid>
      <w:tr>
        <w:trP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First Advantage Corporation (incorporated herein by reference to Exhibit 3.1 of First Advantage Corporation’s Form 8-K filed on June 25, 2021).</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First Advantage Corporation (incorporated herein by reference to Exhibit 3.2 of First Advantage Corporation’s Form 8-K filed on June 25, 2021).</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10.1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10_1.htm">
              <w:r>
                <w:rPr>
                  <w:rStyle w:val="InternetLink"/>
                  <w:rFonts w:ascii="Times New Roman" w:hAnsi="Times New Roman"/>
                  <w:color w:val="0000FF"/>
                  <w:sz w:val="20"/>
                  <w:u w:val="single"/>
                </w:rPr>
                <w:t>First Amendment to Employment Letter, dated May 7, 2026, between First Advantage Corporation and Joelle Smith.</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10_2.htm">
              <w:r>
                <w:rPr>
                  <w:rStyle w:val="InternetLink"/>
                  <w:rFonts w:ascii="Times New Roman" w:hAnsi="Times New Roman"/>
                  <w:color w:val="0000FF"/>
                  <w:sz w:val="20"/>
                  <w:u w:val="single"/>
                </w:rPr>
                <w:t>Form of Indemnification Agreement</w:t>
              </w:r>
            </w:hyperlink>
            <w:r>
              <w:rPr>
                <w:rFonts w:ascii="Times New Roman" w:hAnsi="Times New Roman"/>
                <w:color w:val="000000"/>
                <w:sz w:val="20"/>
              </w:rPr>
              <w: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 Compensatory arrangements for director(s) and/or executive officer(s).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846"/>
        <w:gridCol w:w="109"/>
        <w:gridCol w:w="406"/>
        <w:gridCol w:w="52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1" w:name="fa-ex10_1.htm"/>
      <w:bookmarkStart w:id="22" w:name="ksfaex10_1"/>
      <w:bookmarkEnd w:id="21"/>
      <w:bookmarkEnd w:id="22"/>
      <w:r>
        <w:rPr/>
        <w:t> </w:t>
      </w:r>
      <w:r>
        <w:br w:type="page"/>
      </w:r>
    </w:p>
    <w:p>
      <w:pPr>
        <w:pStyle w:val="Heading1"/>
        <w:bidi w:val="0"/>
        <w:spacing w:before="84" w:after="283"/>
        <w:jc w:val="right"/>
        <w:rPr/>
      </w:pPr>
      <w:r>
        <w:rPr/>
        <w:t> </w:t>
      </w:r>
    </w:p>
    <w:p>
      <w:pPr>
        <w:pStyle w:val="TextBody"/>
        <w:bidi w:val="0"/>
        <w:spacing w:before="80" w:after="283"/>
        <w:jc w:val="right"/>
        <w:rPr>
          <w:rFonts w:ascii="Times New Roman" w:hAnsi="Times New Roman"/>
          <w:b/>
          <w:color w:val="000000"/>
          <w:sz w:val="20"/>
        </w:rPr>
      </w:pPr>
      <w:r>
        <w:rPr>
          <w:rFonts w:ascii="Times New Roman" w:hAnsi="Times New Roman"/>
          <w:b/>
          <w:color w:val="000000"/>
          <w:sz w:val="20"/>
        </w:rPr>
        <w:t>Exhibit 10.1</w:t>
      </w:r>
    </w:p>
    <w:p>
      <w:pPr>
        <w:pStyle w:val="Heading1"/>
        <w:bidi w:val="0"/>
        <w:spacing w:before="84" w:after="283"/>
        <w:jc w:val="center"/>
        <w:rPr>
          <w:rFonts w:ascii="Times New Roman" w:hAnsi="Times New Roman"/>
          <w:color w:val="000000"/>
          <w:sz w:val="24"/>
        </w:rPr>
      </w:pPr>
      <w:r>
        <w:rPr>
          <w:rFonts w:ascii="Times New Roman" w:hAnsi="Times New Roman"/>
          <w:color w:val="000000"/>
          <w:sz w:val="24"/>
        </w:rPr>
        <w:t>FIRST AMENDMENT TO EMPLOYMENT LETTER</w:t>
      </w:r>
    </w:p>
    <w:p>
      <w:pPr>
        <w:pStyle w:val="TextBody"/>
        <w:bidi w:val="0"/>
        <w:spacing w:before="233" w:after="283"/>
        <w:jc w:val="both"/>
        <w:rPr>
          <w:rFonts w:ascii="Times New Roman" w:hAnsi="Times New Roman"/>
          <w:sz w:val="20"/>
        </w:rPr>
      </w:pPr>
      <w:r>
        <w:rPr>
          <w:rFonts w:ascii="Times New Roman" w:hAnsi="Times New Roman"/>
          <w:b/>
          <w:color w:val="000000"/>
          <w:sz w:val="24"/>
        </w:rPr>
        <w:t xml:space="preserve">THIS FIRST AMENDMENT </w:t>
      </w:r>
      <w:r>
        <w:rPr>
          <w:rFonts w:ascii="Times New Roman" w:hAnsi="Times New Roman"/>
          <w:color w:val="000000"/>
          <w:sz w:val="24"/>
        </w:rPr>
        <w:t>(the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color w:val="000000"/>
          <w:sz w:val="24"/>
        </w:rPr>
        <w:t>) is made and entered into as of the 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2026 and effective as of May 7, 2026, by and between Joelle Smith (“</w:t>
      </w:r>
      <w:r>
        <w:rPr>
          <w:rFonts w:ascii="Times New Roman" w:hAnsi="Times New Roman"/>
          <w:b/>
          <w:i/>
          <w:color w:val="000000"/>
          <w:sz w:val="24"/>
        </w:rPr>
        <w:t>you</w:t>
      </w:r>
      <w:r>
        <w:rPr>
          <w:rFonts w:ascii="Times New Roman" w:hAnsi="Times New Roman"/>
          <w:color w:val="000000"/>
          <w:sz w:val="20"/>
        </w:rPr>
        <w:t>”</w:t>
      </w:r>
      <w:r>
        <w:rPr>
          <w:rFonts w:ascii="Times New Roman" w:hAnsi="Times New Roman"/>
          <w:color w:val="000000"/>
          <w:sz w:val="24"/>
        </w:rPr>
        <w:t>) and First Advantage Corporation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(including its successors and assigns). You and the Employer are collectively referred to as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i/>
          <w:color w:val="000000"/>
          <w:sz w:val="24"/>
        </w:rPr>
        <w:t>.</w:t>
      </w:r>
    </w:p>
    <w:p>
      <w:pPr>
        <w:pStyle w:val="TextBody"/>
        <w:bidi w:val="0"/>
        <w:spacing w:before="230" w:after="283"/>
        <w:jc w:val="both"/>
        <w:rPr>
          <w:rFonts w:ascii="Times New Roman" w:hAnsi="Times New Roman"/>
          <w:sz w:val="20"/>
        </w:rPr>
      </w:pPr>
      <w:r>
        <w:rPr>
          <w:rFonts w:ascii="Times New Roman" w:hAnsi="Times New Roman"/>
          <w:color w:val="000000"/>
          <w:sz w:val="24"/>
        </w:rPr>
        <w:t>WHEREAS, the Parties previously entered into that certain employment letter agreement, dated as of May 31, 2017 (the “</w:t>
      </w:r>
      <w:r>
        <w:rPr>
          <w:rFonts w:ascii="Times New Roman" w:hAnsi="Times New Roman"/>
          <w:b/>
          <w:i/>
          <w:color w:val="000000"/>
          <w:sz w:val="24"/>
        </w:rPr>
        <w:t>Employment Letter</w:t>
      </w:r>
      <w:r>
        <w:rPr>
          <w:rFonts w:ascii="Times New Roman" w:hAnsi="Times New Roman"/>
          <w:color w:val="000000"/>
          <w:sz w:val="20"/>
        </w:rPr>
        <w:t>”</w:t>
      </w:r>
      <w:r>
        <w:rPr>
          <w:rFonts w:ascii="Times New Roman" w:hAnsi="Times New Roman"/>
          <w:color w:val="000000"/>
          <w:sz w:val="24"/>
        </w:rPr>
        <w:t>);</w:t>
      </w:r>
    </w:p>
    <w:p>
      <w:pPr>
        <w:pStyle w:val="TextBody"/>
        <w:bidi w:val="0"/>
        <w:spacing w:before="228" w:after="283"/>
        <w:jc w:val="left"/>
        <w:rPr>
          <w:rFonts w:ascii="Times New Roman" w:hAnsi="Times New Roman"/>
          <w:color w:val="000000"/>
          <w:sz w:val="24"/>
        </w:rPr>
      </w:pPr>
      <w:r>
        <w:rPr>
          <w:rFonts w:ascii="Times New Roman" w:hAnsi="Times New Roman"/>
          <w:color w:val="000000"/>
          <w:sz w:val="24"/>
        </w:rPr>
        <w:t>WHEREAS, the Parties desire to amend the Employment Letter as set forth herein;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WHEREAS, pursuant to Section 20 of the Employment Letter, the Employment Letter may be amended by written agreement of the Parties; and</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WHEREAS, capitalized terms used, but not defined herein, shall have the meaning set forth in the Employment Letter.</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NOW, THEREFORE, for good and valuable consideration, the receipt and adequacy of which is hereby acknowledged, and intending to be legally bound hereby, the Parties hereto agree as follows:</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Section 8(b)(ii) is hereby replaced in its entirety with the following:</w:t>
      </w:r>
    </w:p>
    <w:p>
      <w:pPr>
        <w:pStyle w:val="TextBody"/>
        <w:bidi w:val="0"/>
        <w:spacing w:before="238" w:after="283"/>
        <w:jc w:val="both"/>
        <w:rPr/>
      </w:pPr>
      <w:r>
        <w:rPr>
          <w:color w:val="000000"/>
        </w:rPr>
        <w:t>“</w:t>
      </w:r>
      <w:r>
        <w:rPr>
          <w:rFonts w:ascii="Times New Roman" w:hAnsi="Times New Roman"/>
          <w:color w:val="000000"/>
          <w:sz w:val="24"/>
        </w:rPr>
        <w:t xml:space="preserve">(ii) </w:t>
      </w:r>
      <w:r>
        <w:rPr>
          <w:rFonts w:ascii="Times New Roman" w:hAnsi="Times New Roman"/>
          <w:i/>
          <w:color w:val="000000"/>
          <w:sz w:val="24"/>
        </w:rPr>
        <w:t>Additional Payments Upon Termination Without Cause or Voluntarily for Good Reason</w:t>
      </w:r>
      <w:r>
        <w:rPr>
          <w:rFonts w:ascii="Times New Roman" w:hAnsi="Times New Roman"/>
          <w:color w:val="000000"/>
          <w:sz w:val="24"/>
        </w:rPr>
        <w:t xml:space="preserve">. If your employment is terminated by the Employer without Cause (as hereinafter defined in </w:t>
      </w:r>
      <w:r>
        <w:rPr>
          <w:rFonts w:ascii="Times New Roman" w:hAnsi="Times New Roman"/>
          <w:color w:val="000000"/>
          <w:sz w:val="24"/>
          <w:u w:val="single"/>
        </w:rPr>
        <w:t>Exhibit A</w:t>
      </w:r>
      <w:r>
        <w:rPr>
          <w:rFonts w:ascii="Times New Roman" w:hAnsi="Times New Roman"/>
          <w:color w:val="000000"/>
          <w:sz w:val="24"/>
        </w:rPr>
        <w:t>) or in the event that you voluntarily terminate your employment with Employer for “</w:t>
      </w:r>
      <w:r>
        <w:rPr>
          <w:rFonts w:ascii="Times New Roman" w:hAnsi="Times New Roman"/>
          <w:b/>
          <w:color w:val="000000"/>
          <w:sz w:val="24"/>
        </w:rPr>
        <w:t>Good Reason</w:t>
      </w:r>
      <w:r>
        <w:rPr>
          <w:rFonts w:ascii="Times New Roman" w:hAnsi="Times New Roman"/>
          <w:color w:val="000000"/>
          <w:sz w:val="20"/>
        </w:rPr>
        <w:t xml:space="preserve">” </w:t>
      </w:r>
      <w:r>
        <w:rPr>
          <w:rFonts w:ascii="Times New Roman" w:hAnsi="Times New Roman"/>
          <w:color w:val="000000"/>
          <w:sz w:val="24"/>
        </w:rPr>
        <w:t>(as hereinafter defined) and subject to the conditions set forth in Paragraph 8(c), you also will be entitled to continued payment of your Base Salary (“</w:t>
      </w:r>
      <w:r>
        <w:rPr>
          <w:rFonts w:ascii="Times New Roman" w:hAnsi="Times New Roman"/>
          <w:b/>
          <w:color w:val="000000"/>
          <w:sz w:val="24"/>
        </w:rPr>
        <w:t>Severance Payments</w:t>
      </w:r>
      <w:r>
        <w:rPr>
          <w:rFonts w:ascii="Times New Roman" w:hAnsi="Times New Roman"/>
          <w:color w:val="000000"/>
          <w:sz w:val="20"/>
        </w:rPr>
        <w:t>”</w:t>
      </w:r>
      <w:r>
        <w:rPr>
          <w:rFonts w:ascii="Times New Roman" w:hAnsi="Times New Roman"/>
          <w:color w:val="000000"/>
          <w:sz w:val="24"/>
        </w:rPr>
        <w:t>) for a period of twelve (12) months (“</w:t>
      </w:r>
      <w:r>
        <w:rPr>
          <w:rFonts w:ascii="Times New Roman" w:hAnsi="Times New Roman"/>
          <w:b/>
          <w:color w:val="000000"/>
          <w:sz w:val="24"/>
        </w:rPr>
        <w:t>Severance Period</w:t>
      </w:r>
      <w:r>
        <w:rPr>
          <w:rFonts w:ascii="Times New Roman" w:hAnsi="Times New Roman"/>
          <w:color w:val="000000"/>
          <w:sz w:val="20"/>
        </w:rPr>
        <w:t>”</w:t>
      </w:r>
      <w:r>
        <w:rPr>
          <w:rFonts w:ascii="Times New Roman" w:hAnsi="Times New Roman"/>
          <w:color w:val="000000"/>
          <w:sz w:val="24"/>
        </w:rPr>
        <w:t>), in accordance with the Employer’s standard payroll practices.”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Except as expressly amended hereby, the Employment Letter shall remain in full force and effect in accordance with its original terms.</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This Amendment may be executed by .pdf or facsimile signatures in any number of counterparts, each of which shall be deemed an original, but all of which together shall constitute one and the same instrument and agreement.</w:t>
      </w:r>
    </w:p>
    <w:p>
      <w:pPr>
        <w:pStyle w:val="TextBody"/>
        <w:bidi w:val="0"/>
        <w:spacing w:before="234" w:after="283"/>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hereto set their hands and seals as of the date set forth above.</w:t>
      </w:r>
    </w:p>
    <w:p>
      <w:pPr>
        <w:pStyle w:val="TextBody"/>
        <w:bidi w:val="0"/>
        <w:spacing w:before="80" w:after="283"/>
        <w:jc w:val="left"/>
        <w:rPr/>
      </w:pPr>
      <w:r>
        <w:rPr/>
        <w:t> </w:t>
      </w:r>
    </w:p>
    <w:tbl>
      <w:tblPr>
        <w:tblW w:w="4586" w:type="dxa"/>
        <w:jc w:val="left"/>
        <w:tblInd w:w="0" w:type="dxa"/>
        <w:tblLayout w:type="fixed"/>
        <w:tblCellMar>
          <w:top w:w="28" w:type="dxa"/>
          <w:left w:w="28" w:type="dxa"/>
          <w:bottom w:w="28" w:type="dxa"/>
          <w:right w:w="28" w:type="dxa"/>
        </w:tblCellMar>
      </w:tblPr>
      <w:tblGrid>
        <w:gridCol w:w="161"/>
        <w:gridCol w:w="1185"/>
        <w:gridCol w:w="3240"/>
      </w:tblGrid>
      <w:tr>
        <w:trPr/>
        <w:tc>
          <w:tcPr>
            <w:tcW w:w="16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FIRST ADVANTAGE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2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Bret T. Jardine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Bret T. Jardine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Legal Officer</w:t>
            </w:r>
          </w:p>
        </w:tc>
      </w:tr>
    </w:tbl>
    <w:p>
      <w:pPr>
        <w:pStyle w:val="Heading1"/>
        <w:bidi w:val="0"/>
        <w:spacing w:before="234"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883" w:type="dxa"/>
        <w:jc w:val="left"/>
        <w:tblInd w:w="0" w:type="dxa"/>
        <w:tblLayout w:type="fixed"/>
        <w:tblCellMar>
          <w:top w:w="28" w:type="dxa"/>
          <w:left w:w="28" w:type="dxa"/>
          <w:bottom w:w="28" w:type="dxa"/>
          <w:right w:w="28" w:type="dxa"/>
        </w:tblCellMar>
      </w:tblPr>
      <w:tblGrid>
        <w:gridCol w:w="161"/>
        <w:gridCol w:w="146"/>
        <w:gridCol w:w="15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Joelle Smith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Joelle Smith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3" w:name="fa-ex10_2.htm"/>
      <w:bookmarkStart w:id="24" w:name="ksfaex10_2"/>
      <w:bookmarkEnd w:id="23"/>
      <w:bookmarkEnd w:id="24"/>
      <w:r>
        <w:rPr/>
        <w:t> </w:t>
      </w:r>
      <w:r>
        <w:br w:type="page"/>
      </w:r>
    </w:p>
    <w:p>
      <w:pPr>
        <w:pStyle w:val="TextBody"/>
        <w:bidi w:val="0"/>
        <w:spacing w:before="80" w:after="24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center"/>
        <w:rPr>
          <w:rFonts w:ascii="Times New Roman" w:hAnsi="Times New Roman"/>
          <w:b/>
          <w:caps/>
          <w:color w:val="000000"/>
          <w:sz w:val="22"/>
        </w:rPr>
      </w:pPr>
      <w:r>
        <w:rPr>
          <w:rFonts w:ascii="Times New Roman" w:hAnsi="Times New Roman"/>
          <w:b/>
          <w:caps/>
          <w:color w:val="000000"/>
          <w:sz w:val="22"/>
        </w:rPr>
        <w:t>INDEMNIFICATION AGREEMENT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This Indemnification Agreement is dated as of _________, 202_ (this “</w:t>
      </w:r>
      <w:r>
        <w:rPr>
          <w:rFonts w:ascii="Times New Roman" w:hAnsi="Times New Roman"/>
          <w:b/>
          <w:color w:val="000000"/>
          <w:sz w:val="22"/>
          <w:u w:val="single"/>
        </w:rPr>
        <w:t>Agreement</w:t>
      </w:r>
      <w:r>
        <w:rPr>
          <w:rFonts w:ascii="Times New Roman" w:hAnsi="Times New Roman"/>
          <w:color w:val="000000"/>
          <w:sz w:val="20"/>
        </w:rPr>
        <w:t>”</w:t>
      </w:r>
      <w:r>
        <w:rPr>
          <w:rFonts w:ascii="Times New Roman" w:hAnsi="Times New Roman"/>
          <w:color w:val="000000"/>
          <w:sz w:val="22"/>
        </w:rPr>
        <w:t>) and is between First Advantage Corporation, a Delaware corporation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color w:val="000000"/>
          <w:sz w:val="22"/>
        </w:rPr>
        <w:t>), and the undersigned director/officer of the Company (the “</w:t>
      </w:r>
      <w:r>
        <w:rPr>
          <w:rFonts w:ascii="Times New Roman" w:hAnsi="Times New Roman"/>
          <w:b/>
          <w:color w:val="000000"/>
          <w:sz w:val="22"/>
          <w:u w:val="single"/>
        </w:rPr>
        <w:t>Indemnitee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Background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desires and has requested the Indemnitee to serve, or to continue to serve, as a director and/or officer of the Company and, in order to induce the Indemnitee to serve, or to continue to serve, in such capacity, the Company is willing to grant the Indemnitee the indemnification provided for herein. The Indemnitee is willing to so serve, or to continue to serve, on the basis that such indemnification be provided.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parties by this Agreement desire to set forth their agreement regarding indemnification and the advancement of expenses.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consideration of the Indemnitee’s service to the Company and the covenants and agreements set forth below, and for other good and valuable consideration, the receipt and adequacy of which are hereby acknowledged, the parties hereto, intending to be legally bound, hereby agree as follows: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w:t>
      </w:r>
    </w:p>
    <w:p>
      <w:pPr>
        <w:pStyle w:val="TextBody"/>
        <w:bidi w:val="0"/>
        <w:spacing w:before="0" w:after="240"/>
        <w:jc w:val="left"/>
        <w:rPr/>
      </w:pPr>
      <w:r>
        <w:rPr>
          <w:rFonts w:ascii="Times New Roman" w:hAnsi="Times New Roman"/>
          <w:b/>
          <w:color w:val="000000"/>
          <w:sz w:val="22"/>
          <w:u w:val="single"/>
        </w:rPr>
        <w:t>Indemnification</w:t>
      </w:r>
      <w:r>
        <w:rPr>
          <w:rFonts w:ascii="Times New Roman" w:hAnsi="Times New Roman"/>
          <w:b/>
          <w:color w:val="000000"/>
          <w:sz w:val="22"/>
        </w:rPr>
        <w:t>.</w:t>
      </w:r>
      <w:r>
        <w:rPr>
          <w:color w:val="000000"/>
        </w:rPr>
        <w:t xml:space="preserve"> </w:t>
      </w:r>
      <w:r>
        <w:rPr>
          <w:rFonts w:ascii="Times New Roman" w:hAnsi="Times New Roman"/>
          <w:color w:val="000000"/>
          <w:sz w:val="22"/>
        </w:rPr>
        <w:t>To the fullest extent permitted by applicable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shall indemnify the Indemnitee if the Indemnitee was or is made or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any and all appeals, by reason of the fact that the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by the Indemnitee in any such capacity.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 xml:space="preserve">Subject to </w:t>
      </w:r>
      <w:r>
        <w:rPr>
          <w:rFonts w:ascii="Times New Roman" w:hAnsi="Times New Roman"/>
          <w:color w:val="000000"/>
          <w:sz w:val="22"/>
          <w:u w:val="single"/>
        </w:rPr>
        <w:t>Section 6</w:t>
      </w:r>
      <w:r>
        <w:rPr>
          <w:rFonts w:ascii="Times New Roman" w:hAnsi="Times New Roman"/>
          <w:color w:val="000000"/>
          <w:sz w:val="22"/>
        </w:rPr>
        <w:t xml:space="preserve">, the indemnification provided by this </w:t>
      </w:r>
      <w:r>
        <w:rPr>
          <w:rFonts w:ascii="Times New Roman" w:hAnsi="Times New Roman"/>
          <w:color w:val="000000"/>
          <w:sz w:val="22"/>
          <w:u w:val="single"/>
        </w:rPr>
        <w:t>Section 1</w:t>
      </w:r>
      <w:r>
        <w:rPr>
          <w:color w:val="000000"/>
        </w:rPr>
        <w:t xml:space="preserve"> </w:t>
      </w:r>
      <w:r>
        <w:rPr>
          <w:rFonts w:ascii="Times New Roman" w:hAnsi="Times New Roman"/>
          <w:color w:val="000000"/>
          <w:sz w:val="22"/>
        </w:rPr>
        <w:t>shall be from and against all loss and liability suffered and expenses (including attorneys’ fees and expenses), judgments, fines and amounts paid in settlement actually and reasonably incurred by or on behalf of the Indemnitee in connection with such action, suit or proceeding, including any appeals (collectively, “</w:t>
      </w:r>
      <w:r>
        <w:rPr>
          <w:rFonts w:ascii="Times New Roman" w:hAnsi="Times New Roman"/>
          <w:b/>
          <w:color w:val="000000"/>
          <w:sz w:val="22"/>
          <w:u w:val="single"/>
        </w:rPr>
        <w:t>Losses</w:t>
      </w:r>
      <w:r>
        <w:rPr>
          <w:color w:val="000000"/>
        </w:rPr>
        <w:t>”</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w:t>
      </w:r>
    </w:p>
    <w:p>
      <w:pPr>
        <w:pStyle w:val="TextBody"/>
        <w:bidi w:val="0"/>
        <w:spacing w:before="0" w:after="240"/>
        <w:jc w:val="left"/>
        <w:rPr/>
      </w:pPr>
      <w:r>
        <w:rPr>
          <w:rFonts w:ascii="Times New Roman" w:hAnsi="Times New Roman"/>
          <w:b/>
          <w:color w:val="000000"/>
          <w:sz w:val="22"/>
          <w:u w:val="single"/>
        </w:rPr>
        <w:t>Advancement of Expenses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To the fullest extent permitted by applicable law, but subject to the terms of this Agreement and following notice pursuant to </w:t>
      </w:r>
      <w:r>
        <w:rPr>
          <w:rFonts w:ascii="Times New Roman" w:hAnsi="Times New Roman"/>
          <w:color w:val="000000"/>
          <w:sz w:val="22"/>
          <w:u w:val="single"/>
        </w:rPr>
        <w:t>Section 3(a)</w:t>
      </w:r>
      <w:r>
        <w:rPr>
          <w:color w:val="000000"/>
        </w:rPr>
        <w:t xml:space="preserve"> </w:t>
      </w:r>
      <w:r>
        <w:rPr>
          <w:rFonts w:ascii="Times New Roman" w:hAnsi="Times New Roman"/>
          <w:color w:val="000000"/>
          <w:sz w:val="22"/>
        </w:rPr>
        <w:t xml:space="preserve">below, expenses (including attorneys’ fees and expenses) incurred by the Indemnitee in appearing at, participating in or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defending, or otherwise arising out of or related to, any action, suit or proceeding described in </w:t>
      </w:r>
      <w:r>
        <w:rPr>
          <w:rFonts w:ascii="Times New Roman" w:hAnsi="Times New Roman"/>
          <w:color w:val="000000"/>
          <w:sz w:val="22"/>
          <w:u w:val="single"/>
        </w:rPr>
        <w:t>Section 1(a)</w:t>
      </w:r>
      <w:r>
        <w:rPr>
          <w:color w:val="000000"/>
        </w:rPr>
        <w:t xml:space="preserve"> </w:t>
      </w:r>
      <w:r>
        <w:rPr>
          <w:rFonts w:ascii="Times New Roman" w:hAnsi="Times New Roman"/>
          <w:color w:val="000000"/>
          <w:sz w:val="22"/>
        </w:rPr>
        <w:t xml:space="preserve">shall be paid by the Company in advance of the final disposition of such action, suit or proceeding, or in connection with any action, suit or proceeding brought to establish or enforce a right to indemnification or advancement of expenses pursuant to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(an “</w:t>
      </w:r>
      <w:r>
        <w:rPr>
          <w:rFonts w:ascii="Times New Roman" w:hAnsi="Times New Roman"/>
          <w:b/>
          <w:color w:val="000000"/>
          <w:sz w:val="22"/>
          <w:u w:val="single"/>
        </w:rPr>
        <w:t>advancement of expenses</w:t>
      </w:r>
      <w:r>
        <w:rPr>
          <w:color w:val="000000"/>
        </w:rPr>
        <w:t>”</w:t>
      </w:r>
      <w:r>
        <w:rPr>
          <w:rFonts w:ascii="Times New Roman" w:hAnsi="Times New Roman"/>
          <w:color w:val="000000"/>
          <w:sz w:val="22"/>
        </w:rPr>
        <w:t xml:space="preserve">), within 30 days after receipt by the Company of a statement or statements from the Indemnitee requesting such advancement of expenses from time to time; </w:t>
      </w:r>
      <w:r>
        <w:rPr>
          <w:rFonts w:ascii="Times New Roman" w:hAnsi="Times New Roman"/>
          <w:i/>
          <w:color w:val="000000"/>
          <w:sz w:val="22"/>
        </w:rPr>
        <w:t>provided</w:t>
      </w:r>
      <w:r>
        <w:rPr>
          <w:color w:val="000000"/>
        </w:rPr>
        <w:t xml:space="preserve"> </w:t>
      </w:r>
      <w:r>
        <w:rPr>
          <w:rFonts w:ascii="Times New Roman" w:hAnsi="Times New Roman"/>
          <w:color w:val="000000"/>
          <w:sz w:val="22"/>
        </w:rPr>
        <w:t>that such 30-day period may be extended for a reasonable time, not to exceed an additional 30 days, if the person or entity making the determination with respect to entitlement to indemnification in good faith requires such additional time for the obtaining or evaluating of documentation or information relating thereto. The Indemnitee hereby undertakes to repay any amounts so advanced (without interest) to the extent that it is ultimately determined by final judicial decision from which there is no further right to appeal (a “</w:t>
      </w:r>
      <w:r>
        <w:rPr>
          <w:rFonts w:ascii="Times New Roman" w:hAnsi="Times New Roman"/>
          <w:b/>
          <w:color w:val="000000"/>
          <w:sz w:val="22"/>
          <w:u w:val="single"/>
        </w:rPr>
        <w:t>final adjudication</w:t>
      </w:r>
      <w:r>
        <w:rPr>
          <w:color w:val="000000"/>
        </w:rPr>
        <w:t>”</w:t>
      </w:r>
      <w:r>
        <w:rPr>
          <w:rFonts w:ascii="Times New Roman" w:hAnsi="Times New Roman"/>
          <w:color w:val="000000"/>
          <w:sz w:val="22"/>
        </w:rPr>
        <w:t xml:space="preserve">) that the Indemnitee is not entitled to be indemnified or entitled to advancement of expenses under this Agreement. No other form of undertaking shall be required of the Indemnitee other than the execution of this Agreement. This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shall be subject to </w:t>
      </w:r>
      <w:r>
        <w:rPr>
          <w:rFonts w:ascii="Times New Roman" w:hAnsi="Times New Roman"/>
          <w:color w:val="000000"/>
          <w:sz w:val="22"/>
          <w:u w:val="single"/>
        </w:rPr>
        <w:t>Section 3(b)</w:t>
      </w:r>
      <w:r>
        <w:rPr>
          <w:color w:val="000000"/>
        </w:rPr>
        <w:t xml:space="preserve"> </w:t>
      </w:r>
      <w:r>
        <w:rPr>
          <w:rFonts w:ascii="Times New Roman" w:hAnsi="Times New Roman"/>
          <w:color w:val="000000"/>
          <w:sz w:val="22"/>
        </w:rPr>
        <w:t xml:space="preserve">and shall not apply to any claim made by the Indemnitee for which indemnity is excluded pursuant to </w:t>
      </w:r>
      <w:r>
        <w:rPr>
          <w:rFonts w:ascii="Times New Roman" w:hAnsi="Times New Roman"/>
          <w:color w:val="000000"/>
          <w:sz w:val="22"/>
          <w:u w:val="single"/>
        </w:rPr>
        <w:t>Section 6</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3.</w:t>
      </w:r>
    </w:p>
    <w:p>
      <w:pPr>
        <w:pStyle w:val="TextBody"/>
        <w:bidi w:val="0"/>
        <w:spacing w:before="0" w:after="240"/>
        <w:jc w:val="left"/>
        <w:rPr/>
      </w:pPr>
      <w:r>
        <w:rPr>
          <w:rFonts w:ascii="Times New Roman" w:hAnsi="Times New Roman"/>
          <w:b/>
          <w:color w:val="000000"/>
          <w:sz w:val="22"/>
          <w:u w:val="single"/>
        </w:rPr>
        <w:t>Procedure for Indemnification; Notification and Defense of Claim</w:t>
      </w:r>
      <w:r>
        <w:rPr>
          <w:rFonts w:ascii="Times New Roman" w:hAnsi="Times New Roman"/>
          <w:b/>
          <w:color w:val="000000"/>
          <w:sz w:val="2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2"/>
        </w:rPr>
        <w:t xml:space="preserve">Promptly after receipt by the Indemnitee of notice of the commencement of any action, suit or proceeding, the Indemnitee shall, if any indemnification, advancement or other claim in respect thereof is to be sought from or made against the Company hereunder, notify the Company in writing of the commencement thereof. The failure to promptly notify the Company of the commencement of any action, suit or proceeding, or of the Indemnitee’s request for indemnification, advancement or other claims shall not relieve the Company from any liability that it may have to the Indemnitee hereunder and shall not constitute a waiver or release by the Indemnitee of any rights hereunder or otherwise, except to the extent the Company is actually and materially prejudiced in its defense of such action, suit or proceeding as a result of such failure. To submit a request for indemnification under </w:t>
      </w:r>
      <w:r>
        <w:rPr>
          <w:rFonts w:ascii="Times New Roman" w:hAnsi="Times New Roman"/>
          <w:color w:val="000000"/>
          <w:sz w:val="22"/>
          <w:u w:val="single"/>
        </w:rPr>
        <w:t>Section 1</w:t>
      </w:r>
      <w:r>
        <w:rPr>
          <w:rFonts w:ascii="Times New Roman" w:hAnsi="Times New Roman"/>
          <w:color w:val="000000"/>
          <w:sz w:val="22"/>
        </w:rPr>
        <w:t xml:space="preserve">, the Indemnitee shall submit to the Company a written request therefor. Any notice by the Indemnitee under this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should include such documentation and information as is reasonably available to the Indemnitee and is reasonably necessary to enable the Company to determine whether and to what extent the Indemnitee is entitled to indemnification.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 xml:space="preserve">With respect to any action, suit or proceeding of which the Company is so notified as provided in this Agreement, the Company shall, subject to the last two sentences of this </w:t>
      </w:r>
      <w:r>
        <w:rPr>
          <w:rFonts w:ascii="Times New Roman" w:hAnsi="Times New Roman"/>
          <w:color w:val="000000"/>
          <w:sz w:val="22"/>
          <w:u w:val="single"/>
        </w:rPr>
        <w:t>Section 3(b)</w:t>
      </w:r>
      <w:r>
        <w:rPr>
          <w:rFonts w:ascii="Times New Roman" w:hAnsi="Times New Roman"/>
          <w:color w:val="000000"/>
          <w:sz w:val="22"/>
        </w:rPr>
        <w:t xml:space="preserve">, be entitled to assume the defense of such action, suit or proceeding, with counsel reasonably acceptable to the Indemnitee,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subsequently incurred fees of separate counsel engaged by the Indemnitee with respect to the same action, suit or proceeding unless the employment of separate counsel by the Indemnitee has been previously authorized in writing by the Company. Notwithstanding the foregoing, if the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the Indemnitee with respect to a significant issue, then the Company will not be entitled, without the written consent of the Indemnitee, to assume such defense. In addition, the Company will not be entitled, without the written consent of the Indemnitee, to assume the defense of any claim brought by or in the right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2"/>
        </w:rPr>
        <w:t xml:space="preserve">The determination whether to grant the Indemnitee’s indemnification request shall be made promptly and in any event within 30 days following the Company’s receipt of a request for indemnification in accordance with </w:t>
      </w:r>
      <w:r>
        <w:rPr>
          <w:rFonts w:ascii="Times New Roman" w:hAnsi="Times New Roman"/>
          <w:color w:val="000000"/>
          <w:sz w:val="22"/>
          <w:u w:val="single"/>
        </w:rPr>
        <w:t>Section 3(a)</w:t>
      </w:r>
      <w:r>
        <w:rPr>
          <w:rFonts w:ascii="Times New Roman" w:hAnsi="Times New Roman"/>
          <w:color w:val="000000"/>
          <w:sz w:val="22"/>
        </w:rPr>
        <w:t xml:space="preserve">. If the determination of whether to grant the Indemnitee’s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indemnification request shall not have been made within such 30</w:t>
        <w:noBreakHyphen/>
        <w:t xml:space="preserve">day period, the requisite determination of entitlement to indemnification shall, subject to </w:t>
      </w:r>
      <w:r>
        <w:rPr>
          <w:rFonts w:ascii="Times New Roman" w:hAnsi="Times New Roman"/>
          <w:color w:val="000000"/>
          <w:sz w:val="22"/>
          <w:u w:val="single"/>
        </w:rPr>
        <w:t>Section 6</w:t>
      </w:r>
      <w:r>
        <w:rPr>
          <w:rFonts w:ascii="Times New Roman" w:hAnsi="Times New Roman"/>
          <w:color w:val="000000"/>
          <w:sz w:val="22"/>
        </w:rPr>
        <w:t xml:space="preserve">, to the fullest extent not prohibited by law, nonetheless be deemed to have been made and the Indemnitee shall be entitled to such indemnification, absent (i) an intentional misstatement by the Indemnitee of a material fact, or an intentional omission of a material fact necessary to make the Indemnitee’s statement not misleading, in connection with the request for indemnification, or (ii) a prohibition of such indemnification under applicable law;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30-day period may be extended for a reasonable time, not to exceed an additional 30 days, if the person or entity making the determination with respect to entitlement to indemnification in good faith requires such additional time for the obtaining or evaluating of documentation or information relating thereto.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2"/>
        </w:rPr>
        <w:t xml:space="preserve">In the event that (i) the Company determines in accordance with this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that the Indemnitee is not entitled to indemnification under this Agreement, (ii) the Company denies a request for indemnification, in whole or in part, or fails to respond or make a determination of entitlement to indemnification within 30 days following receipt of a request for indemnification as described above, (iii) payment of indemnification is not made within such 30</w:t>
        <w:noBreakHyphen/>
        <w:t xml:space="preserve">day period (as it may be extended), (iv) advancement of expenses is not timely made in accordance with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the Indemnitee shall be entitled to an adjudication in any court of competent jurisdiction of his or her entitlement to such indemnification or advancement of expenses, as applicable. The Indemnitee’s expenses (including attorneys’ fees and expenses) incurred in connection with successfully establishing the Indemnitee’s right to indemnification or advancement of expenses, in whole or in part, in any such proceeding or otherwise shall also be indemnified by the Company to the fullest extent permitted by applicable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2"/>
        </w:rPr>
        <w:t xml:space="preserve">The Indemnitee shall be presumed to be entitled to indemnification and advancement of expenses under this Agreement upon submission of a request therefor in accordance with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3</w:t>
      </w:r>
      <w:r>
        <w:rPr>
          <w:rFonts w:ascii="Times New Roman" w:hAnsi="Times New Roman"/>
          <w:color w:val="000000"/>
          <w:sz w:val="22"/>
        </w:rPr>
        <w:t>,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 For purposes of this Agreement, to the fullest extent permitted by applicable law, the Indemnitee shall be deemed to have acted in good faith if the Indemnitee’s action is based on the records or books of account of the Company, including financial statements, or on information supplied to the Indemnitee by the officers, employees or committees of the Board of Directors of the Company (the “</w:t>
      </w:r>
      <w:r>
        <w:rPr>
          <w:rFonts w:ascii="Times New Roman" w:hAnsi="Times New Roman"/>
          <w:b/>
          <w:color w:val="000000"/>
          <w:sz w:val="22"/>
          <w:u w:val="single"/>
        </w:rPr>
        <w:t>Board of Directors</w:t>
      </w:r>
      <w:r>
        <w:rPr>
          <w:color w:val="000000"/>
        </w:rPr>
        <w:t>”</w:t>
      </w:r>
      <w:r>
        <w:rPr>
          <w:rFonts w:ascii="Times New Roman" w:hAnsi="Times New Roman"/>
          <w:color w:val="000000"/>
          <w:sz w:val="22"/>
        </w:rPr>
        <w:t>), or on the advice of legal counsel or other advisors (including financial advisors and accountants) for the Company or on information or records given in reports made to the Company by an independent certified public accountant or by an appraiser or other expert or advisor selected by the Company, and the knowledge and/or actions, or failure to act, of any director, officer, agent or employee of the Company or relevant enterprises will not be imputed to the Indemnitee in a manner that limits or otherwise adversely affects the Indemnitee’s rights hereunder.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4.</w:t>
      </w:r>
    </w:p>
    <w:p>
      <w:pPr>
        <w:pStyle w:val="TextBody"/>
        <w:bidi w:val="0"/>
        <w:spacing w:before="0" w:after="240"/>
        <w:jc w:val="left"/>
        <w:rPr/>
      </w:pPr>
      <w:r>
        <w:rPr>
          <w:rFonts w:ascii="Times New Roman" w:hAnsi="Times New Roman"/>
          <w:b/>
          <w:color w:val="000000"/>
          <w:sz w:val="22"/>
          <w:u w:val="single"/>
        </w:rPr>
        <w:t>Insurance and Subrogation</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Company shall use its reasonable best efforts to purchase and maintain a policy or policies of directors’ and officers’ liability insurance (“</w:t>
      </w:r>
      <w:r>
        <w:rPr>
          <w:rFonts w:ascii="Times New Roman" w:hAnsi="Times New Roman"/>
          <w:b/>
          <w:color w:val="000000"/>
          <w:sz w:val="22"/>
          <w:u w:val="single"/>
        </w:rPr>
        <w:t>D&amp;O Insurance</w:t>
      </w:r>
      <w:r>
        <w:rPr>
          <w:rFonts w:ascii="Times New Roman" w:hAnsi="Times New Roman"/>
          <w:color w:val="000000"/>
          <w:sz w:val="20"/>
        </w:rPr>
        <w:t>”</w:t>
      </w:r>
      <w:r>
        <w:rPr>
          <w:rFonts w:ascii="Times New Roman" w:hAnsi="Times New Roman"/>
          <w:color w:val="000000"/>
          <w:sz w:val="22"/>
        </w:rPr>
        <w:t>) with reputable insurance companies, with A.M. Best ratings of “A-” or better (or, if A.M. Best does not rate the insurance company, an equivalent rating by an equivalent licensed insurance rating organization or agency), providing the Indemnitee with coverage for any liability asserted against, and incurred by, the Indemnitee or on the Indemnitee’s behalf by reason of the fact that the Indemnitee is or was or has agreed to serve as a director or officer of the Company, or while serving as a director or officer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the Indemnitee’s status as such, whether or not the Company would have the power to indemnify the Indemnitee against such liability under the provisions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Notwithstanding any other provisions of this Agreement to the contrary, the Company shall have no obligation to obtain or maintain D&amp;O Insurance if the Board of Directors determines in good faith (and with the consent of Silver Lake Group, L.L.C. (together with its affiliates, successors, and assignees (“</w:t>
      </w:r>
      <w:r>
        <w:rPr>
          <w:rFonts w:ascii="Times New Roman" w:hAnsi="Times New Roman"/>
          <w:b/>
          <w:color w:val="000000"/>
          <w:sz w:val="22"/>
          <w:u w:val="single"/>
        </w:rPr>
        <w:t>Silver Lake</w:t>
      </w:r>
      <w:r>
        <w:rPr>
          <w:color w:val="000000"/>
        </w:rPr>
        <w:t>”</w:t>
      </w:r>
      <w:r>
        <w:rPr>
          <w:rFonts w:ascii="Times New Roman" w:hAnsi="Times New Roman"/>
          <w:color w:val="000000"/>
          <w:sz w:val="22"/>
        </w:rPr>
        <w:t>)), to the extent that at least one nominee of Silver Lake serves on the Board of Directors) that: (i) such insurance is not reasonably available; (ii) the premium costs for such insurance are disproportionate to the amount of coverage provided; (iii) the coverage provided by such insurance is limited by exclusions so as to provide an insufficient benefit; (iv) the Company is to be acquired and a tail policy of reasonable terms and duration is purchased for pre</w:t>
        <w:noBreakHyphen/>
        <w:t>closing acts or omissions by the Indemnitee; or (v) the Company is to be acquired and D&amp;O Insurance, with substantially the same terms and conditions as the D&amp;O Insurance in place prior to such acquisition, will be maintained by the acquirer that covers pre</w:t>
        <w:noBreakHyphen/>
        <w:t>closing acts and omissions by the Indemnitee.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all policies of D&amp;O Insurance, the Indemnitee shall qualify as an insured in such a manner as to provide the Indemnitee the same rights and benefits as are accorded to the most favorably insured (i) of the Company’s independent directors (as defined by the insurer) if the Indemnitee is such an independent director; (ii) of the Company’s non</w:t>
        <w:noBreakHyphen/>
        <w:t>independent directors if the Indemnitee is not an independent director; or (iii) of the Company’s officers if the Indemnitee is an officer of the Company. If the Company has D&amp;O Insurance in effect at the time the Company receives from the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the Indemnitee, all amounts payable as a result of such proceeding in accordance with the terms of such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2"/>
        </w:rPr>
        <w:t xml:space="preserve">Subject to </w:t>
      </w:r>
      <w:r>
        <w:rPr>
          <w:rFonts w:ascii="Times New Roman" w:hAnsi="Times New Roman"/>
          <w:color w:val="000000"/>
          <w:sz w:val="22"/>
          <w:u w:val="single"/>
        </w:rPr>
        <w:t>Section 15</w:t>
      </w:r>
      <w:r>
        <w:rPr>
          <w:rFonts w:ascii="Times New Roman" w:hAnsi="Times New Roman"/>
          <w:color w:val="000000"/>
          <w:sz w:val="22"/>
        </w:rPr>
        <w:t>, in the event of any payment by the Company under this Agreement, the Company shall be subrogated to the extent of such payment to all of the rights of recovery of the Indemnitee with respect to any D&amp;O Insurance maintained by the Company. The Indemnitee shall execute all papers required and take all reasonable action necessary to secure such rights, including execution of such documents as are necessary to enable the Company to bring suit to enforce such rights in accordance with the terms of such D&amp;O Insurance. The Company shall pay or reimburse all expenses actually and reasonably incurred by the Indemnitee in connection with such subrogation.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2"/>
        </w:rPr>
        <w:t xml:space="preserve">Subject to </w:t>
      </w:r>
      <w:r>
        <w:rPr>
          <w:rFonts w:ascii="Times New Roman" w:hAnsi="Times New Roman"/>
          <w:color w:val="000000"/>
          <w:sz w:val="22"/>
          <w:u w:val="single"/>
        </w:rPr>
        <w:t>Section 15</w:t>
      </w:r>
      <w:r>
        <w:rPr>
          <w:rFonts w:ascii="Times New Roman" w:hAnsi="Times New Roman"/>
          <w:color w:val="000000"/>
          <w:sz w:val="22"/>
        </w:rPr>
        <w:t>, the Company shall not be liable under this Agreement to make any payment of amounts otherwise indemnifiable hereunder (including, but not limited to, judgments, fines and amounts paid in settlement, and excise taxes or penalties relating to the Employee Retirement Income Security Act of 1974, as amended (“</w:t>
      </w:r>
      <w:r>
        <w:rPr>
          <w:rFonts w:ascii="Times New Roman" w:hAnsi="Times New Roman"/>
          <w:b/>
          <w:color w:val="000000"/>
          <w:sz w:val="22"/>
          <w:u w:val="single"/>
        </w:rPr>
        <w:t>ERISA</w:t>
      </w:r>
      <w:r>
        <w:rPr>
          <w:color w:val="000000"/>
        </w:rPr>
        <w:t>”</w:t>
      </w:r>
      <w:r>
        <w:rPr>
          <w:rFonts w:ascii="Times New Roman" w:hAnsi="Times New Roman"/>
          <w:color w:val="000000"/>
          <w:sz w:val="22"/>
        </w:rPr>
        <w:t>)) if and to the extent that the Indemnitee has otherwise actually received such payment under this Agreement or any insurance policy, contract, agreement or otherwise.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5.</w:t>
      </w:r>
    </w:p>
    <w:p>
      <w:pPr>
        <w:pStyle w:val="TextBody"/>
        <w:bidi w:val="0"/>
        <w:spacing w:before="0" w:after="240"/>
        <w:jc w:val="left"/>
        <w:rPr/>
      </w:pPr>
      <w:r>
        <w:rPr>
          <w:rFonts w:ascii="Times New Roman" w:hAnsi="Times New Roman"/>
          <w:b/>
          <w:color w:val="000000"/>
          <w:sz w:val="22"/>
          <w:u w:val="single"/>
        </w:rPr>
        <w:t>Certain Definitions</w:t>
      </w:r>
      <w:r>
        <w:rPr>
          <w:rFonts w:ascii="Times New Roman" w:hAnsi="Times New Roman"/>
          <w:b/>
          <w:color w:val="000000"/>
          <w:sz w:val="22"/>
        </w:rPr>
        <w:t>.</w:t>
      </w:r>
      <w:r>
        <w:rPr>
          <w:color w:val="000000"/>
        </w:rPr>
        <w:t xml:space="preserve"> </w:t>
      </w:r>
      <w:r>
        <w:rPr>
          <w:rFonts w:ascii="Times New Roman" w:hAnsi="Times New Roman"/>
          <w:color w:val="000000"/>
          <w:sz w:val="22"/>
        </w:rPr>
        <w:t>For purposes of this Agreement, the following definitions shall apply: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action, suit or proceeding</w:t>
      </w:r>
      <w:r>
        <w:rPr>
          <w:color w:val="000000"/>
        </w:rPr>
        <w:t xml:space="preserve">” </w:t>
      </w:r>
      <w:r>
        <w:rPr>
          <w:rFonts w:ascii="Times New Roman" w:hAnsi="Times New Roman"/>
          <w:color w:val="000000"/>
          <w:sz w:val="22"/>
        </w:rPr>
        <w:t xml:space="preserve">shall be broadly construed and shall include, without limitation, the investigation, preparation, prosecution, defense, settlement, arbitration and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appeal of, and the giving of testimony in, any threatened, pending or completed claim, counterclaim, cross claim, action, suit, arbitration, alternative dispute mechanism or proceeding, whether civil, criminal, administrative or investigative.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by reason of the fact that the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w:t>
      </w:r>
      <w:r>
        <w:rPr>
          <w:color w:val="000000"/>
        </w:rPr>
        <w:t xml:space="preserve">” </w:t>
      </w:r>
      <w:r>
        <w:rPr>
          <w:rFonts w:ascii="Times New Roman" w:hAnsi="Times New Roman"/>
          <w:color w:val="000000"/>
          <w:sz w:val="22"/>
        </w:rPr>
        <w:t>shall be broadly construed and shall include, without limitation, any actual or alleged act or omission to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disinterested director</w:t>
      </w:r>
      <w:r>
        <w:rPr>
          <w:color w:val="000000"/>
        </w:rPr>
        <w:t xml:space="preserve">” </w:t>
      </w:r>
      <w:r>
        <w:rPr>
          <w:rFonts w:ascii="Times New Roman" w:hAnsi="Times New Roman"/>
          <w:color w:val="000000"/>
          <w:sz w:val="22"/>
        </w:rPr>
        <w:t>shall mean a director of the Company who is not and was not a party to the action, suit or proceeding in respect of which indemnification is sought by the Indemnitee.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expenses</w:t>
      </w:r>
      <w:r>
        <w:rPr>
          <w:color w:val="000000"/>
        </w:rPr>
        <w:t xml:space="preserve">” </w:t>
      </w:r>
      <w:r>
        <w:rPr>
          <w:rFonts w:ascii="Times New Roman" w:hAnsi="Times New Roman"/>
          <w:color w:val="000000"/>
          <w:sz w:val="22"/>
        </w:rPr>
        <w:t>shall be broadly construed and shall include, without limitation, all direct and indirect costs of any type or nature whatsoever (including, without limitation, all attorneys’ fees and expenses and related disbursements, appeal bonds, other out</w:t>
        <w:noBreakHyphen/>
        <w:t>of</w:t>
        <w:noBreakHyphen/>
        <w:t>pocket costs, retainers, court costs, transcript costs, fees of experts and other professionals, witness fees, travel expenses, duplicating costs, printing and binding costs, telephone charges, postage, delivery service fees, any federal, state, local or foreign taxes imposed on the Indemnitee as a result of the actual or deemed receipt of any payments under this Agreement, ERISA excise taxes and penalties and reasonable compensation for time spent by the Indemnitee for which the Indemnitee is not otherwise compensated by the Company or any third party), actually and reasonably incurred by the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judgments, fines and amounts paid in settlement</w:t>
      </w:r>
      <w:r>
        <w:rPr>
          <w:color w:val="000000"/>
        </w:rPr>
        <w:t xml:space="preserve">” </w:t>
      </w:r>
      <w:r>
        <w:rPr>
          <w:rFonts w:ascii="Times New Roman" w:hAnsi="Times New Roman"/>
          <w:color w:val="000000"/>
          <w:sz w:val="22"/>
        </w:rPr>
        <w:t xml:space="preserve">shall be broadly construed and shall include, without limitation, all direct and indirect payments of any type or nature whatsoever, as well as any penalties or excise taxes assessed on a person with respect to an employee benefit plan.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6.</w:t>
      </w:r>
    </w:p>
    <w:p>
      <w:pPr>
        <w:pStyle w:val="TextBody"/>
        <w:bidi w:val="0"/>
        <w:spacing w:before="0" w:after="240"/>
        <w:jc w:val="left"/>
        <w:rPr/>
      </w:pPr>
      <w:r>
        <w:rPr>
          <w:rFonts w:ascii="Times New Roman" w:hAnsi="Times New Roman"/>
          <w:b/>
          <w:color w:val="000000"/>
          <w:sz w:val="22"/>
          <w:u w:val="single"/>
        </w:rPr>
        <w:t>Limitation on Indemnification</w:t>
      </w:r>
      <w:r>
        <w:rPr>
          <w:rFonts w:ascii="Times New Roman" w:hAnsi="Times New Roman"/>
          <w:b/>
          <w:color w:val="000000"/>
          <w:sz w:val="22"/>
        </w:rPr>
        <w:t>.</w:t>
      </w:r>
      <w:r>
        <w:rPr>
          <w:color w:val="000000"/>
        </w:rPr>
        <w:t xml:space="preserve"> </w:t>
      </w:r>
      <w:r>
        <w:rPr>
          <w:rFonts w:ascii="Times New Roman" w:hAnsi="Times New Roman"/>
          <w:color w:val="000000"/>
          <w:sz w:val="22"/>
        </w:rPr>
        <w:t>Notwithstanding any provision of this Agreement to the contrary, the Company shall not be obligated pursuant to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2"/>
          <w:u w:val="single"/>
        </w:rPr>
        <w:t>Proceedings Initiated by the Indemnitee</w:t>
      </w:r>
      <w:r>
        <w:rPr>
          <w:rFonts w:ascii="Times New Roman" w:hAnsi="Times New Roman"/>
          <w:color w:val="000000"/>
          <w:sz w:val="22"/>
        </w:rPr>
        <w:t>. To indemnify or advance expenses to the Indemnitee with respect to an action, suit or proceeding (or part thereof) initiated voluntarily by the Indemnitee, except with respect to any compulsory counterclaim brought by the Indemnitee, unless (i) such indemnification is expressly required to be made by law, (ii) such action, suit or proceeding (or part thereof) was authorized or consented to by the Board of Directors, (iii) such indemnification is provided by the Company, in its sole discretion, pursuant to the powers vested in the Company under applicable law or (iv) such action, suit or proceeding is brought to establish or enforce a right to indemnification or advancement of expenses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u w:val="single"/>
        </w:rPr>
        <w:t>Action for Indemnification</w:t>
      </w:r>
      <w:r>
        <w:rPr>
          <w:rFonts w:ascii="Times New Roman" w:hAnsi="Times New Roman"/>
          <w:color w:val="000000"/>
          <w:sz w:val="22"/>
        </w:rPr>
        <w:t xml:space="preserve">. To indemnify the Indemnitee for any expenses incurred by the Indemnitee with respect to any action, suit or proceeding instituted by the Indemnitee to enforce or interpret this Agreement, unless the Indemnitee is successful in such action, suit or proceeding in establishing the Indemnitee’s right, in whole or in part, to indemnification or advancement of expenses hereunder (in which case such indemnification or advancement shall be to the fullest extent permitted by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applicable law), or unless and to the extent that the court in such action, suit or proceeding shall determine that, despite the Indemnitee’s failure to establish his or her right to indemnification, the Indemnitee is entitled to indemnification for such expenses;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nothing in this Section 6(b) is intended to limit the Company’s obligations with respect to the advancement of expenses to the Indemnitee in connection with any such action, suit or proceeding instituted by the Indemnitee to enforce or interpret this Agreement, as provided in Section 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2"/>
          <w:u w:val="single"/>
        </w:rPr>
        <w:t>Actions Based on Federal Statutes Regarding Profit Recovery, Return of Bonus Payments, and Reimbursement Under Clawback Policies</w:t>
      </w:r>
      <w:r>
        <w:rPr>
          <w:rFonts w:ascii="Times New Roman" w:hAnsi="Times New Roman"/>
          <w:color w:val="000000"/>
          <w:sz w:val="22"/>
        </w:rPr>
        <w:t>. To indemnify the Indemnitee on account of (i) any suit in which judgment is rendered against the Indemnitee for disgorgement of profits made from the purchase or sale by the Indemnitee of securities of the Company pursuant to the provisions of Section 16(b) of the Securities Exchange Act of 1934, as amended (the “</w:t>
      </w:r>
      <w:r>
        <w:rPr>
          <w:rFonts w:ascii="Times New Roman" w:hAnsi="Times New Roman"/>
          <w:b/>
          <w:color w:val="000000"/>
          <w:sz w:val="22"/>
          <w:u w:val="single"/>
        </w:rPr>
        <w:t>Exchange Act</w:t>
      </w:r>
      <w:r>
        <w:rPr>
          <w:color w:val="000000"/>
        </w:rPr>
        <w:t>”</w:t>
      </w:r>
      <w:r>
        <w:rPr>
          <w:rFonts w:ascii="Times New Roman" w:hAnsi="Times New Roman"/>
          <w:color w:val="000000"/>
          <w:sz w:val="22"/>
        </w:rPr>
        <w:t>),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hAnsi="Times New Roman"/>
          <w:b/>
          <w:color w:val="000000"/>
          <w:sz w:val="22"/>
          <w:u w:val="single"/>
        </w:rPr>
        <w:t>Sarbanes-Oxley Act</w:t>
      </w:r>
      <w:r>
        <w:rPr>
          <w:color w:val="000000"/>
        </w:rPr>
        <w:t>”</w:t>
      </w:r>
      <w:r>
        <w:rPr>
          <w:rFonts w:ascii="Times New Roman" w:hAnsi="Times New Roman"/>
          <w:color w:val="000000"/>
          <w:sz w:val="22"/>
        </w:rPr>
        <w:t>), or the payment to the Company of profits arising from the purchase and sale by the Indemnitee of securities in violation of Section 306 of the Sarbanes-Oxley Act), or (iii) any reimbursement of the Company by the Indemnitee of any compensation pursuant to any compensation recoupment or clawback policy adopted by the Board of Directors or the compensation committee of the Board of Directors, including but not limited to, any such policy adopted to comply with stock exchange listing requirements implementing Section 10D of the Exchange Act (any such policy, a “</w:t>
      </w:r>
      <w:r>
        <w:rPr>
          <w:rFonts w:ascii="Times New Roman" w:hAnsi="Times New Roman"/>
          <w:b/>
          <w:color w:val="000000"/>
          <w:sz w:val="22"/>
          <w:u w:val="single"/>
        </w:rPr>
        <w:t>Clawback Policy</w:t>
      </w:r>
      <w:r>
        <w:rPr>
          <w:color w:val="000000"/>
        </w:rPr>
        <w:t>”</w:t>
      </w:r>
      <w:r>
        <w:rPr>
          <w:rFonts w:ascii="Times New Roman" w:hAnsi="Times New Roman"/>
          <w:color w:val="000000"/>
          <w:sz w:val="22"/>
        </w:rPr>
        <w:t>). In furtherance of this Section 6(c), the Indemnitee hereby agrees to abide by the terms of any Clawback Policy, including, without limitation, by returning any compensation to the Company to the extent required by, and in a manner permitted by, such Clawback Policy, and hereby understands and agrees that the Indemnitee shall not be entitled to any (x) indemnification for any liability (including any amounts owed by the Indemnitee in a judgment or settlement of any proceeding relating to such Clawback Policy (a “</w:t>
      </w:r>
      <w:r>
        <w:rPr>
          <w:rFonts w:ascii="Times New Roman" w:hAnsi="Times New Roman"/>
          <w:b/>
          <w:color w:val="000000"/>
          <w:sz w:val="22"/>
          <w:u w:val="single"/>
        </w:rPr>
        <w:t>Clawback Proceeding</w:t>
      </w:r>
      <w:r>
        <w:rPr>
          <w:color w:val="000000"/>
        </w:rPr>
        <w:t>”</w:t>
      </w:r>
      <w:r>
        <w:rPr>
          <w:rFonts w:ascii="Times New Roman" w:hAnsi="Times New Roman"/>
          <w:color w:val="000000"/>
          <w:sz w:val="22"/>
        </w:rPr>
        <w:t xml:space="preserve">) or loss (including judgments, fines, taxes, penalties or amounts paid in settlement by or on behalf of the Indemnitee) incurred by the Indemnitee in connection with any Clawback Proceeding) or (y) indemnification or advancement of expenses (including attorneys’ fees and expenses) from the Company and or any subsidiary of the Company incurred by the Indemnitee in connection with any Clawback Proceeding;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if the Indemnitee is successful on the merits in the defense of any claim asserted against the Indemnitee in a Clawback Proceeding, the Indemnitee shall be indemnified for the expenses (including attorneys’ fees and expenses) the Indemnitee reasonably incurred to defend such claim. The Indemnitee hereby knowingly, voluntarily and intentionally waives, and agrees not to assert any claim regarding, all indemnification, advancement of expenses and other rights to which the Indemnitee is now or becomes entitled to under this Agreement, the Company’s certificate of incorporation and bylaws, the governing documents of each subsidiary of the Company, and the General Corporation Law of the State of Delaware (the “</w:t>
      </w:r>
      <w:r>
        <w:rPr>
          <w:rFonts w:ascii="Times New Roman" w:hAnsi="Times New Roman"/>
          <w:b/>
          <w:color w:val="000000"/>
          <w:sz w:val="22"/>
          <w:u w:val="single"/>
        </w:rPr>
        <w:t>DGCL</w:t>
      </w:r>
      <w:r>
        <w:rPr>
          <w:color w:val="000000"/>
        </w:rPr>
        <w:t>”</w:t>
      </w:r>
      <w:r>
        <w:rPr>
          <w:rFonts w:ascii="Times New Roman" w:hAnsi="Times New Roman"/>
          <w:color w:val="000000"/>
          <w:sz w:val="22"/>
        </w:rPr>
        <w:t>), in each case to the extent such waiver and agreement is necessary to give effect to the preceding sentence of this paragraph. The Indemnitee agrees and acknowledges that the compensation the Indemnitee has or will receive from the Company or any of its subsidiaries constitutes fair and adequate consideration in exchange for the waiver and agreement provided by the Indemnitee in this paragraph.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2"/>
          <w:u w:val="single"/>
        </w:rPr>
        <w:t>Fraud or Willful Misconduct</w:t>
      </w:r>
      <w:r>
        <w:rPr>
          <w:rFonts w:ascii="Times New Roman" w:hAnsi="Times New Roman"/>
          <w:color w:val="000000"/>
          <w:sz w:val="22"/>
        </w:rPr>
        <w:t>. To indemnify the Indemnitee on account of conduct by the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to constitute willful misconduct.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2"/>
          <w:u w:val="single"/>
        </w:rPr>
        <w:t>Prohibited by Law</w:t>
      </w:r>
      <w:r>
        <w:rPr>
          <w:rFonts w:ascii="Times New Roman" w:hAnsi="Times New Roman"/>
          <w:color w:val="000000"/>
          <w:sz w:val="22"/>
        </w:rPr>
        <w:t>. To indemnify or advance expenses to the Indemnitee in any circumstance where such indemnification or advancement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7.</w:t>
      </w:r>
    </w:p>
    <w:p>
      <w:pPr>
        <w:pStyle w:val="TextBody"/>
        <w:bidi w:val="0"/>
        <w:spacing w:before="0" w:after="240"/>
        <w:jc w:val="left"/>
        <w:rPr/>
      </w:pPr>
      <w:r>
        <w:rPr>
          <w:rFonts w:ascii="Times New Roman" w:hAnsi="Times New Roman"/>
          <w:b/>
          <w:color w:val="000000"/>
          <w:sz w:val="22"/>
          <w:u w:val="single"/>
        </w:rPr>
        <w:t>Change in Control</w:t>
      </w:r>
      <w:r>
        <w:rPr>
          <w:rFonts w:ascii="Times New Roman" w:hAnsi="Times New Roman"/>
          <w:b/>
          <w:color w:val="000000"/>
          <w:sz w:val="2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2"/>
        </w:rPr>
        <w:t xml:space="preserve">The Company agrees that if there is a change in control of the Company, then with respect to all matters thereafter arising concerning the rights of the Indemnitee to indemnification and advancement of expenses under this Agreement, any other agreement or the Company’s certificate of incorporation or bylaws now or hereafter in effect, the Company shall seek legal advice only from independent counsel selected by the Indemnitee and approved by the Company (which approval shall not be unreasonably withheld). Upon failure of the Company to select such independent counsel or upon failure of the Indemnitee to approve, such independent counsel shall be selected upon application to a court of competent jurisdiction. In addition, upon written request by the Indemnitee for indemnification pursuant to </w:t>
      </w:r>
      <w:r>
        <w:rPr>
          <w:rFonts w:ascii="Times New Roman" w:hAnsi="Times New Roman"/>
          <w:color w:val="000000"/>
          <w:sz w:val="22"/>
          <w:u w:val="single"/>
        </w:rPr>
        <w:t>Section 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3(a)</w:t>
      </w:r>
      <w:r>
        <w:rPr>
          <w:rFonts w:ascii="Times New Roman" w:hAnsi="Times New Roman"/>
          <w:color w:val="000000"/>
          <w:sz w:val="22"/>
        </w:rPr>
        <w:t>, a determination, if required by applicable law, with respect to the Indemnitee’s entitlement thereto shall be made by such independent counsel in a written opinion to the Board of Directors, a copy of which shall be delivered to the Indemnitee. The Company agrees to pay the reasonable fees of the independent counsel referred to above and to indemnify fully such counsel against any and all expenses (including attorneys’ fees and expenses), claims, liabilities and damages arising out of or relating to this Agreement or its engagement pursuant 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 xml:space="preserve">For purposes of this </w:t>
      </w:r>
      <w:r>
        <w:rPr>
          <w:rFonts w:ascii="Times New Roman" w:hAnsi="Times New Roman"/>
          <w:color w:val="000000"/>
          <w:sz w:val="22"/>
          <w:u w:val="single"/>
        </w:rPr>
        <w:t>Section 7</w:t>
      </w:r>
      <w:r>
        <w:rPr>
          <w:rFonts w:ascii="Times New Roman" w:hAnsi="Times New Roman"/>
          <w:color w:val="000000"/>
          <w:sz w:val="22"/>
        </w:rPr>
        <w:t>, the following definitions shall apply: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rPr>
        <w:t>A “</w:t>
      </w:r>
      <w:r>
        <w:rPr>
          <w:rFonts w:ascii="Times New Roman" w:hAnsi="Times New Roman"/>
          <w:b/>
          <w:color w:val="000000"/>
          <w:sz w:val="22"/>
          <w:u w:val="single"/>
        </w:rPr>
        <w:t>change in control</w:t>
      </w:r>
      <w:r>
        <w:rPr>
          <w:color w:val="000000"/>
        </w:rPr>
        <w:t xml:space="preserve">” </w:t>
      </w:r>
      <w:r>
        <w:rPr>
          <w:rFonts w:ascii="Times New Roman" w:hAnsi="Times New Roman"/>
          <w:color w:val="000000"/>
          <w:sz w:val="22"/>
        </w:rPr>
        <w:t xml:space="preserve">shall have the meaning ascribed thereto in the First Advantage Corporation 2021 Omnibus Incentive Plan, as amended.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independent counsel</w:t>
      </w:r>
      <w:r>
        <w:rPr>
          <w:color w:val="000000"/>
        </w:rPr>
        <w:t xml:space="preserve">” </w:t>
      </w:r>
      <w:r>
        <w:rPr>
          <w:rFonts w:ascii="Times New Roman" w:hAnsi="Times New Roman"/>
          <w:color w:val="000000"/>
          <w:sz w:val="22"/>
        </w:rPr>
        <w:t>means a law firm, or a member of a law firm, that is experienced in matters of corporation law and neither presently is, nor in the past five years has been, retained to represent: (A) the Company or the Indemnitee in any matter material to either such party or (B) any other party to the action, suit or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the Indemnitee in an action to determine the Indemnitee’s rights under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Subsidiary</w:t>
      </w:r>
      <w:r>
        <w:rPr>
          <w:color w:val="000000"/>
        </w:rPr>
        <w:t xml:space="preserve">” </w:t>
      </w:r>
      <w:r>
        <w:rPr>
          <w:rFonts w:ascii="Times New Roman" w:hAnsi="Times New Roman"/>
          <w:color w:val="000000"/>
          <w:sz w:val="22"/>
        </w:rPr>
        <w:t xml:space="preserve">means, with respect to the Company (or an applicable successor entity), any corporation, partnership, limited liability company, association or other business entity of which (i) if a corporation, a majority of the total voting power of shares of stock entitled (without regard to the occurrence of any contingency) to vote in the election of directors or other governing persons or bodies thereof is at the time owned or controlled, directly or indirectly, by the Company or one or more of the other Subsidiaries of the Company or a combination thereof, or (ii) if a partnership, limited liability company, trust, association or other business entity, a majority of the partnership, limited liability company or other similar ownership interest thereof is at the time owned or controlled, directly or indirectly, by the Company or one or more of the other Subsidiaries of the Company or a combination thereof. For purposes hereof, the Company or its applicable Subsidiary shall be deemed to have a majority ownership interest in a partnership, limited liability company, association or other business entity if the Company or such applicable Subsidiary shall be allocated a majority of partnership, limited liability company, association or other business entity gains or losses or shall be or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control the managing director, managing member, manager or general partner of such partnership, limited liability company, association or other business entity.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8.</w:t>
      </w:r>
    </w:p>
    <w:p>
      <w:pPr>
        <w:pStyle w:val="TextBody"/>
        <w:bidi w:val="0"/>
        <w:spacing w:before="0" w:after="240"/>
        <w:jc w:val="left"/>
        <w:rPr/>
      </w:pPr>
      <w:r>
        <w:rPr>
          <w:rFonts w:ascii="Times New Roman" w:hAnsi="Times New Roman"/>
          <w:b/>
          <w:color w:val="000000"/>
          <w:sz w:val="22"/>
          <w:u w:val="single"/>
        </w:rPr>
        <w:t>Certain Settlement Provisions</w:t>
      </w:r>
      <w:r>
        <w:rPr>
          <w:rFonts w:ascii="Times New Roman" w:hAnsi="Times New Roman"/>
          <w:b/>
          <w:color w:val="000000"/>
          <w:sz w:val="22"/>
        </w:rPr>
        <w:t>.</w:t>
      </w:r>
      <w:r>
        <w:rPr>
          <w:color w:val="000000"/>
        </w:rPr>
        <w:t xml:space="preserve"> </w:t>
      </w:r>
      <w:r>
        <w:rPr>
          <w:rFonts w:ascii="Times New Roman" w:hAnsi="Times New Roman"/>
          <w:color w:val="000000"/>
          <w:sz w:val="22"/>
        </w:rPr>
        <w:t>The Company shall have no obligation to indemnify the Indemnitee under this Agreement for any amounts paid in settlement of any action, suit or proceeding without the Company’s prior written consent. The Company shall not settle any action, suit or proceeding in any manner that would attribute to the Indemnitee any admission of wrongdoing or liability or that would impose any fine or other obligation or restriction on the Indemnitee without the Indemnitee’s prior written consent. Neither the Company nor the Indemnitee will unreasonably withhold his, her or its consent to any proposed settlement.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9.</w:t>
      </w:r>
    </w:p>
    <w:p>
      <w:pPr>
        <w:pStyle w:val="TextBody"/>
        <w:bidi w:val="0"/>
        <w:spacing w:before="0" w:after="240"/>
        <w:jc w:val="left"/>
        <w:rPr/>
      </w:pPr>
      <w:r>
        <w:rPr>
          <w:rFonts w:ascii="Times New Roman" w:hAnsi="Times New Roman"/>
          <w:b/>
          <w:color w:val="000000"/>
          <w:sz w:val="22"/>
          <w:u w:val="single"/>
        </w:rPr>
        <w:t>Savings Clause</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If any provision or provisions (or portion thereof) of this Agreement shall be invalidated on any ground by any court of competent jurisdiction, then the Company shall nevertheless indemnify the Indemnitee if the Indemnitee was or is made or is threatened to be made a party or is otherwise involved in (including as a witness) any threatened, pending or completed action, suit or proceeding (brought in the right of the Company or otherwise), whether civil, criminal, administrative or investigative and whether formal or informal, including any and all appeals, by reason of the fact that the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by the Indemnitee in any such capacity, from and against all Losses suffered by, or incurred by or on behalf of, the Indemnitee in connection with such action, suit or proceeding, including any appeals, to the fullest extent permitted by any applicable portion of this Agreement that shall not have been invalidated.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10.</w:t>
      </w:r>
    </w:p>
    <w:p>
      <w:pPr>
        <w:pStyle w:val="TextBody"/>
        <w:bidi w:val="0"/>
        <w:spacing w:before="0" w:after="240"/>
        <w:jc w:val="left"/>
        <w:rPr/>
      </w:pPr>
      <w:r>
        <w:rPr>
          <w:rFonts w:ascii="Times New Roman" w:hAnsi="Times New Roman"/>
          <w:b/>
          <w:color w:val="000000"/>
          <w:sz w:val="22"/>
          <w:u w:val="single"/>
        </w:rPr>
        <w:t>Contribution</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In order to provide for just and equitable contribution in circumstances in which the indemnification provided for herein is held by a court of competent jurisdiction to be unavailable to the Indemnitee in whole or in part, it is agreed that, in such event, the Company shall, to the fullest extent permitted by law, contribute to the payment of all Losses suffered by, or incurred by or on behalf of, the Indemnitee in connection with any action, suit or proceeding, including any appeals, in an amount that is just and equitable in the circumstances in order to reflect (i) the relative benefits received by the Company and the Indemnitee as a result of the event(s) and/or transaction(s) giving cause to such actions, suit or proceeding; and/or (ii) the relative fault of the Company (and its directors, officers, employees and agents) and the Indemnitee in connection with such event(s) and/or transaction(s); </w:t>
      </w:r>
      <w:r>
        <w:rPr>
          <w:rFonts w:ascii="Times New Roman" w:hAnsi="Times New Roman"/>
          <w:i/>
          <w:color w:val="000000"/>
          <w:sz w:val="22"/>
        </w:rPr>
        <w:t xml:space="preserve">provided </w:t>
      </w:r>
      <w:r>
        <w:rPr>
          <w:rFonts w:ascii="Times New Roman" w:hAnsi="Times New Roman"/>
          <w:color w:val="000000"/>
          <w:sz w:val="22"/>
        </w:rPr>
        <w:t xml:space="preserve">that, without limiting the generality of the foregoing, such contribution shall not be required where such holding by the court is due to any limitation on indemnification set forth in </w:t>
      </w:r>
      <w:r>
        <w:rPr>
          <w:rFonts w:ascii="Times New Roman" w:hAnsi="Times New Roman"/>
          <w:color w:val="000000"/>
          <w:sz w:val="22"/>
          <w:u w:val="single"/>
        </w:rPr>
        <w:t>Section 4(d)</w:t>
      </w:r>
      <w:r>
        <w:rPr>
          <w:rFonts w:ascii="Times New Roman" w:hAnsi="Times New Roman"/>
          <w:color w:val="000000"/>
          <w:sz w:val="22"/>
        </w:rPr>
        <w:t xml:space="preserve">,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8</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11.</w:t>
      </w:r>
    </w:p>
    <w:p>
      <w:pPr>
        <w:pStyle w:val="TextBody"/>
        <w:bidi w:val="0"/>
        <w:spacing w:before="0" w:after="240"/>
        <w:jc w:val="left"/>
        <w:rPr/>
      </w:pPr>
      <w:r>
        <w:rPr>
          <w:rFonts w:ascii="Times New Roman" w:hAnsi="Times New Roman"/>
          <w:b/>
          <w:color w:val="000000"/>
          <w:sz w:val="22"/>
          <w:u w:val="single"/>
        </w:rPr>
        <w:t>Form and Delivery of Communications</w:t>
      </w:r>
      <w:r>
        <w:rPr>
          <w:rFonts w:ascii="Times New Roman" w:hAnsi="Times New Roman"/>
          <w:b/>
          <w:color w:val="000000"/>
          <w:sz w:val="22"/>
        </w:rPr>
        <w:t>.</w:t>
      </w:r>
      <w:r>
        <w:rPr>
          <w:color w:val="000000"/>
        </w:rPr>
        <w:t xml:space="preserve"> </w:t>
      </w:r>
      <w:r>
        <w:rPr>
          <w:rFonts w:ascii="Times New Roman" w:hAnsi="Times New Roman"/>
          <w:color w:val="000000"/>
          <w:sz w:val="22"/>
        </w:rPr>
        <w:t>All notices, requests, demands and other communications under this Agreement shall be in writing and shall be deemed to have been duly given if (a) 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 (d) sent by email or facsimile transmission, with receipt of oral confirmation that such transmission has been received. Notice to the Company shall be directed to [***], email: [***]; confirmation number: [***]. Notice to the Indemnitee shall be directed to the Indemnitee’s contact information on file with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12.</w:t>
      </w:r>
    </w:p>
    <w:p>
      <w:pPr>
        <w:pStyle w:val="TextBody"/>
        <w:bidi w:val="0"/>
        <w:spacing w:before="0" w:after="240"/>
        <w:jc w:val="left"/>
        <w:rPr/>
      </w:pPr>
      <w:r>
        <w:rPr>
          <w:rFonts w:ascii="Times New Roman" w:hAnsi="Times New Roman"/>
          <w:b/>
          <w:color w:val="000000"/>
          <w:sz w:val="22"/>
          <w:u w:val="single"/>
        </w:rPr>
        <w:t>Nonexclusivity</w:t>
      </w:r>
      <w:r>
        <w:rPr>
          <w:rFonts w:ascii="Times New Roman" w:hAnsi="Times New Roman"/>
          <w:b/>
          <w:color w:val="000000"/>
          <w:sz w:val="22"/>
        </w:rPr>
        <w:t>.</w:t>
      </w:r>
      <w:r>
        <w:rPr>
          <w:color w:val="000000"/>
        </w:rPr>
        <w:t xml:space="preserve"> </w:t>
      </w:r>
      <w:r>
        <w:rPr>
          <w:rFonts w:ascii="Times New Roman" w:hAnsi="Times New Roman"/>
          <w:color w:val="000000"/>
          <w:sz w:val="22"/>
        </w:rPr>
        <w:t>The provisions for indemnification to or the advancement of expenses and costs to the Indemnitee under this Agreement shall not limit or restrict in any way the power of the Company to indemnify or advance expenses to the Indemnitee in any other way permitted by law or be deemed exclusive of, or invalidate, any right to which any indemnitee seeking indemnification or advancement of expenses may be entitled under any law, the Company’s certificate of incorporation or bylaws, other agreements or arrangements, vote of stockholders or disinterested directors or otherwise, both as to action in the Indemnitee’s capacity as an officer, director, employee or agent of the Company and as to action in any other capacity. The Indemnitee’s rights hereunder shall inure to the benefit of the heirs, executors and administrators of the Indemnitee.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13.</w:t>
      </w:r>
    </w:p>
    <w:p>
      <w:pPr>
        <w:pStyle w:val="TextBody"/>
        <w:bidi w:val="0"/>
        <w:spacing w:before="0" w:after="240"/>
        <w:jc w:val="left"/>
        <w:rPr/>
      </w:pPr>
      <w:r>
        <w:rPr>
          <w:rFonts w:ascii="Times New Roman" w:hAnsi="Times New Roman"/>
          <w:b/>
          <w:color w:val="000000"/>
          <w:sz w:val="22"/>
          <w:u w:val="single"/>
        </w:rPr>
        <w:t>Defenses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In (i) any action, suit or proceeding brought by the Indemnitee to enforce a right to indemnification hereunder (but not in an action, suit or proceeding brought by the Indemnitee to enforce a right to an advancement of expenses) it shall be a defense that, and (ii) any action, suit or proceeding brought by the Company to recover an advancement of expenses pursuant to the terms of an undertaking by the Indemnitee pursuant to </w:t>
      </w:r>
      <w:r>
        <w:rPr>
          <w:rFonts w:ascii="Times New Roman" w:hAnsi="Times New Roman"/>
          <w:color w:val="000000"/>
          <w:sz w:val="22"/>
          <w:u w:val="single"/>
        </w:rPr>
        <w:t>Section 2</w:t>
      </w:r>
      <w:r>
        <w:rPr>
          <w:rFonts w:ascii="Times New Roman" w:hAnsi="Times New Roman"/>
          <w:color w:val="000000"/>
          <w:sz w:val="22"/>
        </w:rPr>
        <w:t>, the Company shall be entitled to recover such expenses upon a final adjudication that, the Indemnitee has not met any applicable standard for indemnification set forth in applicable law. Neither the failure of the Company (including its directors who are not parties to such action, a committee of such directors, independent legal counsel or the Company’s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Company (including its directors who are not parties to such action, a committee of such directors, independent legal counsel or the Company’s stockholders) that the Indemnitee has not met such applicable standard of conduct, shall create a presumption that the Indemnitee has not met the applicable standard of conduct or, in the case of such a suit brought by the Indemnitee, be a defense to such suit.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14.</w:t>
      </w:r>
    </w:p>
    <w:p>
      <w:pPr>
        <w:pStyle w:val="TextBody"/>
        <w:bidi w:val="0"/>
        <w:spacing w:before="0" w:after="240"/>
        <w:jc w:val="left"/>
        <w:rPr/>
      </w:pPr>
      <w:r>
        <w:rPr>
          <w:rFonts w:ascii="Times New Roman" w:hAnsi="Times New Roman"/>
          <w:b/>
          <w:color w:val="000000"/>
          <w:sz w:val="22"/>
          <w:u w:val="single"/>
        </w:rPr>
        <w:t>No Construction as Employment Agreement</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Nothing contained herein shall be construed as giving the Indemnitee any right to be retained as a director or officer of the Company or in the employ of the Company or any other entity. For the avoidance of doubt, the indemnification and advancement of expenses provided under this Agreement shall continue as to the Indemnitee even though he or she may have ceased to be a director, officer, employee or agent of the Company.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15.</w:t>
      </w:r>
    </w:p>
    <w:p>
      <w:pPr>
        <w:pStyle w:val="TextBody"/>
        <w:bidi w:val="0"/>
        <w:spacing w:before="0" w:after="240"/>
        <w:jc w:val="left"/>
        <w:rPr/>
      </w:pPr>
      <w:r>
        <w:rPr>
          <w:rFonts w:ascii="Times New Roman" w:hAnsi="Times New Roman"/>
          <w:b/>
          <w:color w:val="000000"/>
          <w:sz w:val="22"/>
          <w:u w:val="single"/>
        </w:rPr>
        <w:t>Jointly Indemnifiable Claims</w:t>
      </w:r>
      <w:r>
        <w:rPr>
          <w:rFonts w:ascii="Times New Roman" w:hAnsi="Times New Roman"/>
          <w:b/>
          <w:color w:val="000000"/>
          <w:sz w:val="22"/>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Given that certain jointly indemnifiable claims may arise due to the service of the Indemnitee as a director and/or officer of the Company at the request of Indemnitee</w:t>
        <w:noBreakHyphen/>
        <w:t>related entities (as defined below), the Company acknowledges and agrees that the Company shall be fully and primarily responsible for payments to the Indemnitee in respect of indemnification or advancement of expenses in connection with any such jointly indemnifiable claims pursuant to and in accordance with the terms of this Agreement, irrespective of any right of recovery the Indemnitee may have from Indemnitee</w:t>
        <w:noBreakHyphen/>
        <w:t>related entities. Under no circumstance shall the Company be entitled to any right of subrogation or contribution by Indemnitee</w:t>
        <w:noBreakHyphen/>
        <w:t>related entities, and no right of advancement or recovery the Indemnitee may have from Indemnitee</w:t>
        <w:noBreakHyphen/>
        <w:t>related entities shall reduce or otherwise alter the rights of the Indemnitee or the obligations of the Company hereunder. In the event that any of Indemnitee</w:t>
        <w:noBreakHyphen/>
        <w:t>related entities shall make any payment to the Indemnitee in respect of indemnification or advancement of expenses with respect to any jointly indemnifiable claim, Indemnitee</w:t>
        <w:noBreakHyphen/>
        <w:t>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Indemnitee</w:t>
        <w:noBreakHyphen/>
        <w:t>related entities effectively to bring suit to enforce such rights. The Company and the Indemnitee agree that each of Indemnitee</w:t>
        <w:noBreakHyphen/>
        <w:t>related entities shall be third</w:t>
        <w:noBreakHyphen/>
        <w:t xml:space="preserve">party beneficiaries with respect to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this </w:t>
      </w:r>
      <w:r>
        <w:rPr>
          <w:rFonts w:ascii="Times New Roman" w:hAnsi="Times New Roman"/>
          <w:color w:val="000000"/>
          <w:sz w:val="22"/>
          <w:u w:val="single"/>
        </w:rPr>
        <w:t>Section 15(a)</w:t>
      </w:r>
      <w:r>
        <w:rPr>
          <w:color w:val="000000"/>
        </w:rPr>
        <w:t xml:space="preserve"> </w:t>
      </w:r>
      <w:r>
        <w:rPr>
          <w:rFonts w:ascii="Times New Roman" w:hAnsi="Times New Roman"/>
          <w:color w:val="000000"/>
          <w:sz w:val="22"/>
        </w:rPr>
        <w:t xml:space="preserve">and entitled to enforce this </w:t>
      </w:r>
      <w:r>
        <w:rPr>
          <w:rFonts w:ascii="Times New Roman" w:hAnsi="Times New Roman"/>
          <w:color w:val="000000"/>
          <w:sz w:val="22"/>
          <w:u w:val="single"/>
        </w:rPr>
        <w:t>Section 15(a)</w:t>
      </w:r>
      <w:r>
        <w:rPr>
          <w:color w:val="000000"/>
        </w:rPr>
        <w:t xml:space="preserve"> </w:t>
      </w:r>
      <w:r>
        <w:rPr>
          <w:rFonts w:ascii="Times New Roman" w:hAnsi="Times New Roman"/>
          <w:color w:val="000000"/>
          <w:sz w:val="22"/>
        </w:rPr>
        <w:t>as though each such Indemnitee</w:t>
        <w:noBreakHyphen/>
        <w:t>related entity were a party to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2"/>
        </w:rPr>
        <w:t xml:space="preserve">For purposes of this </w:t>
      </w:r>
      <w:r>
        <w:rPr>
          <w:rFonts w:ascii="Times New Roman" w:hAnsi="Times New Roman"/>
          <w:color w:val="000000"/>
          <w:sz w:val="22"/>
          <w:u w:val="single"/>
        </w:rPr>
        <w:t>Section 15</w:t>
      </w:r>
      <w:r>
        <w:rPr>
          <w:rFonts w:ascii="Times New Roman" w:hAnsi="Times New Roman"/>
          <w:color w:val="000000"/>
          <w:sz w:val="22"/>
        </w:rPr>
        <w:t>, the following terms shall have the following meanings: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Indemnitee</w:t>
        <w:noBreakHyphen/>
        <w:t>related entities</w:t>
      </w:r>
      <w:r>
        <w:rPr>
          <w:color w:val="000000"/>
        </w:rPr>
        <w:t xml:space="preserve">” </w:t>
      </w:r>
      <w:r>
        <w:rPr>
          <w:rFonts w:ascii="Times New Roman" w:hAnsi="Times New Roman"/>
          <w:color w:val="000000"/>
          <w:sz w:val="22"/>
        </w:rPr>
        <w:t xml:space="preserve">means any corporation, limited liability company, partnership, joint venture, trust, employee benefit plan or other enterprise (other than the Company or any other corporation, limited liability company, partnership, joint venture, trust, employee benefit plan or other enterprise the Indemnitee has agreed, on behalf of the Company or at the Company’s request, to serve as a director, officer, employee or agent and which service is covered by the indemnity described in this Agreement) from whom the Indemnitee may be entitled to indemnification or advancement of expenses with respect to which, in whole or in part, the Company may also have an indemnification or advancement obligation (other than as a result of obligations under an insurance policy).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left"/>
        <w:rPr/>
      </w:pPr>
      <w:r>
        <w:rPr>
          <w:rFonts w:ascii="Times New Roman" w:hAnsi="Times New Roman"/>
          <w:color w:val="000000"/>
          <w:sz w:val="22"/>
        </w:rPr>
        <w:t>The term “</w:t>
      </w:r>
      <w:r>
        <w:rPr>
          <w:rFonts w:ascii="Times New Roman" w:hAnsi="Times New Roman"/>
          <w:b/>
          <w:color w:val="000000"/>
          <w:sz w:val="22"/>
          <w:u w:val="single"/>
        </w:rPr>
        <w:t>jointly indemnifiable claims</w:t>
      </w:r>
      <w:r>
        <w:rPr>
          <w:color w:val="000000"/>
        </w:rPr>
        <w:t xml:space="preserve">” </w:t>
      </w:r>
      <w:r>
        <w:rPr>
          <w:rFonts w:ascii="Times New Roman" w:hAnsi="Times New Roman"/>
          <w:color w:val="000000"/>
          <w:sz w:val="22"/>
        </w:rPr>
        <w:t>shall be broadly construed and shall include, without limitation, any action, suit or proceeding for which the Indemnitee shall be entitled to indemnification or advancement of expenses from both the Company and any Indemnitee</w:t>
        <w:noBreakHyphen/>
        <w:t>related entity pursuant to the DGCL, any agreement or the certificate of incorporation, bylaws, partnership agreement, operating agreement, certificate of formation, certificate of limited partnership or comparable organizational documents of the Company or Indemnitee</w:t>
        <w:noBreakHyphen/>
        <w:t>related entities, as applicable.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16.</w:t>
      </w:r>
    </w:p>
    <w:p>
      <w:pPr>
        <w:pStyle w:val="TextBody"/>
        <w:bidi w:val="0"/>
        <w:spacing w:before="0" w:after="240"/>
        <w:jc w:val="left"/>
        <w:rPr/>
      </w:pPr>
      <w:r>
        <w:rPr>
          <w:rFonts w:ascii="Times New Roman" w:hAnsi="Times New Roman"/>
          <w:b/>
          <w:color w:val="000000"/>
          <w:sz w:val="22"/>
          <w:u w:val="single"/>
        </w:rPr>
        <w:t>Interpretation of Agreement</w:t>
      </w:r>
      <w:r>
        <w:rPr>
          <w:rFonts w:ascii="Times New Roman" w:hAnsi="Times New Roman"/>
          <w:b/>
          <w:color w:val="000000"/>
          <w:sz w:val="22"/>
        </w:rPr>
        <w:t>.</w:t>
      </w:r>
      <w:r>
        <w:rPr>
          <w:color w:val="000000"/>
        </w:rPr>
        <w:t xml:space="preserve"> </w:t>
      </w:r>
      <w:r>
        <w:rPr>
          <w:rFonts w:ascii="Times New Roman" w:hAnsi="Times New Roman"/>
          <w:color w:val="000000"/>
          <w:sz w:val="22"/>
        </w:rPr>
        <w:t>It is understood that the parties hereto intend this Agreement to be interpreted and enforced so as to provide, in each instance, indemnification and advancement of expenses to the Indemnitee to the fullest extent permitted by law, as the same exists or may hereafter be amended (but, in the case of any such amendment, only to the extent that such amendment permits the Company to provide broader indemnification rights than applicable law permitted the Company to provide prior to such amendment). Whenever the words “include”, “includes” or “including” are used in this Agreement, they shall be deemed to be followed by the words “without limitation”, whether or not they are in fact followed by those words or words of like import.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17.</w:t>
      </w:r>
    </w:p>
    <w:p>
      <w:pPr>
        <w:pStyle w:val="TextBody"/>
        <w:bidi w:val="0"/>
        <w:spacing w:before="0" w:after="240"/>
        <w:jc w:val="left"/>
        <w:rPr/>
      </w:pPr>
      <w:r>
        <w:rPr>
          <w:rFonts w:ascii="Times New Roman" w:hAnsi="Times New Roman"/>
          <w:b/>
          <w:color w:val="000000"/>
          <w:sz w:val="22"/>
          <w:u w:val="single"/>
        </w:rPr>
        <w:t>Entire Agreement</w:t>
      </w:r>
      <w:r>
        <w:rPr>
          <w:rFonts w:ascii="Times New Roman" w:hAnsi="Times New Roman"/>
          <w:b/>
          <w:color w:val="000000"/>
          <w:sz w:val="22"/>
        </w:rPr>
        <w:t>.</w:t>
      </w:r>
      <w:r>
        <w:rPr>
          <w:color w:val="000000"/>
        </w:rPr>
        <w:t xml:space="preserve"> </w:t>
      </w:r>
      <w:r>
        <w:rPr>
          <w:rFonts w:ascii="Times New Roman" w:hAnsi="Times New Roman"/>
          <w:color w:val="000000"/>
          <w:sz w:val="22"/>
        </w:rPr>
        <w:t>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18.</w:t>
      </w:r>
    </w:p>
    <w:p>
      <w:pPr>
        <w:pStyle w:val="TextBody"/>
        <w:bidi w:val="0"/>
        <w:spacing w:before="0" w:after="240"/>
        <w:jc w:val="left"/>
        <w:rPr/>
      </w:pPr>
      <w:r>
        <w:rPr>
          <w:rFonts w:ascii="Times New Roman" w:hAnsi="Times New Roman"/>
          <w:b/>
          <w:color w:val="000000"/>
          <w:sz w:val="22"/>
          <w:u w:val="single"/>
        </w:rPr>
        <w:t>Modification and Waiver</w:t>
      </w:r>
      <w:r>
        <w:rPr>
          <w:rFonts w:ascii="Times New Roman" w:hAnsi="Times New Roman"/>
          <w:b/>
          <w:color w:val="000000"/>
          <w:sz w:val="22"/>
        </w:rPr>
        <w:t>.</w:t>
      </w:r>
      <w:r>
        <w:rPr>
          <w:color w:val="000000"/>
        </w:rPr>
        <w:t xml:space="preserve"> </w:t>
      </w:r>
      <w:r>
        <w:rPr>
          <w:rFonts w:ascii="Times New Roman" w:hAnsi="Times New Roman"/>
          <w:color w:val="000000"/>
          <w:sz w:val="22"/>
        </w:rPr>
        <w:t>No supplement, modification, waiver or amendment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 For the avoidance of doubt, (a) this Agreement may not be modified or terminated by the Company without the Indemnitee’s prior written consent; (b) no amendment, alteration or interpretation of the Company’s certificate of incorporation or bylaws or any other agreement or arrangement shall limit or otherwise adversely affect the rights provided to the Indemnitee under this Agreement and (c) a right to indemnification or to advancement of expenses arising under a provision of the Company’s certificate of incorporation or bylaws or this Agreement shall not be eliminated or impaired by an amendment to such provision after the occurrence of the act or omission that is the subject of the action, suit or proceeding for which indemnification or advancement of expenses is sought.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19.</w:t>
      </w:r>
    </w:p>
    <w:p>
      <w:pPr>
        <w:pStyle w:val="TextBody"/>
        <w:bidi w:val="0"/>
        <w:spacing w:before="0" w:after="240"/>
        <w:jc w:val="left"/>
        <w:rPr/>
      </w:pPr>
      <w:r>
        <w:rPr>
          <w:rFonts w:ascii="Times New Roman" w:hAnsi="Times New Roman"/>
          <w:b/>
          <w:color w:val="000000"/>
          <w:sz w:val="22"/>
          <w:u w:val="single"/>
        </w:rPr>
        <w:t>Successor and Assigns</w:t>
      </w:r>
      <w:r>
        <w:rPr>
          <w:rFonts w:ascii="Times New Roman" w:hAnsi="Times New Roman"/>
          <w:b/>
          <w:color w:val="000000"/>
          <w:sz w:val="22"/>
        </w:rPr>
        <w:t>.</w:t>
      </w:r>
      <w:r>
        <w:rPr>
          <w:color w:val="000000"/>
        </w:rPr>
        <w:t xml:space="preserve"> </w:t>
      </w:r>
      <w:r>
        <w:rPr>
          <w:rFonts w:ascii="Times New Roman" w:hAnsi="Times New Roman"/>
          <w:color w:val="000000"/>
          <w:sz w:val="22"/>
        </w:rPr>
        <w:t>All of the terms and provisions of this Agreement shall be binding upon, shall inure to the benefit of and shall 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the Company, by written agreement in form and substance reasonably satisfactory to the Indemnitee, expressly to assume and agree to perform this Agreement in the same manner and to the same extent that the Company would be required to perform if no such succession had taken place.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20.</w:t>
      </w:r>
    </w:p>
    <w:p>
      <w:pPr>
        <w:pStyle w:val="TextBody"/>
        <w:bidi w:val="0"/>
        <w:spacing w:before="0" w:after="240"/>
        <w:jc w:val="left"/>
        <w:rPr/>
      </w:pPr>
      <w:r>
        <w:rPr>
          <w:rFonts w:ascii="Times New Roman" w:hAnsi="Times New Roman"/>
          <w:b/>
          <w:color w:val="000000"/>
          <w:sz w:val="22"/>
          <w:u w:val="single"/>
        </w:rPr>
        <w:t>Service of Process and Venue</w:t>
      </w:r>
      <w:r>
        <w:rPr>
          <w:rFonts w:ascii="Times New Roman" w:hAnsi="Times New Roman"/>
          <w:b/>
          <w:color w:val="000000"/>
          <w:sz w:val="22"/>
        </w:rPr>
        <w:t>.</w:t>
      </w:r>
      <w:r>
        <w:rPr>
          <w:color w:val="000000"/>
        </w:rPr>
        <w:t xml:space="preserve"> </w:t>
      </w:r>
      <w:r>
        <w:rPr>
          <w:rFonts w:ascii="Times New Roman" w:hAnsi="Times New Roman"/>
          <w:color w:val="000000"/>
          <w:sz w:val="22"/>
        </w:rPr>
        <w:t>The Company and the Indemnitee hereby irrevocably and unconditionally (a) agree that any action or proceeding arising out of or in connection with this Agreement shall be brought in the Chancery Court of the State of Delaware (the “</w:t>
      </w:r>
      <w:r>
        <w:rPr>
          <w:rFonts w:ascii="Times New Roman" w:hAnsi="Times New Roman"/>
          <w:b/>
          <w:color w:val="000000"/>
          <w:sz w:val="22"/>
          <w:u w:val="single"/>
        </w:rPr>
        <w:t>Delaware Court</w:t>
      </w:r>
      <w:r>
        <w:rPr>
          <w:color w:val="000000"/>
        </w:rPr>
        <w:t>”</w:t>
      </w:r>
      <w:r>
        <w:rPr>
          <w:rFonts w:ascii="Times New Roman" w:hAnsi="Times New Roman"/>
          <w:color w:val="000000"/>
          <w:sz w:val="22"/>
        </w:rPr>
        <w:t xml:space="preserve">), (b) consent to submit to the exclusive jurisdiction of the Delaware Court for purposes of any action or proceeding arising out of or in connection with this Agreement, (c) appoint, to the extent such party is not otherwise subject to service of process in the State of Delaware, Corporation Service Company, 251 Little Falls Drive, Wilmington, DE 19808, as its agent in the State of Delaware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21.</w:t>
      </w:r>
    </w:p>
    <w:p>
      <w:pPr>
        <w:pStyle w:val="TextBody"/>
        <w:bidi w:val="0"/>
        <w:spacing w:before="0" w:after="240"/>
        <w:jc w:val="left"/>
        <w:rPr/>
      </w:pPr>
      <w:r>
        <w:rPr>
          <w:rFonts w:ascii="Times New Roman" w:hAnsi="Times New Roman"/>
          <w:b/>
          <w:color w:val="000000"/>
          <w:sz w:val="22"/>
          <w:u w:val="single"/>
        </w:rPr>
        <w:t>Governing Law</w:t>
      </w:r>
      <w:r>
        <w:rPr>
          <w:rFonts w:ascii="Times New Roman" w:hAnsi="Times New Roman"/>
          <w:b/>
          <w:color w:val="000000"/>
          <w:sz w:val="22"/>
        </w:rPr>
        <w:t>.</w:t>
      </w:r>
      <w:r>
        <w:rPr>
          <w:color w:val="000000"/>
        </w:rPr>
        <w:t xml:space="preserve"> </w:t>
      </w:r>
      <w:r>
        <w:rPr>
          <w:rFonts w:ascii="Times New Roman" w:hAnsi="Times New Roman"/>
          <w:color w:val="000000"/>
          <w:sz w:val="22"/>
        </w:rPr>
        <w:t>This Agreement shall be governed by and construed in accordance with the laws of the State of Delaware. If, notwithstanding the foregoing, a court of competent jurisdiction shall make a final determination that the provisions of the law of any state other than Delaware govern indemnification by the Company of the Indemnitee, then the indemnification provided under this Agreement shall in all instances be enforceable to the fullest extent permitted under such law, notwithstanding any provision of this Agreement to the contrary.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22.</w:t>
      </w:r>
    </w:p>
    <w:p>
      <w:pPr>
        <w:pStyle w:val="TextBody"/>
        <w:bidi w:val="0"/>
        <w:spacing w:before="0" w:after="240"/>
        <w:jc w:val="left"/>
        <w:rPr/>
      </w:pPr>
      <w:r>
        <w:rPr>
          <w:rFonts w:ascii="Times New Roman" w:hAnsi="Times New Roman"/>
          <w:b/>
          <w:color w:val="000000"/>
          <w:sz w:val="22"/>
          <w:u w:val="single"/>
        </w:rPr>
        <w:t>Counterparts</w:t>
      </w:r>
      <w:r>
        <w:rPr>
          <w:rFonts w:ascii="Times New Roman" w:hAnsi="Times New Roman"/>
          <w:b/>
          <w:color w:val="000000"/>
          <w:sz w:val="22"/>
        </w:rPr>
        <w:t>.</w:t>
      </w:r>
      <w:r>
        <w:rPr>
          <w:color w:val="000000"/>
        </w:rPr>
        <w:t xml:space="preserve"> </w:t>
      </w:r>
      <w:r>
        <w:rPr>
          <w:rFonts w:ascii="Times New Roman" w:hAnsi="Times New Roman"/>
          <w:color w:val="000000"/>
          <w:sz w:val="22"/>
        </w:rPr>
        <w:t>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23.</w:t>
      </w:r>
    </w:p>
    <w:p>
      <w:pPr>
        <w:pStyle w:val="TextBody"/>
        <w:bidi w:val="0"/>
        <w:spacing w:before="0" w:after="240"/>
        <w:jc w:val="left"/>
        <w:rPr/>
      </w:pPr>
      <w:r>
        <w:rPr>
          <w:rFonts w:ascii="Times New Roman" w:hAnsi="Times New Roman"/>
          <w:b/>
          <w:color w:val="000000"/>
          <w:sz w:val="22"/>
          <w:u w:val="single"/>
        </w:rPr>
        <w:t>Headings and Section References</w:t>
      </w:r>
      <w:r>
        <w:rPr>
          <w:rFonts w:ascii="Times New Roman" w:hAnsi="Times New Roman"/>
          <w:b/>
          <w:color w:val="000000"/>
          <w:sz w:val="22"/>
        </w:rPr>
        <w:t>.</w:t>
      </w:r>
      <w:r>
        <w:rPr>
          <w:color w:val="000000"/>
        </w:rPr>
        <w:t xml:space="preserve"> </w:t>
      </w:r>
      <w:r>
        <w:rPr>
          <w:rFonts w:ascii="Times New Roman" w:hAnsi="Times New Roman"/>
          <w:color w:val="000000"/>
          <w:sz w:val="22"/>
        </w:rPr>
        <w:t>The section and subsection headings contained in this Agreement are for reference purposes only and shall not affect in any way the meaning or interpretation of this Agreement. Unless the context otherwise requires, any reference to a “Section” or “paragraph” refers to a Section or paragraph, as the case may be, of this Agreement.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24. </w:t>
      </w:r>
      <w:r>
        <w:rPr>
          <w:rFonts w:ascii="Times New Roman" w:hAnsi="Times New Roman"/>
          <w:b/>
          <w:color w:val="000000"/>
          <w:sz w:val="22"/>
          <w:u w:val="single"/>
        </w:rPr>
        <w:t>Electronic Signatures.</w:t>
      </w:r>
      <w:r>
        <w:rPr>
          <w:rFonts w:ascii="Times New Roman" w:hAnsi="Times New Roman"/>
          <w:color w:val="000000"/>
          <w:sz w:val="20"/>
        </w:rPr>
        <w:t xml:space="preserve"> </w:t>
      </w:r>
      <w:r>
        <w:rPr>
          <w:rFonts w:ascii="Times New Roman" w:hAnsi="Times New Roman"/>
          <w:color w:val="000000"/>
          <w:sz w:val="22"/>
        </w:rPr>
        <w:t>This Agreement may be signed by electronic signature and electronic transmission, including via DocuSign or other similar method, and this method of signature is as conclusive of an intention to be bound by this Agreement as if signed by a party’s manuscript signature.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Agreement has been duly executed and delivered to be effective as of the date first written above.</w:t>
      </w:r>
    </w:p>
    <w:tbl>
      <w:tblPr>
        <w:tblW w:w="4301" w:type="dxa"/>
        <w:jc w:val="left"/>
        <w:tblInd w:w="0" w:type="dxa"/>
        <w:tblLayout w:type="fixed"/>
        <w:tblCellMar>
          <w:top w:w="28" w:type="dxa"/>
          <w:left w:w="28" w:type="dxa"/>
          <w:bottom w:w="28" w:type="dxa"/>
          <w:right w:w="28" w:type="dxa"/>
        </w:tblCellMar>
      </w:tblPr>
      <w:tblGrid>
        <w:gridCol w:w="161"/>
        <w:gridCol w:w="1489"/>
        <w:gridCol w:w="2651"/>
      </w:tblGrid>
      <w:tr>
        <w:trPr/>
        <w:tc>
          <w:tcPr>
            <w:tcW w:w="1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FIRST ADVANTAGE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bl>
    <w:p>
      <w:pPr>
        <w:pStyle w:val="TextBody"/>
        <w:bidi w:val="0"/>
        <w:spacing w:before="0" w:after="480"/>
        <w:jc w:val="left"/>
        <w:rPr/>
      </w:pPr>
      <w:r>
        <w:rPr/>
        <w:t> </w:t>
      </w:r>
    </w:p>
    <w:tbl>
      <w:tblPr>
        <w:tblW w:w="1797" w:type="dxa"/>
        <w:jc w:val="left"/>
        <w:tblInd w:w="0" w:type="dxa"/>
        <w:tblLayout w:type="fixed"/>
        <w:tblCellMar>
          <w:top w:w="28" w:type="dxa"/>
          <w:left w:w="28" w:type="dxa"/>
          <w:bottom w:w="28" w:type="dxa"/>
          <w:right w:w="28" w:type="dxa"/>
        </w:tblCellMar>
      </w:tblPr>
      <w:tblGrid>
        <w:gridCol w:w="161"/>
        <w:gridCol w:w="1225"/>
        <w:gridCol w:w="411"/>
      </w:tblGrid>
      <w:tr>
        <w:trPr/>
        <w:tc>
          <w:tcPr>
            <w:tcW w:w="16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INDEMNITEE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48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Indemnification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a-ex31_1.htm"/>
      <w:bookmarkStart w:id="26" w:name="ksfa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52" w:type="dxa"/>
        <w:jc w:val="left"/>
        <w:tblInd w:w="0" w:type="dxa"/>
        <w:tblLayout w:type="fixed"/>
        <w:tblCellMar>
          <w:top w:w="28" w:type="dxa"/>
          <w:left w:w="28" w:type="dxa"/>
          <w:bottom w:w="28" w:type="dxa"/>
          <w:right w:w="28" w:type="dxa"/>
        </w:tblCellMar>
      </w:tblPr>
      <w:tblGrid>
        <w:gridCol w:w="1846"/>
        <w:gridCol w:w="109"/>
        <w:gridCol w:w="406"/>
        <w:gridCol w:w="24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a-ex31_2.htm"/>
      <w:bookmarkStart w:id="28" w:name="ksfa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817" w:type="dxa"/>
        <w:jc w:val="left"/>
        <w:tblInd w:w="0" w:type="dxa"/>
        <w:tblLayout w:type="fixed"/>
        <w:tblCellMar>
          <w:top w:w="28" w:type="dxa"/>
          <w:left w:w="28" w:type="dxa"/>
          <w:bottom w:w="28" w:type="dxa"/>
          <w:right w:w="28" w:type="dxa"/>
        </w:tblCellMar>
      </w:tblPr>
      <w:tblGrid>
        <w:gridCol w:w="1846"/>
        <w:gridCol w:w="109"/>
        <w:gridCol w:w="406"/>
        <w:gridCol w:w="44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fa-ex32_1.htm"/>
      <w:bookmarkStart w:id="30" w:name="ksfa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852" w:type="dxa"/>
        <w:jc w:val="left"/>
        <w:tblInd w:w="0" w:type="dxa"/>
        <w:tblLayout w:type="fixed"/>
        <w:tblCellMar>
          <w:top w:w="28" w:type="dxa"/>
          <w:left w:w="28" w:type="dxa"/>
          <w:bottom w:w="28" w:type="dxa"/>
          <w:right w:w="28" w:type="dxa"/>
        </w:tblCellMar>
      </w:tblPr>
      <w:tblGrid>
        <w:gridCol w:w="1846"/>
        <w:gridCol w:w="109"/>
        <w:gridCol w:w="406"/>
        <w:gridCol w:w="24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fa-ex32_2.htm"/>
      <w:bookmarkStart w:id="32" w:name="ksfaex32_2"/>
      <w:bookmarkEnd w:id="31"/>
      <w:bookmarkEnd w:id="32"/>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817" w:type="dxa"/>
        <w:jc w:val="left"/>
        <w:tblInd w:w="0" w:type="dxa"/>
        <w:tblLayout w:type="fixed"/>
        <w:tblCellMar>
          <w:top w:w="28" w:type="dxa"/>
          <w:left w:w="28" w:type="dxa"/>
          <w:bottom w:w="28" w:type="dxa"/>
          <w:right w:w="28" w:type="dxa"/>
        </w:tblCellMar>
      </w:tblPr>
      <w:tblGrid>
        <w:gridCol w:w="1846"/>
        <w:gridCol w:w="109"/>
        <w:gridCol w:w="406"/>
        <w:gridCol w:w="44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29617</Words>
  <Characters>164307</Characters>
  <CharactersWithSpaces>195216</CharactersWithSpaces>
  <Paragraphs>7277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